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5.6.0 -->
  <w:body>
    <w:sdt>
      <w:sdtPr>
        <w:rPr>
          <w:rFonts w:eastAsiaTheme="minorEastAsia"/>
          <w:szCs w:val="22"/>
        </w:rPr>
        <w:id w:val="546913996"/>
        <w:docPartObj>
          <w:docPartGallery w:val="Table of Contents"/>
          <w:docPartUnique/>
        </w:docPartObj>
      </w:sdtPr>
      <w:sdtContent>
        <w:p w:rsidR="0070778C" w:rsidRPr="00E723FF" w:rsidP="00B3197F" w14:paraId="28C98C7C" w14:textId="77777777">
          <w:pPr>
            <w:spacing w:after="120"/>
            <w:ind w:hanging="1"/>
            <w:jc w:val="center"/>
            <w:rPr>
              <w:rFonts w:eastAsiaTheme="minorEastAsia"/>
              <w:b/>
            </w:rPr>
          </w:pPr>
          <w:r w:rsidRPr="00E723FF">
            <w:rPr>
              <w:rFonts w:eastAsiaTheme="minorEastAsia"/>
              <w:b/>
            </w:rPr>
            <w:t>RELAZIONE TECNICA</w:t>
          </w:r>
        </w:p>
        <w:p w:rsidR="0070778C" w:rsidRPr="00E723FF" w:rsidP="00A278F8" w14:paraId="666359D1" w14:textId="77777777">
          <w:pPr>
            <w:spacing w:after="120"/>
            <w:rPr>
              <w:rFonts w:eastAsiaTheme="minorEastAsia"/>
              <w:b/>
            </w:rPr>
          </w:pPr>
        </w:p>
        <w:p w:rsidR="004461A7" w:rsidRPr="00E723FF" w:rsidP="00A278F8" w14:paraId="44B2CE76" w14:textId="2C587F96">
          <w:pPr>
            <w:spacing w:after="120"/>
            <w:jc w:val="center"/>
            <w:rPr>
              <w:b/>
            </w:rPr>
          </w:pPr>
          <w:r w:rsidRPr="00E723FF">
            <w:rPr>
              <w:b/>
            </w:rPr>
            <w:t>Schema di decreto-legge recante «Ulteriori disposizioni urgenti per l'attuazione del Piano nazionale di ripresa e resilienza (PNRR)</w:t>
          </w:r>
          <w:r w:rsidRPr="00E723FF" w:rsidR="008068F3">
            <w:rPr>
              <w:b/>
            </w:rPr>
            <w:t xml:space="preserve"> e in materia di politiche di coesione</w:t>
          </w:r>
          <w:r w:rsidRPr="00E723FF">
            <w:rPr>
              <w:b/>
            </w:rPr>
            <w:t>»</w:t>
          </w:r>
        </w:p>
        <w:p w:rsidR="004461A7" w:rsidRPr="00E723FF" w:rsidP="00A278F8" w14:paraId="1AA761EE" w14:textId="77777777">
          <w:pPr>
            <w:spacing w:after="120"/>
          </w:pPr>
        </w:p>
        <w:p w:rsidR="00E723FF" w:rsidRPr="00E723FF" w:rsidP="00A278F8" w14:paraId="75057CCC" w14:textId="3D8F2B8C">
          <w:pPr>
            <w:pStyle w:val="TOC3"/>
            <w:tabs>
              <w:tab w:val="left" w:pos="1440"/>
              <w:tab w:val="right" w:leader="dot" w:pos="9628"/>
            </w:tabs>
            <w:rPr>
              <w:rFonts w:ascii="Times New Roman" w:hAnsi="Times New Roman"/>
              <w:noProof/>
              <w:kern w:val="2"/>
              <w:sz w:val="24"/>
              <w:szCs w:val="24"/>
              <w14:ligatures w14:val="standardContextual"/>
            </w:rPr>
          </w:pPr>
          <w:r w:rsidRPr="00E723FF">
            <w:rPr>
              <w:rFonts w:ascii="Times New Roman" w:hAnsi="Times New Roman"/>
              <w:sz w:val="24"/>
              <w:szCs w:val="24"/>
            </w:rPr>
            <w:fldChar w:fldCharType="begin"/>
          </w:r>
          <w:r w:rsidRPr="00E723FF">
            <w:rPr>
              <w:rFonts w:ascii="Times New Roman" w:hAnsi="Times New Roman"/>
              <w:sz w:val="24"/>
              <w:szCs w:val="24"/>
            </w:rPr>
            <w:instrText xml:space="preserve"> TOC \o "1-3" \h \z \u </w:instrText>
          </w:r>
          <w:r w:rsidRPr="00E723FF">
            <w:rPr>
              <w:rFonts w:ascii="Times New Roman" w:hAnsi="Times New Roman"/>
              <w:sz w:val="24"/>
              <w:szCs w:val="24"/>
            </w:rPr>
            <w:fldChar w:fldCharType="separate"/>
          </w:r>
          <w:hyperlink w:anchor="_Toc220077545" w:history="1">
            <w:r w:rsidRPr="00E723FF">
              <w:rPr>
                <w:rStyle w:val="Hyperlink"/>
                <w:rFonts w:ascii="Times New Roman" w:hAnsi="Times New Roman"/>
                <w:noProof/>
                <w:sz w:val="24"/>
                <w:szCs w:val="24"/>
              </w:rPr>
              <w:t>ART. 1</w:t>
            </w:r>
            <w:r w:rsidRPr="00E723FF">
              <w:rPr>
                <w:rFonts w:ascii="Times New Roman" w:hAnsi="Times New Roman"/>
                <w:noProof/>
                <w:kern w:val="2"/>
                <w:sz w:val="24"/>
                <w:szCs w:val="24"/>
                <w14:ligatures w14:val="standardContextual"/>
              </w:rPr>
              <w:tab/>
            </w:r>
            <w:r w:rsidRPr="00E723FF">
              <w:rPr>
                <w:rStyle w:val="Hyperlink"/>
                <w:rFonts w:ascii="Times New Roman" w:hAnsi="Times New Roman"/>
                <w:noProof/>
                <w:sz w:val="24"/>
                <w:szCs w:val="24"/>
              </w:rPr>
              <w:t>(Disposizioni in materia di responsabilità per il conseguimento degli obiettivi del PNRR)</w:t>
            </w:r>
            <w:r w:rsidRPr="00E723FF">
              <w:rPr>
                <w:rFonts w:ascii="Times New Roman" w:hAnsi="Times New Roman"/>
                <w:noProof/>
                <w:webHidden/>
                <w:sz w:val="24"/>
                <w:szCs w:val="24"/>
              </w:rPr>
              <w:tab/>
            </w:r>
            <w:r w:rsidR="000C215F">
              <w:rPr>
                <w:rFonts w:ascii="Times New Roman" w:hAnsi="Times New Roman"/>
                <w:noProof/>
                <w:webHidden/>
                <w:sz w:val="24"/>
                <w:szCs w:val="24"/>
              </w:rPr>
              <w:tab/>
            </w:r>
            <w:r w:rsidRPr="00E723FF">
              <w:rPr>
                <w:rFonts w:ascii="Times New Roman" w:hAnsi="Times New Roman"/>
                <w:noProof/>
                <w:webHidden/>
                <w:sz w:val="24"/>
                <w:szCs w:val="24"/>
              </w:rPr>
              <w:fldChar w:fldCharType="begin"/>
            </w:r>
            <w:r w:rsidRPr="00E723FF">
              <w:rPr>
                <w:rFonts w:ascii="Times New Roman" w:hAnsi="Times New Roman"/>
                <w:noProof/>
                <w:webHidden/>
                <w:sz w:val="24"/>
                <w:szCs w:val="24"/>
              </w:rPr>
              <w:instrText xml:space="preserve"> PAGEREF _Toc220077545 \h </w:instrText>
            </w:r>
            <w:r w:rsidRPr="00E723FF">
              <w:rPr>
                <w:rFonts w:ascii="Times New Roman" w:hAnsi="Times New Roman"/>
                <w:noProof/>
                <w:webHidden/>
                <w:sz w:val="24"/>
                <w:szCs w:val="24"/>
              </w:rPr>
              <w:fldChar w:fldCharType="separate"/>
            </w:r>
            <w:r w:rsidRPr="00E723FF">
              <w:rPr>
                <w:rFonts w:ascii="Times New Roman" w:hAnsi="Times New Roman"/>
                <w:noProof/>
                <w:webHidden/>
                <w:sz w:val="24"/>
                <w:szCs w:val="24"/>
              </w:rPr>
              <w:t>4</w:t>
            </w:r>
            <w:r w:rsidRPr="00E723FF">
              <w:rPr>
                <w:rFonts w:ascii="Times New Roman" w:hAnsi="Times New Roman"/>
                <w:noProof/>
                <w:webHidden/>
                <w:sz w:val="24"/>
                <w:szCs w:val="24"/>
              </w:rPr>
              <w:fldChar w:fldCharType="end"/>
            </w:r>
          </w:hyperlink>
        </w:p>
        <w:p w:rsidR="00E723FF" w:rsidRPr="00E723FF" w:rsidP="00A278F8" w14:paraId="6E91A73A" w14:textId="7795728B">
          <w:pPr>
            <w:pStyle w:val="TOC3"/>
            <w:tabs>
              <w:tab w:val="left" w:pos="1440"/>
              <w:tab w:val="right" w:leader="dot" w:pos="9628"/>
            </w:tabs>
            <w:rPr>
              <w:rFonts w:ascii="Times New Roman" w:hAnsi="Times New Roman"/>
              <w:noProof/>
              <w:kern w:val="2"/>
              <w:sz w:val="24"/>
              <w:szCs w:val="24"/>
              <w14:ligatures w14:val="standardContextual"/>
            </w:rPr>
          </w:pPr>
          <w:hyperlink w:anchor="_Toc220077546" w:history="1">
            <w:r w:rsidRPr="00E723FF">
              <w:rPr>
                <w:rStyle w:val="Hyperlink"/>
                <w:rFonts w:ascii="Times New Roman" w:hAnsi="Times New Roman"/>
                <w:noProof/>
                <w:sz w:val="24"/>
                <w:szCs w:val="24"/>
              </w:rPr>
              <w:t>ART. 2</w:t>
            </w:r>
            <w:r w:rsidRPr="00E723FF">
              <w:rPr>
                <w:rFonts w:ascii="Times New Roman" w:hAnsi="Times New Roman"/>
                <w:noProof/>
                <w:kern w:val="2"/>
                <w:sz w:val="24"/>
                <w:szCs w:val="24"/>
                <w14:ligatures w14:val="standardContextual"/>
              </w:rPr>
              <w:tab/>
            </w:r>
            <w:r w:rsidRPr="00E723FF">
              <w:rPr>
                <w:rStyle w:val="Hyperlink"/>
                <w:rFonts w:ascii="Times New Roman" w:hAnsi="Times New Roman"/>
                <w:noProof/>
                <w:sz w:val="24"/>
                <w:szCs w:val="24"/>
              </w:rPr>
              <w:t>(Disposizioni in materia di rafforzamento della capacità amministrativa delle Amministrazioni centrali titolari delle misure PNRR)</w:t>
            </w:r>
            <w:r w:rsidRPr="00E723FF">
              <w:rPr>
                <w:rFonts w:ascii="Times New Roman" w:hAnsi="Times New Roman"/>
                <w:noProof/>
                <w:webHidden/>
                <w:sz w:val="24"/>
                <w:szCs w:val="24"/>
              </w:rPr>
              <w:tab/>
            </w:r>
            <w:r w:rsidRPr="00E723FF">
              <w:rPr>
                <w:rFonts w:ascii="Times New Roman" w:hAnsi="Times New Roman"/>
                <w:noProof/>
                <w:webHidden/>
                <w:sz w:val="24"/>
                <w:szCs w:val="24"/>
              </w:rPr>
              <w:fldChar w:fldCharType="begin"/>
            </w:r>
            <w:r w:rsidRPr="00E723FF">
              <w:rPr>
                <w:rFonts w:ascii="Times New Roman" w:hAnsi="Times New Roman"/>
                <w:noProof/>
                <w:webHidden/>
                <w:sz w:val="24"/>
                <w:szCs w:val="24"/>
              </w:rPr>
              <w:instrText xml:space="preserve"> PAGEREF _Toc220077546 \h </w:instrText>
            </w:r>
            <w:r w:rsidRPr="00E723FF">
              <w:rPr>
                <w:rFonts w:ascii="Times New Roman" w:hAnsi="Times New Roman"/>
                <w:noProof/>
                <w:webHidden/>
                <w:sz w:val="24"/>
                <w:szCs w:val="24"/>
              </w:rPr>
              <w:fldChar w:fldCharType="separate"/>
            </w:r>
            <w:r w:rsidRPr="00E723FF">
              <w:rPr>
                <w:rFonts w:ascii="Times New Roman" w:hAnsi="Times New Roman"/>
                <w:noProof/>
                <w:webHidden/>
                <w:sz w:val="24"/>
                <w:szCs w:val="24"/>
              </w:rPr>
              <w:t>4</w:t>
            </w:r>
            <w:r w:rsidRPr="00E723FF">
              <w:rPr>
                <w:rFonts w:ascii="Times New Roman" w:hAnsi="Times New Roman"/>
                <w:noProof/>
                <w:webHidden/>
                <w:sz w:val="24"/>
                <w:szCs w:val="24"/>
              </w:rPr>
              <w:fldChar w:fldCharType="end"/>
            </w:r>
          </w:hyperlink>
        </w:p>
        <w:p w:rsidR="00E723FF" w:rsidRPr="00E723FF" w:rsidP="00A278F8" w14:paraId="64C9457E" w14:textId="52E20E88">
          <w:pPr>
            <w:pStyle w:val="TOC3"/>
            <w:tabs>
              <w:tab w:val="right" w:leader="dot" w:pos="9628"/>
            </w:tabs>
            <w:rPr>
              <w:rFonts w:ascii="Times New Roman" w:hAnsi="Times New Roman"/>
              <w:noProof/>
              <w:kern w:val="2"/>
              <w:sz w:val="24"/>
              <w:szCs w:val="24"/>
              <w14:ligatures w14:val="standardContextual"/>
            </w:rPr>
          </w:pPr>
          <w:hyperlink w:anchor="_Toc220077547" w:history="1">
            <w:r w:rsidRPr="00E723FF">
              <w:rPr>
                <w:rStyle w:val="Hyperlink"/>
                <w:rFonts w:ascii="Times New Roman" w:hAnsi="Times New Roman"/>
                <w:noProof/>
                <w:sz w:val="24"/>
                <w:szCs w:val="24"/>
              </w:rPr>
              <w:t xml:space="preserve">ART. 3                                                                                                                                           </w:t>
            </w:r>
            <w:r w:rsidR="00CD60FF">
              <w:rPr>
                <w:rStyle w:val="Hyperlink"/>
                <w:rFonts w:ascii="Times New Roman" w:hAnsi="Times New Roman"/>
                <w:noProof/>
                <w:sz w:val="24"/>
                <w:szCs w:val="24"/>
              </w:rPr>
              <w:tab/>
            </w:r>
            <w:r w:rsidRPr="00E723FF">
              <w:rPr>
                <w:rStyle w:val="Hyperlink"/>
                <w:rFonts w:ascii="Times New Roman" w:hAnsi="Times New Roman"/>
                <w:noProof/>
                <w:sz w:val="24"/>
                <w:szCs w:val="24"/>
              </w:rPr>
              <w:t xml:space="preserve"> (Disposizioni in materia di rafforzamento della capacità amministrativa dei soggetti attuatori delle misure PNRR</w:t>
            </w:r>
            <w:r w:rsidRPr="00E723FF">
              <w:rPr>
                <w:rFonts w:ascii="Times New Roman" w:hAnsi="Times New Roman"/>
                <w:noProof/>
                <w:webHidden/>
                <w:sz w:val="24"/>
                <w:szCs w:val="24"/>
              </w:rPr>
              <w:tab/>
            </w:r>
            <w:r w:rsidRPr="00E723FF">
              <w:rPr>
                <w:rFonts w:ascii="Times New Roman" w:hAnsi="Times New Roman"/>
                <w:noProof/>
                <w:webHidden/>
                <w:sz w:val="24"/>
                <w:szCs w:val="24"/>
              </w:rPr>
              <w:fldChar w:fldCharType="begin"/>
            </w:r>
            <w:r w:rsidRPr="00E723FF">
              <w:rPr>
                <w:rFonts w:ascii="Times New Roman" w:hAnsi="Times New Roman"/>
                <w:noProof/>
                <w:webHidden/>
                <w:sz w:val="24"/>
                <w:szCs w:val="24"/>
              </w:rPr>
              <w:instrText xml:space="preserve"> PAGEREF _Toc220077547 \h </w:instrText>
            </w:r>
            <w:r w:rsidRPr="00E723FF">
              <w:rPr>
                <w:rFonts w:ascii="Times New Roman" w:hAnsi="Times New Roman"/>
                <w:noProof/>
                <w:webHidden/>
                <w:sz w:val="24"/>
                <w:szCs w:val="24"/>
              </w:rPr>
              <w:fldChar w:fldCharType="separate"/>
            </w:r>
            <w:r w:rsidRPr="00E723FF">
              <w:rPr>
                <w:rFonts w:ascii="Times New Roman" w:hAnsi="Times New Roman"/>
                <w:noProof/>
                <w:webHidden/>
                <w:sz w:val="24"/>
                <w:szCs w:val="24"/>
              </w:rPr>
              <w:t>22</w:t>
            </w:r>
            <w:r w:rsidRPr="00E723FF">
              <w:rPr>
                <w:rFonts w:ascii="Times New Roman" w:hAnsi="Times New Roman"/>
                <w:noProof/>
                <w:webHidden/>
                <w:sz w:val="24"/>
                <w:szCs w:val="24"/>
              </w:rPr>
              <w:fldChar w:fldCharType="end"/>
            </w:r>
          </w:hyperlink>
        </w:p>
        <w:p w:rsidR="00E723FF" w:rsidRPr="00E723FF" w:rsidP="00A278F8" w14:paraId="187BE27F" w14:textId="2CFBB343">
          <w:pPr>
            <w:pStyle w:val="TOC3"/>
            <w:tabs>
              <w:tab w:val="right" w:leader="dot" w:pos="9628"/>
            </w:tabs>
            <w:rPr>
              <w:rFonts w:ascii="Times New Roman" w:hAnsi="Times New Roman"/>
              <w:noProof/>
              <w:kern w:val="2"/>
              <w:sz w:val="24"/>
              <w:szCs w:val="24"/>
              <w14:ligatures w14:val="standardContextual"/>
            </w:rPr>
          </w:pPr>
          <w:hyperlink w:anchor="_Toc220077548" w:history="1">
            <w:r w:rsidRPr="00E723FF">
              <w:rPr>
                <w:rStyle w:val="Hyperlink"/>
                <w:rFonts w:ascii="Times New Roman" w:hAnsi="Times New Roman"/>
                <w:noProof/>
                <w:sz w:val="24"/>
                <w:szCs w:val="24"/>
              </w:rPr>
              <w:t>ART. 4                                                                                                                                            (Misure di semplificazione per l’attuazione degli interventi previsti dal PNRR e per la realizzazione di quelli non più finanziati con risorse del medesimo)</w:t>
            </w:r>
            <w:r w:rsidRPr="00E723FF">
              <w:rPr>
                <w:rFonts w:ascii="Times New Roman" w:hAnsi="Times New Roman"/>
                <w:noProof/>
                <w:webHidden/>
                <w:sz w:val="24"/>
                <w:szCs w:val="24"/>
              </w:rPr>
              <w:tab/>
            </w:r>
            <w:r w:rsidRPr="00E723FF">
              <w:rPr>
                <w:rFonts w:ascii="Times New Roman" w:hAnsi="Times New Roman"/>
                <w:noProof/>
                <w:webHidden/>
                <w:sz w:val="24"/>
                <w:szCs w:val="24"/>
              </w:rPr>
              <w:fldChar w:fldCharType="begin"/>
            </w:r>
            <w:r w:rsidRPr="00E723FF">
              <w:rPr>
                <w:rFonts w:ascii="Times New Roman" w:hAnsi="Times New Roman"/>
                <w:noProof/>
                <w:webHidden/>
                <w:sz w:val="24"/>
                <w:szCs w:val="24"/>
              </w:rPr>
              <w:instrText xml:space="preserve"> PAGEREF _Toc220077548 \h </w:instrText>
            </w:r>
            <w:r w:rsidRPr="00E723FF">
              <w:rPr>
                <w:rFonts w:ascii="Times New Roman" w:hAnsi="Times New Roman"/>
                <w:noProof/>
                <w:webHidden/>
                <w:sz w:val="24"/>
                <w:szCs w:val="24"/>
              </w:rPr>
              <w:fldChar w:fldCharType="separate"/>
            </w:r>
            <w:r w:rsidRPr="00E723FF">
              <w:rPr>
                <w:rFonts w:ascii="Times New Roman" w:hAnsi="Times New Roman"/>
                <w:noProof/>
                <w:webHidden/>
                <w:sz w:val="24"/>
                <w:szCs w:val="24"/>
              </w:rPr>
              <w:t>23</w:t>
            </w:r>
            <w:r w:rsidRPr="00E723FF">
              <w:rPr>
                <w:rFonts w:ascii="Times New Roman" w:hAnsi="Times New Roman"/>
                <w:noProof/>
                <w:webHidden/>
                <w:sz w:val="24"/>
                <w:szCs w:val="24"/>
              </w:rPr>
              <w:fldChar w:fldCharType="end"/>
            </w:r>
          </w:hyperlink>
        </w:p>
        <w:p w:rsidR="00E723FF" w:rsidRPr="00E723FF" w:rsidP="00A278F8" w14:paraId="63ACCEF1" w14:textId="4F18C9FC">
          <w:pPr>
            <w:pStyle w:val="TOC3"/>
            <w:tabs>
              <w:tab w:val="right" w:leader="dot" w:pos="9628"/>
            </w:tabs>
            <w:rPr>
              <w:rFonts w:ascii="Times New Roman" w:hAnsi="Times New Roman"/>
              <w:noProof/>
              <w:kern w:val="2"/>
              <w:sz w:val="24"/>
              <w:szCs w:val="24"/>
              <w14:ligatures w14:val="standardContextual"/>
            </w:rPr>
          </w:pPr>
          <w:hyperlink w:anchor="_Toc220077549" w:history="1">
            <w:r w:rsidRPr="00E723FF">
              <w:rPr>
                <w:rStyle w:val="Hyperlink"/>
                <w:rFonts w:ascii="Times New Roman" w:hAnsi="Times New Roman"/>
                <w:noProof/>
                <w:sz w:val="24"/>
                <w:szCs w:val="24"/>
              </w:rPr>
              <w:t xml:space="preserve">ART. 5                                                                                                                                                  </w:t>
            </w:r>
            <w:r w:rsidR="0011059F">
              <w:rPr>
                <w:rStyle w:val="Hyperlink"/>
                <w:rFonts w:ascii="Times New Roman" w:hAnsi="Times New Roman"/>
                <w:noProof/>
                <w:sz w:val="24"/>
                <w:szCs w:val="24"/>
              </w:rPr>
              <w:t xml:space="preserve">    </w:t>
            </w:r>
            <w:r w:rsidRPr="00E723FF">
              <w:rPr>
                <w:rStyle w:val="Hyperlink"/>
                <w:rFonts w:ascii="Times New Roman" w:hAnsi="Times New Roman"/>
                <w:noProof/>
                <w:sz w:val="24"/>
                <w:szCs w:val="24"/>
              </w:rPr>
              <w:t xml:space="preserve"> </w:t>
            </w:r>
            <w:r w:rsidR="0011059F">
              <w:rPr>
                <w:rStyle w:val="Hyperlink"/>
                <w:rFonts w:ascii="Times New Roman" w:hAnsi="Times New Roman"/>
                <w:noProof/>
                <w:sz w:val="24"/>
                <w:szCs w:val="24"/>
              </w:rPr>
              <w:t xml:space="preserve">                      </w:t>
            </w:r>
            <w:r w:rsidRPr="00E723FF">
              <w:rPr>
                <w:rStyle w:val="Hyperlink"/>
                <w:rFonts w:ascii="Times New Roman" w:hAnsi="Times New Roman"/>
                <w:noProof/>
                <w:sz w:val="24"/>
                <w:szCs w:val="24"/>
              </w:rPr>
              <w:t>(Misure in materia in materia di regimi amministrativi)</w:t>
            </w:r>
            <w:r w:rsidR="0011059F">
              <w:rPr>
                <w:rStyle w:val="Hyperlink"/>
                <w:rFonts w:ascii="Times New Roman" w:hAnsi="Times New Roman"/>
                <w:noProof/>
                <w:sz w:val="24"/>
                <w:szCs w:val="24"/>
              </w:rPr>
              <w:t xml:space="preserve"> </w:t>
            </w:r>
            <w:r w:rsidR="00A278F8">
              <w:rPr>
                <w:rStyle w:val="Hyperlink"/>
                <w:rFonts w:ascii="Times New Roman" w:hAnsi="Times New Roman"/>
                <w:noProof/>
                <w:sz w:val="24"/>
                <w:szCs w:val="24"/>
              </w:rPr>
              <w:tab/>
            </w:r>
            <w:r w:rsidRPr="00E723FF">
              <w:rPr>
                <w:rFonts w:ascii="Times New Roman" w:hAnsi="Times New Roman"/>
                <w:noProof/>
                <w:webHidden/>
                <w:sz w:val="24"/>
                <w:szCs w:val="24"/>
              </w:rPr>
              <w:fldChar w:fldCharType="begin"/>
            </w:r>
            <w:r w:rsidRPr="00E723FF">
              <w:rPr>
                <w:rFonts w:ascii="Times New Roman" w:hAnsi="Times New Roman"/>
                <w:noProof/>
                <w:webHidden/>
                <w:sz w:val="24"/>
                <w:szCs w:val="24"/>
              </w:rPr>
              <w:instrText xml:space="preserve"> PAGEREF _Toc220077549 \h </w:instrText>
            </w:r>
            <w:r w:rsidRPr="00E723FF">
              <w:rPr>
                <w:rFonts w:ascii="Times New Roman" w:hAnsi="Times New Roman"/>
                <w:noProof/>
                <w:webHidden/>
                <w:sz w:val="24"/>
                <w:szCs w:val="24"/>
              </w:rPr>
              <w:fldChar w:fldCharType="separate"/>
            </w:r>
            <w:r w:rsidRPr="00E723FF">
              <w:rPr>
                <w:rFonts w:ascii="Times New Roman" w:hAnsi="Times New Roman"/>
                <w:noProof/>
                <w:webHidden/>
                <w:sz w:val="24"/>
                <w:szCs w:val="24"/>
              </w:rPr>
              <w:t>25</w:t>
            </w:r>
            <w:r w:rsidRPr="00E723FF">
              <w:rPr>
                <w:rFonts w:ascii="Times New Roman" w:hAnsi="Times New Roman"/>
                <w:noProof/>
                <w:webHidden/>
                <w:sz w:val="24"/>
                <w:szCs w:val="24"/>
              </w:rPr>
              <w:fldChar w:fldCharType="end"/>
            </w:r>
          </w:hyperlink>
        </w:p>
        <w:p w:rsidR="00E723FF" w:rsidRPr="00E723FF" w:rsidP="00A278F8" w14:paraId="778BE537" w14:textId="19D1513D">
          <w:pPr>
            <w:pStyle w:val="TOC3"/>
            <w:tabs>
              <w:tab w:val="right" w:leader="dot" w:pos="9628"/>
            </w:tabs>
            <w:rPr>
              <w:rFonts w:ascii="Times New Roman" w:hAnsi="Times New Roman"/>
              <w:noProof/>
              <w:kern w:val="2"/>
              <w:sz w:val="24"/>
              <w:szCs w:val="24"/>
              <w14:ligatures w14:val="standardContextual"/>
            </w:rPr>
          </w:pPr>
          <w:hyperlink w:anchor="_Toc220077550" w:history="1">
            <w:r w:rsidRPr="00E723FF">
              <w:rPr>
                <w:rStyle w:val="Hyperlink"/>
                <w:rFonts w:ascii="Times New Roman" w:hAnsi="Times New Roman"/>
                <w:noProof/>
                <w:sz w:val="24"/>
                <w:szCs w:val="24"/>
              </w:rPr>
              <w:t>ART. 6                                                                                                                                                                                                                                                        (Misure di semplificazione in favore dei cittadini e dei consumatori)</w:t>
            </w:r>
            <w:r w:rsidRPr="00E723FF">
              <w:rPr>
                <w:rFonts w:ascii="Times New Roman" w:hAnsi="Times New Roman"/>
                <w:noProof/>
                <w:webHidden/>
                <w:sz w:val="24"/>
                <w:szCs w:val="24"/>
              </w:rPr>
              <w:tab/>
            </w:r>
            <w:r w:rsidRPr="00E723FF">
              <w:rPr>
                <w:rFonts w:ascii="Times New Roman" w:hAnsi="Times New Roman"/>
                <w:noProof/>
                <w:webHidden/>
                <w:sz w:val="24"/>
                <w:szCs w:val="24"/>
              </w:rPr>
              <w:fldChar w:fldCharType="begin"/>
            </w:r>
            <w:r w:rsidRPr="00E723FF">
              <w:rPr>
                <w:rFonts w:ascii="Times New Roman" w:hAnsi="Times New Roman"/>
                <w:noProof/>
                <w:webHidden/>
                <w:sz w:val="24"/>
                <w:szCs w:val="24"/>
              </w:rPr>
              <w:instrText xml:space="preserve"> PAGEREF _Toc220077550 \h </w:instrText>
            </w:r>
            <w:r w:rsidRPr="00E723FF">
              <w:rPr>
                <w:rFonts w:ascii="Times New Roman" w:hAnsi="Times New Roman"/>
                <w:noProof/>
                <w:webHidden/>
                <w:sz w:val="24"/>
                <w:szCs w:val="24"/>
              </w:rPr>
              <w:fldChar w:fldCharType="separate"/>
            </w:r>
            <w:r w:rsidRPr="00E723FF">
              <w:rPr>
                <w:rFonts w:ascii="Times New Roman" w:hAnsi="Times New Roman"/>
                <w:noProof/>
                <w:webHidden/>
                <w:sz w:val="24"/>
                <w:szCs w:val="24"/>
              </w:rPr>
              <w:t>26</w:t>
            </w:r>
            <w:r w:rsidRPr="00E723FF">
              <w:rPr>
                <w:rFonts w:ascii="Times New Roman" w:hAnsi="Times New Roman"/>
                <w:noProof/>
                <w:webHidden/>
                <w:sz w:val="24"/>
                <w:szCs w:val="24"/>
              </w:rPr>
              <w:fldChar w:fldCharType="end"/>
            </w:r>
          </w:hyperlink>
        </w:p>
        <w:p w:rsidR="00E723FF" w:rsidRPr="00E723FF" w:rsidP="00A278F8" w14:paraId="4CE55DE0" w14:textId="30F68748">
          <w:pPr>
            <w:pStyle w:val="TOC3"/>
            <w:tabs>
              <w:tab w:val="right" w:leader="dot" w:pos="9628"/>
            </w:tabs>
            <w:rPr>
              <w:rFonts w:ascii="Times New Roman" w:hAnsi="Times New Roman"/>
              <w:noProof/>
              <w:kern w:val="2"/>
              <w:sz w:val="24"/>
              <w:szCs w:val="24"/>
              <w14:ligatures w14:val="standardContextual"/>
            </w:rPr>
          </w:pPr>
          <w:hyperlink w:anchor="_Toc220077551" w:history="1">
            <w:r w:rsidRPr="00E723FF">
              <w:rPr>
                <w:rStyle w:val="Hyperlink"/>
                <w:rFonts w:ascii="Times New Roman" w:hAnsi="Times New Roman"/>
                <w:noProof/>
                <w:sz w:val="24"/>
                <w:szCs w:val="24"/>
              </w:rPr>
              <w:t xml:space="preserve">ART. 7                                                                                                                                                  </w:t>
            </w:r>
            <w:r w:rsidR="009D0245">
              <w:rPr>
                <w:rStyle w:val="Hyperlink"/>
                <w:rFonts w:ascii="Times New Roman" w:hAnsi="Times New Roman"/>
                <w:noProof/>
                <w:sz w:val="24"/>
                <w:szCs w:val="24"/>
              </w:rPr>
              <w:t xml:space="preserve">                            </w:t>
            </w:r>
            <w:r w:rsidRPr="00E723FF">
              <w:rPr>
                <w:rStyle w:val="Hyperlink"/>
                <w:rFonts w:ascii="Times New Roman" w:hAnsi="Times New Roman"/>
                <w:noProof/>
                <w:sz w:val="24"/>
                <w:szCs w:val="24"/>
              </w:rPr>
              <w:t xml:space="preserve"> (Misure di semplificazione per l’attuazione della riforma in materia di disabilità)</w:t>
            </w:r>
            <w:r w:rsidRPr="00E723FF">
              <w:rPr>
                <w:rFonts w:ascii="Times New Roman" w:hAnsi="Times New Roman"/>
                <w:noProof/>
                <w:webHidden/>
                <w:sz w:val="24"/>
                <w:szCs w:val="24"/>
              </w:rPr>
              <w:tab/>
            </w:r>
            <w:r w:rsidRPr="00E723FF">
              <w:rPr>
                <w:rFonts w:ascii="Times New Roman" w:hAnsi="Times New Roman"/>
                <w:noProof/>
                <w:webHidden/>
                <w:sz w:val="24"/>
                <w:szCs w:val="24"/>
              </w:rPr>
              <w:fldChar w:fldCharType="begin"/>
            </w:r>
            <w:r w:rsidRPr="00E723FF">
              <w:rPr>
                <w:rFonts w:ascii="Times New Roman" w:hAnsi="Times New Roman"/>
                <w:noProof/>
                <w:webHidden/>
                <w:sz w:val="24"/>
                <w:szCs w:val="24"/>
              </w:rPr>
              <w:instrText xml:space="preserve"> PAGEREF _Toc220077551 \h </w:instrText>
            </w:r>
            <w:r w:rsidRPr="00E723FF">
              <w:rPr>
                <w:rFonts w:ascii="Times New Roman" w:hAnsi="Times New Roman"/>
                <w:noProof/>
                <w:webHidden/>
                <w:sz w:val="24"/>
                <w:szCs w:val="24"/>
              </w:rPr>
              <w:fldChar w:fldCharType="separate"/>
            </w:r>
            <w:r w:rsidRPr="00E723FF">
              <w:rPr>
                <w:rFonts w:ascii="Times New Roman" w:hAnsi="Times New Roman"/>
                <w:noProof/>
                <w:webHidden/>
                <w:sz w:val="24"/>
                <w:szCs w:val="24"/>
              </w:rPr>
              <w:t>27</w:t>
            </w:r>
            <w:r w:rsidRPr="00E723FF">
              <w:rPr>
                <w:rFonts w:ascii="Times New Roman" w:hAnsi="Times New Roman"/>
                <w:noProof/>
                <w:webHidden/>
                <w:sz w:val="24"/>
                <w:szCs w:val="24"/>
              </w:rPr>
              <w:fldChar w:fldCharType="end"/>
            </w:r>
          </w:hyperlink>
        </w:p>
        <w:p w:rsidR="00E723FF" w:rsidRPr="00E723FF" w:rsidP="00A278F8" w14:paraId="164F2DA0" w14:textId="3AC592A8">
          <w:pPr>
            <w:pStyle w:val="TOC3"/>
            <w:tabs>
              <w:tab w:val="right" w:leader="dot" w:pos="9628"/>
            </w:tabs>
            <w:rPr>
              <w:rFonts w:ascii="Times New Roman" w:hAnsi="Times New Roman"/>
              <w:noProof/>
              <w:kern w:val="2"/>
              <w:sz w:val="24"/>
              <w:szCs w:val="24"/>
              <w14:ligatures w14:val="standardContextual"/>
            </w:rPr>
          </w:pPr>
          <w:hyperlink w:anchor="_Toc220077552" w:history="1">
            <w:r w:rsidRPr="00E723FF">
              <w:rPr>
                <w:rStyle w:val="Hyperlink"/>
                <w:rFonts w:ascii="Times New Roman" w:hAnsi="Times New Roman"/>
                <w:noProof/>
                <w:sz w:val="24"/>
                <w:szCs w:val="24"/>
              </w:rPr>
              <w:t>ART. 8                                                                                                                                         (Semplificazioni in materia di obblighi amministrativi e di obblighi di pubblicazione per amministrazioni ed imprese)</w:t>
            </w:r>
            <w:r w:rsidRPr="00E723FF">
              <w:rPr>
                <w:rFonts w:ascii="Times New Roman" w:hAnsi="Times New Roman"/>
                <w:noProof/>
                <w:webHidden/>
                <w:sz w:val="24"/>
                <w:szCs w:val="24"/>
              </w:rPr>
              <w:tab/>
            </w:r>
            <w:r w:rsidRPr="00E723FF">
              <w:rPr>
                <w:rFonts w:ascii="Times New Roman" w:hAnsi="Times New Roman"/>
                <w:noProof/>
                <w:webHidden/>
                <w:sz w:val="24"/>
                <w:szCs w:val="24"/>
              </w:rPr>
              <w:fldChar w:fldCharType="begin"/>
            </w:r>
            <w:r w:rsidRPr="00E723FF">
              <w:rPr>
                <w:rFonts w:ascii="Times New Roman" w:hAnsi="Times New Roman"/>
                <w:noProof/>
                <w:webHidden/>
                <w:sz w:val="24"/>
                <w:szCs w:val="24"/>
              </w:rPr>
              <w:instrText xml:space="preserve"> PAGEREF _Toc220077552 \h </w:instrText>
            </w:r>
            <w:r w:rsidRPr="00E723FF">
              <w:rPr>
                <w:rFonts w:ascii="Times New Roman" w:hAnsi="Times New Roman"/>
                <w:noProof/>
                <w:webHidden/>
                <w:sz w:val="24"/>
                <w:szCs w:val="24"/>
              </w:rPr>
              <w:fldChar w:fldCharType="separate"/>
            </w:r>
            <w:r w:rsidRPr="00E723FF">
              <w:rPr>
                <w:rFonts w:ascii="Times New Roman" w:hAnsi="Times New Roman"/>
                <w:noProof/>
                <w:webHidden/>
                <w:sz w:val="24"/>
                <w:szCs w:val="24"/>
              </w:rPr>
              <w:t>31</w:t>
            </w:r>
            <w:r w:rsidRPr="00E723FF">
              <w:rPr>
                <w:rFonts w:ascii="Times New Roman" w:hAnsi="Times New Roman"/>
                <w:noProof/>
                <w:webHidden/>
                <w:sz w:val="24"/>
                <w:szCs w:val="24"/>
              </w:rPr>
              <w:fldChar w:fldCharType="end"/>
            </w:r>
          </w:hyperlink>
        </w:p>
        <w:p w:rsidR="00E723FF" w:rsidRPr="00E723FF" w:rsidP="00A278F8" w14:paraId="7695FF08" w14:textId="0E477B9E">
          <w:pPr>
            <w:pStyle w:val="TOC3"/>
            <w:tabs>
              <w:tab w:val="right" w:leader="dot" w:pos="9628"/>
            </w:tabs>
            <w:rPr>
              <w:rFonts w:ascii="Times New Roman" w:hAnsi="Times New Roman"/>
              <w:noProof/>
              <w:kern w:val="2"/>
              <w:sz w:val="24"/>
              <w:szCs w:val="24"/>
              <w14:ligatures w14:val="standardContextual"/>
            </w:rPr>
          </w:pPr>
          <w:hyperlink w:anchor="_Toc220077553" w:history="1">
            <w:r w:rsidRPr="00E723FF">
              <w:rPr>
                <w:rStyle w:val="Hyperlink"/>
                <w:rFonts w:ascii="Times New Roman" w:hAnsi="Times New Roman"/>
                <w:noProof/>
                <w:sz w:val="24"/>
                <w:szCs w:val="24"/>
              </w:rPr>
              <w:t>ART. 9                                                                                                                                         (Semplificazioni in materia di opere in prossimità della linea di vigilanza doganale e nel mare territoriale)</w:t>
            </w:r>
            <w:r w:rsidRPr="00E723FF">
              <w:rPr>
                <w:rFonts w:ascii="Times New Roman" w:hAnsi="Times New Roman"/>
                <w:noProof/>
                <w:webHidden/>
                <w:sz w:val="24"/>
                <w:szCs w:val="24"/>
              </w:rPr>
              <w:tab/>
            </w:r>
            <w:r w:rsidRPr="00E723FF">
              <w:rPr>
                <w:rFonts w:ascii="Times New Roman" w:hAnsi="Times New Roman"/>
                <w:noProof/>
                <w:webHidden/>
                <w:sz w:val="24"/>
                <w:szCs w:val="24"/>
              </w:rPr>
              <w:fldChar w:fldCharType="begin"/>
            </w:r>
            <w:r w:rsidRPr="00E723FF">
              <w:rPr>
                <w:rFonts w:ascii="Times New Roman" w:hAnsi="Times New Roman"/>
                <w:noProof/>
                <w:webHidden/>
                <w:sz w:val="24"/>
                <w:szCs w:val="24"/>
              </w:rPr>
              <w:instrText xml:space="preserve"> PAGEREF _Toc220077553 \h </w:instrText>
            </w:r>
            <w:r w:rsidRPr="00E723FF">
              <w:rPr>
                <w:rFonts w:ascii="Times New Roman" w:hAnsi="Times New Roman"/>
                <w:noProof/>
                <w:webHidden/>
                <w:sz w:val="24"/>
                <w:szCs w:val="24"/>
              </w:rPr>
              <w:fldChar w:fldCharType="separate"/>
            </w:r>
            <w:r w:rsidRPr="00E723FF">
              <w:rPr>
                <w:rFonts w:ascii="Times New Roman" w:hAnsi="Times New Roman"/>
                <w:noProof/>
                <w:webHidden/>
                <w:sz w:val="24"/>
                <w:szCs w:val="24"/>
              </w:rPr>
              <w:t>31</w:t>
            </w:r>
            <w:r w:rsidRPr="00E723FF">
              <w:rPr>
                <w:rFonts w:ascii="Times New Roman" w:hAnsi="Times New Roman"/>
                <w:noProof/>
                <w:webHidden/>
                <w:sz w:val="24"/>
                <w:szCs w:val="24"/>
              </w:rPr>
              <w:fldChar w:fldCharType="end"/>
            </w:r>
          </w:hyperlink>
        </w:p>
        <w:p w:rsidR="00E723FF" w:rsidRPr="00E723FF" w:rsidP="00A278F8" w14:paraId="7365C0AD" w14:textId="1D7A22B9">
          <w:pPr>
            <w:pStyle w:val="TOC3"/>
            <w:tabs>
              <w:tab w:val="right" w:leader="dot" w:pos="9628"/>
            </w:tabs>
            <w:rPr>
              <w:rFonts w:ascii="Times New Roman" w:hAnsi="Times New Roman"/>
              <w:noProof/>
              <w:kern w:val="2"/>
              <w:sz w:val="24"/>
              <w:szCs w:val="24"/>
              <w14:ligatures w14:val="standardContextual"/>
            </w:rPr>
          </w:pPr>
          <w:hyperlink w:anchor="_Toc220077554" w:history="1">
            <w:r w:rsidRPr="00E723FF">
              <w:rPr>
                <w:rStyle w:val="Hyperlink"/>
                <w:rFonts w:ascii="Times New Roman" w:eastAsia="Times New Roman" w:hAnsi="Times New Roman"/>
                <w:noProof/>
                <w:sz w:val="24"/>
                <w:szCs w:val="24"/>
              </w:rPr>
              <w:t>ART</w:t>
            </w:r>
            <w:r w:rsidRPr="00E723FF">
              <w:rPr>
                <w:rStyle w:val="Hyperlink"/>
                <w:rFonts w:ascii="Times New Roman" w:hAnsi="Times New Roman"/>
                <w:noProof/>
                <w:sz w:val="24"/>
                <w:szCs w:val="24"/>
              </w:rPr>
              <w:t xml:space="preserve"> 10                                                                                                                                                   </w:t>
            </w:r>
            <w:r w:rsidRPr="00E723FF">
              <w:rPr>
                <w:rStyle w:val="Hyperlink"/>
                <w:rFonts w:ascii="Times New Roman" w:eastAsia="Times New Roman" w:hAnsi="Times New Roman"/>
                <w:noProof/>
                <w:sz w:val="24"/>
                <w:szCs w:val="24"/>
              </w:rPr>
              <w:t>(Misure urgenti di semplificazione in materia di circolazione stradale e di abilitazione alla guida e di navigazione)</w:t>
            </w:r>
            <w:r w:rsidRPr="00E723FF">
              <w:rPr>
                <w:rFonts w:ascii="Times New Roman" w:hAnsi="Times New Roman"/>
                <w:noProof/>
                <w:webHidden/>
                <w:sz w:val="24"/>
                <w:szCs w:val="24"/>
              </w:rPr>
              <w:tab/>
            </w:r>
            <w:r w:rsidRPr="00E723FF">
              <w:rPr>
                <w:rFonts w:ascii="Times New Roman" w:hAnsi="Times New Roman"/>
                <w:noProof/>
                <w:webHidden/>
                <w:sz w:val="24"/>
                <w:szCs w:val="24"/>
              </w:rPr>
              <w:fldChar w:fldCharType="begin"/>
            </w:r>
            <w:r w:rsidRPr="00E723FF">
              <w:rPr>
                <w:rFonts w:ascii="Times New Roman" w:hAnsi="Times New Roman"/>
                <w:noProof/>
                <w:webHidden/>
                <w:sz w:val="24"/>
                <w:szCs w:val="24"/>
              </w:rPr>
              <w:instrText xml:space="preserve"> PAGEREF _Toc220077554 \h </w:instrText>
            </w:r>
            <w:r w:rsidRPr="00E723FF">
              <w:rPr>
                <w:rFonts w:ascii="Times New Roman" w:hAnsi="Times New Roman"/>
                <w:noProof/>
                <w:webHidden/>
                <w:sz w:val="24"/>
                <w:szCs w:val="24"/>
              </w:rPr>
              <w:fldChar w:fldCharType="separate"/>
            </w:r>
            <w:r w:rsidRPr="00E723FF">
              <w:rPr>
                <w:rFonts w:ascii="Times New Roman" w:hAnsi="Times New Roman"/>
                <w:noProof/>
                <w:webHidden/>
                <w:sz w:val="24"/>
                <w:szCs w:val="24"/>
              </w:rPr>
              <w:t>32</w:t>
            </w:r>
            <w:r w:rsidRPr="00E723FF">
              <w:rPr>
                <w:rFonts w:ascii="Times New Roman" w:hAnsi="Times New Roman"/>
                <w:noProof/>
                <w:webHidden/>
                <w:sz w:val="24"/>
                <w:szCs w:val="24"/>
              </w:rPr>
              <w:fldChar w:fldCharType="end"/>
            </w:r>
          </w:hyperlink>
        </w:p>
        <w:p w:rsidR="00E723FF" w:rsidRPr="00E723FF" w:rsidP="00A278F8" w14:paraId="219DA6E8" w14:textId="29D3D71B">
          <w:pPr>
            <w:pStyle w:val="TOC3"/>
            <w:tabs>
              <w:tab w:val="right" w:leader="dot" w:pos="9628"/>
            </w:tabs>
            <w:rPr>
              <w:rFonts w:ascii="Times New Roman" w:hAnsi="Times New Roman"/>
              <w:noProof/>
              <w:kern w:val="2"/>
              <w:sz w:val="24"/>
              <w:szCs w:val="24"/>
              <w14:ligatures w14:val="standardContextual"/>
            </w:rPr>
          </w:pPr>
          <w:hyperlink w:anchor="_Toc220077555" w:history="1">
            <w:r w:rsidRPr="00E723FF">
              <w:rPr>
                <w:rStyle w:val="Hyperlink"/>
                <w:rFonts w:ascii="Times New Roman" w:eastAsia="Times New Roman" w:hAnsi="Times New Roman"/>
                <w:noProof/>
                <w:sz w:val="24"/>
                <w:szCs w:val="24"/>
              </w:rPr>
              <w:t>ART. 11                                                                                                                                                  (Misure urgenti in materia di interoperabilità delle banche dati pubbliche e in materia di trasparenza e controllo degli strumenti digitali)</w:t>
            </w:r>
            <w:r w:rsidRPr="00E723FF">
              <w:rPr>
                <w:rFonts w:ascii="Times New Roman" w:hAnsi="Times New Roman"/>
                <w:noProof/>
                <w:webHidden/>
                <w:sz w:val="24"/>
                <w:szCs w:val="24"/>
              </w:rPr>
              <w:tab/>
            </w:r>
            <w:r w:rsidRPr="00E723FF">
              <w:rPr>
                <w:rFonts w:ascii="Times New Roman" w:hAnsi="Times New Roman"/>
                <w:noProof/>
                <w:webHidden/>
                <w:sz w:val="24"/>
                <w:szCs w:val="24"/>
              </w:rPr>
              <w:fldChar w:fldCharType="begin"/>
            </w:r>
            <w:r w:rsidRPr="00E723FF">
              <w:rPr>
                <w:rFonts w:ascii="Times New Roman" w:hAnsi="Times New Roman"/>
                <w:noProof/>
                <w:webHidden/>
                <w:sz w:val="24"/>
                <w:szCs w:val="24"/>
              </w:rPr>
              <w:instrText xml:space="preserve"> PAGEREF _Toc220077555 \h </w:instrText>
            </w:r>
            <w:r w:rsidRPr="00E723FF">
              <w:rPr>
                <w:rFonts w:ascii="Times New Roman" w:hAnsi="Times New Roman"/>
                <w:noProof/>
                <w:webHidden/>
                <w:sz w:val="24"/>
                <w:szCs w:val="24"/>
              </w:rPr>
              <w:fldChar w:fldCharType="separate"/>
            </w:r>
            <w:r w:rsidRPr="00E723FF">
              <w:rPr>
                <w:rFonts w:ascii="Times New Roman" w:hAnsi="Times New Roman"/>
                <w:noProof/>
                <w:webHidden/>
                <w:sz w:val="24"/>
                <w:szCs w:val="24"/>
              </w:rPr>
              <w:t>33</w:t>
            </w:r>
            <w:r w:rsidRPr="00E723FF">
              <w:rPr>
                <w:rFonts w:ascii="Times New Roman" w:hAnsi="Times New Roman"/>
                <w:noProof/>
                <w:webHidden/>
                <w:sz w:val="24"/>
                <w:szCs w:val="24"/>
              </w:rPr>
              <w:fldChar w:fldCharType="end"/>
            </w:r>
          </w:hyperlink>
        </w:p>
        <w:p w:rsidR="00E723FF" w:rsidRPr="00E723FF" w:rsidP="00A278F8" w14:paraId="3818E813" w14:textId="16394A4B">
          <w:pPr>
            <w:pStyle w:val="TOC3"/>
            <w:tabs>
              <w:tab w:val="right" w:leader="dot" w:pos="9628"/>
            </w:tabs>
            <w:rPr>
              <w:rFonts w:ascii="Times New Roman" w:hAnsi="Times New Roman"/>
              <w:noProof/>
              <w:kern w:val="2"/>
              <w:sz w:val="24"/>
              <w:szCs w:val="24"/>
              <w14:ligatures w14:val="standardContextual"/>
            </w:rPr>
          </w:pPr>
          <w:hyperlink w:anchor="_Toc220077556" w:history="1">
            <w:r w:rsidRPr="00E723FF">
              <w:rPr>
                <w:rStyle w:val="Hyperlink"/>
                <w:rFonts w:ascii="Times New Roman" w:eastAsia="Times New Roman" w:hAnsi="Times New Roman"/>
                <w:noProof/>
                <w:sz w:val="24"/>
                <w:szCs w:val="24"/>
              </w:rPr>
              <w:t>ART. 12                                                                                                                                                     (Misure urgenti in materia di microimprese)</w:t>
            </w:r>
            <w:r w:rsidRPr="00E723FF">
              <w:rPr>
                <w:rFonts w:ascii="Times New Roman" w:hAnsi="Times New Roman"/>
                <w:noProof/>
                <w:webHidden/>
                <w:sz w:val="24"/>
                <w:szCs w:val="24"/>
              </w:rPr>
              <w:tab/>
            </w:r>
            <w:r w:rsidRPr="00E723FF">
              <w:rPr>
                <w:rFonts w:ascii="Times New Roman" w:hAnsi="Times New Roman"/>
                <w:noProof/>
                <w:webHidden/>
                <w:sz w:val="24"/>
                <w:szCs w:val="24"/>
              </w:rPr>
              <w:fldChar w:fldCharType="begin"/>
            </w:r>
            <w:r w:rsidRPr="00E723FF">
              <w:rPr>
                <w:rFonts w:ascii="Times New Roman" w:hAnsi="Times New Roman"/>
                <w:noProof/>
                <w:webHidden/>
                <w:sz w:val="24"/>
                <w:szCs w:val="24"/>
              </w:rPr>
              <w:instrText xml:space="preserve"> PAGEREF _Toc220077556 \h </w:instrText>
            </w:r>
            <w:r w:rsidRPr="00E723FF">
              <w:rPr>
                <w:rFonts w:ascii="Times New Roman" w:hAnsi="Times New Roman"/>
                <w:noProof/>
                <w:webHidden/>
                <w:sz w:val="24"/>
                <w:szCs w:val="24"/>
              </w:rPr>
              <w:fldChar w:fldCharType="separate"/>
            </w:r>
            <w:r w:rsidRPr="00E723FF">
              <w:rPr>
                <w:rFonts w:ascii="Times New Roman" w:hAnsi="Times New Roman"/>
                <w:noProof/>
                <w:webHidden/>
                <w:sz w:val="24"/>
                <w:szCs w:val="24"/>
              </w:rPr>
              <w:t>38</w:t>
            </w:r>
            <w:r w:rsidRPr="00E723FF">
              <w:rPr>
                <w:rFonts w:ascii="Times New Roman" w:hAnsi="Times New Roman"/>
                <w:noProof/>
                <w:webHidden/>
                <w:sz w:val="24"/>
                <w:szCs w:val="24"/>
              </w:rPr>
              <w:fldChar w:fldCharType="end"/>
            </w:r>
          </w:hyperlink>
        </w:p>
        <w:p w:rsidR="00E723FF" w:rsidRPr="00E723FF" w:rsidP="00A278F8" w14:paraId="2E8BF9EB" w14:textId="762608B8">
          <w:pPr>
            <w:pStyle w:val="TOC3"/>
            <w:tabs>
              <w:tab w:val="right" w:leader="dot" w:pos="9628"/>
            </w:tabs>
            <w:rPr>
              <w:rFonts w:ascii="Times New Roman" w:hAnsi="Times New Roman"/>
              <w:noProof/>
              <w:kern w:val="2"/>
              <w:sz w:val="24"/>
              <w:szCs w:val="24"/>
              <w14:ligatures w14:val="standardContextual"/>
            </w:rPr>
          </w:pPr>
          <w:hyperlink w:anchor="_Toc220077557" w:history="1">
            <w:r w:rsidRPr="00E723FF">
              <w:rPr>
                <w:rStyle w:val="Hyperlink"/>
                <w:rFonts w:ascii="Times New Roman" w:eastAsia="Times New Roman" w:hAnsi="Times New Roman"/>
                <w:noProof/>
                <w:sz w:val="24"/>
                <w:szCs w:val="24"/>
              </w:rPr>
              <w:t>ART. 13                                                                                                                                                    (</w:t>
            </w:r>
            <w:r w:rsidRPr="00E723FF">
              <w:rPr>
                <w:rStyle w:val="Hyperlink"/>
                <w:rFonts w:ascii="Times New Roman" w:hAnsi="Times New Roman"/>
                <w:noProof/>
                <w:sz w:val="24"/>
                <w:szCs w:val="24"/>
              </w:rPr>
              <w:t>Misure urgenti di semplificazione in materia di comunicazioni elettroniche)</w:t>
            </w:r>
            <w:r w:rsidRPr="00E723FF">
              <w:rPr>
                <w:rFonts w:ascii="Times New Roman" w:hAnsi="Times New Roman"/>
                <w:noProof/>
                <w:webHidden/>
                <w:sz w:val="24"/>
                <w:szCs w:val="24"/>
              </w:rPr>
              <w:tab/>
            </w:r>
            <w:r w:rsidRPr="00E723FF">
              <w:rPr>
                <w:rFonts w:ascii="Times New Roman" w:hAnsi="Times New Roman"/>
                <w:noProof/>
                <w:webHidden/>
                <w:sz w:val="24"/>
                <w:szCs w:val="24"/>
              </w:rPr>
              <w:fldChar w:fldCharType="begin"/>
            </w:r>
            <w:r w:rsidRPr="00E723FF">
              <w:rPr>
                <w:rFonts w:ascii="Times New Roman" w:hAnsi="Times New Roman"/>
                <w:noProof/>
                <w:webHidden/>
                <w:sz w:val="24"/>
                <w:szCs w:val="24"/>
              </w:rPr>
              <w:instrText xml:space="preserve"> PAGEREF _Toc220077557 \h </w:instrText>
            </w:r>
            <w:r w:rsidRPr="00E723FF">
              <w:rPr>
                <w:rFonts w:ascii="Times New Roman" w:hAnsi="Times New Roman"/>
                <w:noProof/>
                <w:webHidden/>
                <w:sz w:val="24"/>
                <w:szCs w:val="24"/>
              </w:rPr>
              <w:fldChar w:fldCharType="separate"/>
            </w:r>
            <w:r w:rsidRPr="00E723FF">
              <w:rPr>
                <w:rFonts w:ascii="Times New Roman" w:hAnsi="Times New Roman"/>
                <w:noProof/>
                <w:webHidden/>
                <w:sz w:val="24"/>
                <w:szCs w:val="24"/>
              </w:rPr>
              <w:t>39</w:t>
            </w:r>
            <w:r w:rsidRPr="00E723FF">
              <w:rPr>
                <w:rFonts w:ascii="Times New Roman" w:hAnsi="Times New Roman"/>
                <w:noProof/>
                <w:webHidden/>
                <w:sz w:val="24"/>
                <w:szCs w:val="24"/>
              </w:rPr>
              <w:fldChar w:fldCharType="end"/>
            </w:r>
          </w:hyperlink>
        </w:p>
        <w:p w:rsidR="00E723FF" w:rsidRPr="00E723FF" w:rsidP="00A278F8" w14:paraId="4AFF7E1E" w14:textId="4DC15459">
          <w:pPr>
            <w:pStyle w:val="TOC3"/>
            <w:tabs>
              <w:tab w:val="right" w:leader="dot" w:pos="9628"/>
            </w:tabs>
            <w:rPr>
              <w:rFonts w:ascii="Times New Roman" w:hAnsi="Times New Roman"/>
              <w:noProof/>
              <w:kern w:val="2"/>
              <w:sz w:val="24"/>
              <w:szCs w:val="24"/>
              <w14:ligatures w14:val="standardContextual"/>
            </w:rPr>
          </w:pPr>
          <w:hyperlink w:anchor="_Toc220077558" w:history="1">
            <w:r w:rsidRPr="00E723FF">
              <w:rPr>
                <w:rStyle w:val="Hyperlink"/>
                <w:rFonts w:ascii="Times New Roman" w:eastAsia="Times New Roman" w:hAnsi="Times New Roman"/>
                <w:noProof/>
                <w:sz w:val="24"/>
                <w:szCs w:val="24"/>
              </w:rPr>
              <w:t>ART. 14                                                                                                                                                   (Misure urgenti di semplificazione in materia di bonifiche e di industria insalubre, nonché in materia di rifiuti)</w:t>
            </w:r>
            <w:r w:rsidRPr="00E723FF">
              <w:rPr>
                <w:rFonts w:ascii="Times New Roman" w:hAnsi="Times New Roman"/>
                <w:noProof/>
                <w:webHidden/>
                <w:sz w:val="24"/>
                <w:szCs w:val="24"/>
              </w:rPr>
              <w:tab/>
            </w:r>
            <w:r w:rsidRPr="00E723FF">
              <w:rPr>
                <w:rFonts w:ascii="Times New Roman" w:hAnsi="Times New Roman"/>
                <w:noProof/>
                <w:webHidden/>
                <w:sz w:val="24"/>
                <w:szCs w:val="24"/>
              </w:rPr>
              <w:fldChar w:fldCharType="begin"/>
            </w:r>
            <w:r w:rsidRPr="00E723FF">
              <w:rPr>
                <w:rFonts w:ascii="Times New Roman" w:hAnsi="Times New Roman"/>
                <w:noProof/>
                <w:webHidden/>
                <w:sz w:val="24"/>
                <w:szCs w:val="24"/>
              </w:rPr>
              <w:instrText xml:space="preserve"> PAGEREF _Toc220077558 \h </w:instrText>
            </w:r>
            <w:r w:rsidRPr="00E723FF">
              <w:rPr>
                <w:rFonts w:ascii="Times New Roman" w:hAnsi="Times New Roman"/>
                <w:noProof/>
                <w:webHidden/>
                <w:sz w:val="24"/>
                <w:szCs w:val="24"/>
              </w:rPr>
              <w:fldChar w:fldCharType="separate"/>
            </w:r>
            <w:r w:rsidRPr="00E723FF">
              <w:rPr>
                <w:rFonts w:ascii="Times New Roman" w:hAnsi="Times New Roman"/>
                <w:noProof/>
                <w:webHidden/>
                <w:sz w:val="24"/>
                <w:szCs w:val="24"/>
              </w:rPr>
              <w:t>41</w:t>
            </w:r>
            <w:r w:rsidRPr="00E723FF">
              <w:rPr>
                <w:rFonts w:ascii="Times New Roman" w:hAnsi="Times New Roman"/>
                <w:noProof/>
                <w:webHidden/>
                <w:sz w:val="24"/>
                <w:szCs w:val="24"/>
              </w:rPr>
              <w:fldChar w:fldCharType="end"/>
            </w:r>
          </w:hyperlink>
        </w:p>
        <w:p w:rsidR="00E723FF" w:rsidRPr="00E723FF" w:rsidP="00A278F8" w14:paraId="46962542" w14:textId="4B96E15F">
          <w:pPr>
            <w:pStyle w:val="TOC3"/>
            <w:tabs>
              <w:tab w:val="right" w:leader="dot" w:pos="9628"/>
            </w:tabs>
            <w:rPr>
              <w:rFonts w:ascii="Times New Roman" w:hAnsi="Times New Roman"/>
              <w:noProof/>
              <w:kern w:val="2"/>
              <w:sz w:val="24"/>
              <w:szCs w:val="24"/>
              <w14:ligatures w14:val="standardContextual"/>
            </w:rPr>
          </w:pPr>
          <w:hyperlink w:anchor="_Toc220077559" w:history="1">
            <w:r w:rsidRPr="00E723FF">
              <w:rPr>
                <w:rStyle w:val="Hyperlink"/>
                <w:rFonts w:ascii="Times New Roman" w:hAnsi="Times New Roman"/>
                <w:noProof/>
                <w:sz w:val="24"/>
                <w:szCs w:val="24"/>
              </w:rPr>
              <w:t xml:space="preserve">ART. </w:t>
            </w:r>
            <w:r w:rsidRPr="00E723FF">
              <w:rPr>
                <w:rStyle w:val="Hyperlink"/>
                <w:rFonts w:ascii="Times New Roman" w:hAnsi="Times New Roman"/>
                <w:bCs/>
                <w:noProof/>
                <w:sz w:val="24"/>
                <w:szCs w:val="24"/>
              </w:rPr>
              <w:t>15</w:t>
            </w:r>
            <w:r w:rsidRPr="00E723FF">
              <w:rPr>
                <w:rStyle w:val="Hyperlink"/>
                <w:rFonts w:ascii="Times New Roman" w:hAnsi="Times New Roman"/>
                <w:noProof/>
                <w:sz w:val="24"/>
                <w:szCs w:val="24"/>
              </w:rPr>
              <w:t xml:space="preserve">                                                                                                                                              </w:t>
            </w:r>
            <w:r w:rsidRPr="00E723FF">
              <w:rPr>
                <w:rStyle w:val="Hyperlink"/>
                <w:rFonts w:ascii="Times New Roman" w:hAnsi="Times New Roman"/>
                <w:i/>
                <w:noProof/>
                <w:sz w:val="24"/>
                <w:szCs w:val="24"/>
              </w:rPr>
              <w:t>(</w:t>
            </w:r>
            <w:r w:rsidRPr="00E723FF">
              <w:rPr>
                <w:rStyle w:val="Hyperlink"/>
                <w:rFonts w:ascii="Times New Roman" w:hAnsi="Times New Roman"/>
                <w:i/>
                <w:noProof/>
                <w:sz w:val="24"/>
                <w:szCs w:val="24"/>
                <w:shd w:val="clear" w:color="auto" w:fill="FFFFFF"/>
              </w:rPr>
              <w:t>Misure urgenti di semplificazione a favore dei malati cronici e delle persone affette da patologie rare)</w:t>
            </w:r>
            <w:r w:rsidRPr="00E723FF">
              <w:rPr>
                <w:rFonts w:ascii="Times New Roman" w:hAnsi="Times New Roman"/>
                <w:noProof/>
                <w:webHidden/>
                <w:sz w:val="24"/>
                <w:szCs w:val="24"/>
              </w:rPr>
              <w:tab/>
            </w:r>
            <w:r w:rsidRPr="00E723FF">
              <w:rPr>
                <w:rFonts w:ascii="Times New Roman" w:hAnsi="Times New Roman"/>
                <w:noProof/>
                <w:webHidden/>
                <w:sz w:val="24"/>
                <w:szCs w:val="24"/>
              </w:rPr>
              <w:fldChar w:fldCharType="begin"/>
            </w:r>
            <w:r w:rsidRPr="00E723FF">
              <w:rPr>
                <w:rFonts w:ascii="Times New Roman" w:hAnsi="Times New Roman"/>
                <w:noProof/>
                <w:webHidden/>
                <w:sz w:val="24"/>
                <w:szCs w:val="24"/>
              </w:rPr>
              <w:instrText xml:space="preserve"> PAGEREF _Toc220077559 \h </w:instrText>
            </w:r>
            <w:r w:rsidRPr="00E723FF">
              <w:rPr>
                <w:rFonts w:ascii="Times New Roman" w:hAnsi="Times New Roman"/>
                <w:noProof/>
                <w:webHidden/>
                <w:sz w:val="24"/>
                <w:szCs w:val="24"/>
              </w:rPr>
              <w:fldChar w:fldCharType="separate"/>
            </w:r>
            <w:r w:rsidRPr="00E723FF">
              <w:rPr>
                <w:rFonts w:ascii="Times New Roman" w:hAnsi="Times New Roman"/>
                <w:noProof/>
                <w:webHidden/>
                <w:sz w:val="24"/>
                <w:szCs w:val="24"/>
              </w:rPr>
              <w:t>42</w:t>
            </w:r>
            <w:r w:rsidRPr="00E723FF">
              <w:rPr>
                <w:rFonts w:ascii="Times New Roman" w:hAnsi="Times New Roman"/>
                <w:noProof/>
                <w:webHidden/>
                <w:sz w:val="24"/>
                <w:szCs w:val="24"/>
              </w:rPr>
              <w:fldChar w:fldCharType="end"/>
            </w:r>
          </w:hyperlink>
        </w:p>
        <w:p w:rsidR="00E723FF" w:rsidRPr="00E723FF" w:rsidP="00A278F8" w14:paraId="09201F16" w14:textId="1489E3BA">
          <w:pPr>
            <w:pStyle w:val="TOC3"/>
            <w:tabs>
              <w:tab w:val="right" w:leader="dot" w:pos="9628"/>
            </w:tabs>
            <w:rPr>
              <w:rFonts w:ascii="Times New Roman" w:hAnsi="Times New Roman"/>
              <w:noProof/>
              <w:kern w:val="2"/>
              <w:sz w:val="24"/>
              <w:szCs w:val="24"/>
              <w14:ligatures w14:val="standardContextual"/>
            </w:rPr>
          </w:pPr>
          <w:hyperlink w:anchor="_Toc220077560" w:history="1">
            <w:r w:rsidRPr="00E723FF">
              <w:rPr>
                <w:rStyle w:val="Hyperlink"/>
                <w:rFonts w:ascii="Times New Roman" w:hAnsi="Times New Roman"/>
                <w:noProof/>
                <w:sz w:val="24"/>
                <w:szCs w:val="24"/>
              </w:rPr>
              <w:t>ART. 16                                                                                                                                                           (Disposizioni per l’attuazione della Riforma 1.7 «</w:t>
            </w:r>
            <w:r w:rsidRPr="00E723FF">
              <w:rPr>
                <w:rStyle w:val="Hyperlink"/>
                <w:rFonts w:ascii="Times New Roman" w:hAnsi="Times New Roman"/>
                <w:bCs/>
                <w:noProof/>
                <w:sz w:val="24"/>
                <w:szCs w:val="24"/>
              </w:rPr>
              <w:t>Giustizia tributaria</w:t>
            </w:r>
            <w:r w:rsidRPr="00E723FF">
              <w:rPr>
                <w:rStyle w:val="Hyperlink"/>
                <w:rFonts w:ascii="Times New Roman" w:hAnsi="Times New Roman"/>
                <w:noProof/>
                <w:sz w:val="24"/>
                <w:szCs w:val="24"/>
              </w:rPr>
              <w:t>» della Missione 1 - Componente 1 del PNRR)</w:t>
            </w:r>
            <w:r w:rsidRPr="00E723FF">
              <w:rPr>
                <w:rFonts w:ascii="Times New Roman" w:hAnsi="Times New Roman"/>
                <w:noProof/>
                <w:webHidden/>
                <w:sz w:val="24"/>
                <w:szCs w:val="24"/>
              </w:rPr>
              <w:tab/>
            </w:r>
            <w:r w:rsidRPr="00E723FF">
              <w:rPr>
                <w:rFonts w:ascii="Times New Roman" w:hAnsi="Times New Roman"/>
                <w:noProof/>
                <w:webHidden/>
                <w:sz w:val="24"/>
                <w:szCs w:val="24"/>
              </w:rPr>
              <w:fldChar w:fldCharType="begin"/>
            </w:r>
            <w:r w:rsidRPr="00E723FF">
              <w:rPr>
                <w:rFonts w:ascii="Times New Roman" w:hAnsi="Times New Roman"/>
                <w:noProof/>
                <w:webHidden/>
                <w:sz w:val="24"/>
                <w:szCs w:val="24"/>
              </w:rPr>
              <w:instrText xml:space="preserve"> PAGEREF _Toc220077560 \h </w:instrText>
            </w:r>
            <w:r w:rsidRPr="00E723FF">
              <w:rPr>
                <w:rFonts w:ascii="Times New Roman" w:hAnsi="Times New Roman"/>
                <w:noProof/>
                <w:webHidden/>
                <w:sz w:val="24"/>
                <w:szCs w:val="24"/>
              </w:rPr>
              <w:fldChar w:fldCharType="separate"/>
            </w:r>
            <w:r w:rsidRPr="00E723FF">
              <w:rPr>
                <w:rFonts w:ascii="Times New Roman" w:hAnsi="Times New Roman"/>
                <w:noProof/>
                <w:webHidden/>
                <w:sz w:val="24"/>
                <w:szCs w:val="24"/>
              </w:rPr>
              <w:t>42</w:t>
            </w:r>
            <w:r w:rsidRPr="00E723FF">
              <w:rPr>
                <w:rFonts w:ascii="Times New Roman" w:hAnsi="Times New Roman"/>
                <w:noProof/>
                <w:webHidden/>
                <w:sz w:val="24"/>
                <w:szCs w:val="24"/>
              </w:rPr>
              <w:fldChar w:fldCharType="end"/>
            </w:r>
          </w:hyperlink>
        </w:p>
        <w:p w:rsidR="00E723FF" w:rsidRPr="00E723FF" w:rsidP="00A278F8" w14:paraId="305534C2" w14:textId="47F9C5B9">
          <w:pPr>
            <w:pStyle w:val="TOC3"/>
            <w:tabs>
              <w:tab w:val="right" w:leader="dot" w:pos="9628"/>
            </w:tabs>
            <w:rPr>
              <w:rFonts w:ascii="Times New Roman" w:hAnsi="Times New Roman"/>
              <w:noProof/>
              <w:kern w:val="2"/>
              <w:sz w:val="24"/>
              <w:szCs w:val="24"/>
              <w14:ligatures w14:val="standardContextual"/>
            </w:rPr>
          </w:pPr>
          <w:hyperlink w:anchor="_Toc220077561" w:history="1">
            <w:r w:rsidRPr="00E723FF">
              <w:rPr>
                <w:rStyle w:val="Hyperlink"/>
                <w:rFonts w:ascii="Times New Roman" w:eastAsia="Times New Roman" w:hAnsi="Times New Roman"/>
                <w:noProof/>
                <w:sz w:val="24"/>
                <w:szCs w:val="24"/>
              </w:rPr>
              <w:t>ART. 17                                                                                                                                                                                                                                             (Disposizioni per l’attuazione della Riforma 1.4 «</w:t>
            </w:r>
            <w:r w:rsidRPr="00E723FF">
              <w:rPr>
                <w:rStyle w:val="Hyperlink"/>
                <w:rFonts w:ascii="Times New Roman" w:eastAsia="Times New Roman" w:hAnsi="Times New Roman"/>
                <w:bCs/>
                <w:noProof/>
                <w:sz w:val="24"/>
                <w:szCs w:val="24"/>
              </w:rPr>
              <w:t>Giustizia civile</w:t>
            </w:r>
            <w:r w:rsidRPr="00E723FF">
              <w:rPr>
                <w:rStyle w:val="Hyperlink"/>
                <w:rFonts w:ascii="Times New Roman" w:eastAsia="Times New Roman" w:hAnsi="Times New Roman"/>
                <w:noProof/>
                <w:sz w:val="24"/>
                <w:szCs w:val="24"/>
              </w:rPr>
              <w:t>» della Missione 1 - Componente 1 del PNRR)</w:t>
            </w:r>
            <w:r w:rsidRPr="00E723FF">
              <w:rPr>
                <w:rFonts w:ascii="Times New Roman" w:hAnsi="Times New Roman"/>
                <w:noProof/>
                <w:webHidden/>
                <w:sz w:val="24"/>
                <w:szCs w:val="24"/>
              </w:rPr>
              <w:tab/>
            </w:r>
            <w:r w:rsidRPr="00E723FF">
              <w:rPr>
                <w:rFonts w:ascii="Times New Roman" w:hAnsi="Times New Roman"/>
                <w:noProof/>
                <w:webHidden/>
                <w:sz w:val="24"/>
                <w:szCs w:val="24"/>
              </w:rPr>
              <w:fldChar w:fldCharType="begin"/>
            </w:r>
            <w:r w:rsidRPr="00E723FF">
              <w:rPr>
                <w:rFonts w:ascii="Times New Roman" w:hAnsi="Times New Roman"/>
                <w:noProof/>
                <w:webHidden/>
                <w:sz w:val="24"/>
                <w:szCs w:val="24"/>
              </w:rPr>
              <w:instrText xml:space="preserve"> PAGEREF _Toc220077561 \h </w:instrText>
            </w:r>
            <w:r w:rsidRPr="00E723FF">
              <w:rPr>
                <w:rFonts w:ascii="Times New Roman" w:hAnsi="Times New Roman"/>
                <w:noProof/>
                <w:webHidden/>
                <w:sz w:val="24"/>
                <w:szCs w:val="24"/>
              </w:rPr>
              <w:fldChar w:fldCharType="separate"/>
            </w:r>
            <w:r w:rsidRPr="00E723FF">
              <w:rPr>
                <w:rFonts w:ascii="Times New Roman" w:hAnsi="Times New Roman"/>
                <w:noProof/>
                <w:webHidden/>
                <w:sz w:val="24"/>
                <w:szCs w:val="24"/>
              </w:rPr>
              <w:t>44</w:t>
            </w:r>
            <w:r w:rsidRPr="00E723FF">
              <w:rPr>
                <w:rFonts w:ascii="Times New Roman" w:hAnsi="Times New Roman"/>
                <w:noProof/>
                <w:webHidden/>
                <w:sz w:val="24"/>
                <w:szCs w:val="24"/>
              </w:rPr>
              <w:fldChar w:fldCharType="end"/>
            </w:r>
          </w:hyperlink>
        </w:p>
        <w:p w:rsidR="00E723FF" w:rsidRPr="00E723FF" w:rsidP="00A278F8" w14:paraId="4FD5BEEE" w14:textId="618704E9">
          <w:pPr>
            <w:pStyle w:val="TOC3"/>
            <w:tabs>
              <w:tab w:val="right" w:leader="dot" w:pos="9628"/>
            </w:tabs>
            <w:rPr>
              <w:rFonts w:ascii="Times New Roman" w:hAnsi="Times New Roman"/>
              <w:noProof/>
              <w:kern w:val="2"/>
              <w:sz w:val="24"/>
              <w:szCs w:val="24"/>
              <w14:ligatures w14:val="standardContextual"/>
            </w:rPr>
          </w:pPr>
          <w:hyperlink w:anchor="_Toc220077562" w:history="1">
            <w:r w:rsidRPr="00E723FF">
              <w:rPr>
                <w:rStyle w:val="Hyperlink"/>
                <w:rFonts w:ascii="Times New Roman" w:eastAsia="Times New Roman" w:hAnsi="Times New Roman"/>
                <w:noProof/>
                <w:sz w:val="24"/>
                <w:szCs w:val="24"/>
              </w:rPr>
              <w:t>ART. 18                                                                                                                                                 (</w:t>
            </w:r>
            <w:r w:rsidRPr="00E723FF">
              <w:rPr>
                <w:rStyle w:val="Hyperlink"/>
                <w:rFonts w:ascii="Times New Roman" w:hAnsi="Times New Roman"/>
                <w:noProof/>
                <w:sz w:val="24"/>
                <w:szCs w:val="24"/>
              </w:rPr>
              <w:t xml:space="preserve">Misure urgenti per l’attuazione della Riforma 1.1 </w:t>
            </w:r>
            <w:r w:rsidRPr="00E723FF">
              <w:rPr>
                <w:rStyle w:val="Hyperlink"/>
                <w:rFonts w:ascii="Times New Roman" w:eastAsia="Book Antiqua" w:hAnsi="Times New Roman"/>
                <w:noProof/>
                <w:sz w:val="24"/>
                <w:szCs w:val="24"/>
              </w:rPr>
              <w:t>«</w:t>
            </w:r>
            <w:r w:rsidRPr="00E723FF">
              <w:rPr>
                <w:rStyle w:val="Hyperlink"/>
                <w:rFonts w:ascii="Times New Roman" w:eastAsia="Book Antiqua" w:hAnsi="Times New Roman"/>
                <w:bCs/>
                <w:noProof/>
                <w:sz w:val="24"/>
                <w:szCs w:val="24"/>
              </w:rPr>
              <w:t>Riforma degli istituti tecnici e professionali</w:t>
            </w:r>
            <w:r w:rsidRPr="00E723FF">
              <w:rPr>
                <w:rStyle w:val="Hyperlink"/>
                <w:rFonts w:ascii="Times New Roman" w:eastAsia="Book Antiqua" w:hAnsi="Times New Roman"/>
                <w:noProof/>
                <w:sz w:val="24"/>
                <w:szCs w:val="24"/>
              </w:rPr>
              <w:t>»,  della Riforma 1.3 Riorganizzazione del sistema scolastico», della Riforma 2.1 «</w:t>
            </w:r>
            <w:r w:rsidRPr="00E723FF">
              <w:rPr>
                <w:rStyle w:val="Hyperlink"/>
                <w:rFonts w:ascii="Times New Roman" w:eastAsia="Book Antiqua" w:hAnsi="Times New Roman"/>
                <w:bCs/>
                <w:noProof/>
                <w:sz w:val="24"/>
                <w:szCs w:val="24"/>
              </w:rPr>
              <w:t>Reclutamento dei docenti</w:t>
            </w:r>
            <w:r w:rsidRPr="00E723FF">
              <w:rPr>
                <w:rStyle w:val="Hyperlink"/>
                <w:rFonts w:ascii="Times New Roman" w:eastAsia="Book Antiqua" w:hAnsi="Times New Roman"/>
                <w:noProof/>
                <w:sz w:val="24"/>
                <w:szCs w:val="24"/>
              </w:rPr>
              <w:t>»</w:t>
            </w:r>
            <w:r w:rsidRPr="00E723FF">
              <w:rPr>
                <w:rStyle w:val="Hyperlink"/>
                <w:rFonts w:ascii="Times New Roman" w:hAnsi="Times New Roman"/>
                <w:noProof/>
                <w:sz w:val="24"/>
                <w:szCs w:val="24"/>
              </w:rPr>
              <w:t xml:space="preserve"> e della Riforma 2.2 </w:t>
            </w:r>
            <w:r w:rsidRPr="00E723FF">
              <w:rPr>
                <w:rStyle w:val="Hyperlink"/>
                <w:rFonts w:ascii="Times New Roman" w:eastAsia="Book Antiqua" w:hAnsi="Times New Roman"/>
                <w:noProof/>
                <w:sz w:val="24"/>
                <w:szCs w:val="24"/>
              </w:rPr>
              <w:t>«</w:t>
            </w:r>
            <w:r w:rsidRPr="00E723FF">
              <w:rPr>
                <w:rStyle w:val="Hyperlink"/>
                <w:rFonts w:ascii="Times New Roman" w:hAnsi="Times New Roman"/>
                <w:bCs/>
                <w:noProof/>
                <w:sz w:val="24"/>
                <w:szCs w:val="24"/>
              </w:rPr>
              <w:t>Scuola di Alta Formazione e formazione obbligatoria per dirigenti scolastici, docenti e personale tecnico-amministrativo</w:t>
            </w:r>
            <w:r w:rsidRPr="00E723FF">
              <w:rPr>
                <w:rStyle w:val="Hyperlink"/>
                <w:rFonts w:ascii="Times New Roman" w:eastAsia="Book Antiqua" w:hAnsi="Times New Roman"/>
                <w:noProof/>
                <w:sz w:val="24"/>
                <w:szCs w:val="24"/>
              </w:rPr>
              <w:t xml:space="preserve">» </w:t>
            </w:r>
            <w:r w:rsidRPr="00E723FF">
              <w:rPr>
                <w:rStyle w:val="Hyperlink"/>
                <w:rFonts w:ascii="Times New Roman" w:hAnsi="Times New Roman"/>
                <w:noProof/>
                <w:sz w:val="24"/>
                <w:szCs w:val="24"/>
              </w:rPr>
              <w:t>previste dalla Missione 4 - Componente 1 del PNRR</w:t>
            </w:r>
            <w:r w:rsidRPr="00E723FF">
              <w:rPr>
                <w:rStyle w:val="Hyperlink"/>
                <w:rFonts w:ascii="Times New Roman" w:eastAsia="Times New Roman" w:hAnsi="Times New Roman"/>
                <w:noProof/>
                <w:sz w:val="24"/>
                <w:szCs w:val="24"/>
              </w:rPr>
              <w:t>)</w:t>
            </w:r>
            <w:r w:rsidRPr="00E723FF">
              <w:rPr>
                <w:rFonts w:ascii="Times New Roman" w:hAnsi="Times New Roman"/>
                <w:noProof/>
                <w:webHidden/>
                <w:sz w:val="24"/>
                <w:szCs w:val="24"/>
              </w:rPr>
              <w:tab/>
            </w:r>
            <w:r w:rsidRPr="00E723FF">
              <w:rPr>
                <w:rFonts w:ascii="Times New Roman" w:hAnsi="Times New Roman"/>
                <w:noProof/>
                <w:webHidden/>
                <w:sz w:val="24"/>
                <w:szCs w:val="24"/>
              </w:rPr>
              <w:fldChar w:fldCharType="begin"/>
            </w:r>
            <w:r w:rsidRPr="00E723FF">
              <w:rPr>
                <w:rFonts w:ascii="Times New Roman" w:hAnsi="Times New Roman"/>
                <w:noProof/>
                <w:webHidden/>
                <w:sz w:val="24"/>
                <w:szCs w:val="24"/>
              </w:rPr>
              <w:instrText xml:space="preserve"> PAGEREF _Toc220077562 \h </w:instrText>
            </w:r>
            <w:r w:rsidRPr="00E723FF">
              <w:rPr>
                <w:rFonts w:ascii="Times New Roman" w:hAnsi="Times New Roman"/>
                <w:noProof/>
                <w:webHidden/>
                <w:sz w:val="24"/>
                <w:szCs w:val="24"/>
              </w:rPr>
              <w:fldChar w:fldCharType="separate"/>
            </w:r>
            <w:r w:rsidRPr="00E723FF">
              <w:rPr>
                <w:rFonts w:ascii="Times New Roman" w:hAnsi="Times New Roman"/>
                <w:noProof/>
                <w:webHidden/>
                <w:sz w:val="24"/>
                <w:szCs w:val="24"/>
              </w:rPr>
              <w:t>48</w:t>
            </w:r>
            <w:r w:rsidRPr="00E723FF">
              <w:rPr>
                <w:rFonts w:ascii="Times New Roman" w:hAnsi="Times New Roman"/>
                <w:noProof/>
                <w:webHidden/>
                <w:sz w:val="24"/>
                <w:szCs w:val="24"/>
              </w:rPr>
              <w:fldChar w:fldCharType="end"/>
            </w:r>
          </w:hyperlink>
        </w:p>
        <w:p w:rsidR="00E723FF" w:rsidRPr="00E723FF" w:rsidP="00A278F8" w14:paraId="560AA31A" w14:textId="5364923B">
          <w:pPr>
            <w:pStyle w:val="TOC3"/>
            <w:tabs>
              <w:tab w:val="right" w:leader="dot" w:pos="9628"/>
            </w:tabs>
            <w:rPr>
              <w:rFonts w:ascii="Times New Roman" w:hAnsi="Times New Roman"/>
              <w:noProof/>
              <w:kern w:val="2"/>
              <w:sz w:val="24"/>
              <w:szCs w:val="24"/>
              <w14:ligatures w14:val="standardContextual"/>
            </w:rPr>
          </w:pPr>
          <w:hyperlink w:anchor="_Toc220077563" w:history="1">
            <w:r w:rsidRPr="00E723FF">
              <w:rPr>
                <w:rStyle w:val="Hyperlink"/>
                <w:rFonts w:ascii="Times New Roman" w:eastAsia="Times New Roman" w:hAnsi="Times New Roman"/>
                <w:noProof/>
                <w:sz w:val="24"/>
                <w:szCs w:val="24"/>
              </w:rPr>
              <w:t xml:space="preserve">ART. </w:t>
            </w:r>
            <w:r w:rsidRPr="00E723FF">
              <w:rPr>
                <w:rStyle w:val="Hyperlink"/>
                <w:rFonts w:ascii="Times New Roman" w:hAnsi="Times New Roman"/>
                <w:noProof/>
                <w:sz w:val="24"/>
                <w:szCs w:val="24"/>
              </w:rPr>
              <w:t xml:space="preserve">19                                                                                                                                                 </w:t>
            </w:r>
            <w:r w:rsidRPr="00E723FF">
              <w:rPr>
                <w:rStyle w:val="Hyperlink"/>
                <w:rFonts w:ascii="Times New Roman" w:eastAsia="Times New Roman" w:hAnsi="Times New Roman"/>
                <w:noProof/>
                <w:sz w:val="24"/>
                <w:szCs w:val="24"/>
              </w:rPr>
              <w:t>(Misure urgenti per la prosecuzione delle attività di verifica e controllo connesse alla realizzazione degli investimenti della Missione 4 - Componente 1 del PNRR di titolarità del Ministero dell’istruzione e del merito</w:t>
            </w:r>
            <w:r w:rsidRPr="00E723FF">
              <w:rPr>
                <w:rStyle w:val="Hyperlink"/>
                <w:rFonts w:ascii="Times New Roman" w:eastAsia="Book Antiqua" w:hAnsi="Times New Roman"/>
                <w:noProof/>
                <w:sz w:val="24"/>
                <w:szCs w:val="24"/>
              </w:rPr>
              <w:t>)</w:t>
            </w:r>
            <w:r w:rsidRPr="00E723FF">
              <w:rPr>
                <w:rFonts w:ascii="Times New Roman" w:hAnsi="Times New Roman"/>
                <w:noProof/>
                <w:webHidden/>
                <w:sz w:val="24"/>
                <w:szCs w:val="24"/>
              </w:rPr>
              <w:tab/>
            </w:r>
            <w:r w:rsidRPr="00E723FF">
              <w:rPr>
                <w:rFonts w:ascii="Times New Roman" w:hAnsi="Times New Roman"/>
                <w:noProof/>
                <w:webHidden/>
                <w:sz w:val="24"/>
                <w:szCs w:val="24"/>
              </w:rPr>
              <w:fldChar w:fldCharType="begin"/>
            </w:r>
            <w:r w:rsidRPr="00E723FF">
              <w:rPr>
                <w:rFonts w:ascii="Times New Roman" w:hAnsi="Times New Roman"/>
                <w:noProof/>
                <w:webHidden/>
                <w:sz w:val="24"/>
                <w:szCs w:val="24"/>
              </w:rPr>
              <w:instrText xml:space="preserve"> PAGEREF _Toc220077563 \h </w:instrText>
            </w:r>
            <w:r w:rsidRPr="00E723FF">
              <w:rPr>
                <w:rFonts w:ascii="Times New Roman" w:hAnsi="Times New Roman"/>
                <w:noProof/>
                <w:webHidden/>
                <w:sz w:val="24"/>
                <w:szCs w:val="24"/>
              </w:rPr>
              <w:fldChar w:fldCharType="separate"/>
            </w:r>
            <w:r w:rsidRPr="00E723FF">
              <w:rPr>
                <w:rFonts w:ascii="Times New Roman" w:hAnsi="Times New Roman"/>
                <w:noProof/>
                <w:webHidden/>
                <w:sz w:val="24"/>
                <w:szCs w:val="24"/>
              </w:rPr>
              <w:t>52</w:t>
            </w:r>
            <w:r w:rsidRPr="00E723FF">
              <w:rPr>
                <w:rFonts w:ascii="Times New Roman" w:hAnsi="Times New Roman"/>
                <w:noProof/>
                <w:webHidden/>
                <w:sz w:val="24"/>
                <w:szCs w:val="24"/>
              </w:rPr>
              <w:fldChar w:fldCharType="end"/>
            </w:r>
          </w:hyperlink>
        </w:p>
        <w:p w:rsidR="00E723FF" w:rsidRPr="00E723FF" w:rsidP="00A278F8" w14:paraId="711FF2D6" w14:textId="5232FBC6">
          <w:pPr>
            <w:pStyle w:val="TOC3"/>
            <w:tabs>
              <w:tab w:val="right" w:leader="dot" w:pos="9628"/>
            </w:tabs>
            <w:rPr>
              <w:rFonts w:ascii="Times New Roman" w:hAnsi="Times New Roman"/>
              <w:noProof/>
              <w:kern w:val="2"/>
              <w:sz w:val="24"/>
              <w:szCs w:val="24"/>
              <w14:ligatures w14:val="standardContextual"/>
            </w:rPr>
          </w:pPr>
          <w:hyperlink w:anchor="_Toc220077564" w:history="1">
            <w:r w:rsidRPr="00E723FF">
              <w:rPr>
                <w:rStyle w:val="Hyperlink"/>
                <w:rFonts w:ascii="Times New Roman" w:eastAsia="Times New Roman" w:hAnsi="Times New Roman"/>
                <w:noProof/>
                <w:sz w:val="24"/>
                <w:szCs w:val="24"/>
              </w:rPr>
              <w:t>ART. 20                                                                                                                                          (Misure urgenti in materia di alloggi e di residenze per studenti universitari in attuazione per l’attuazione della Riforma 1.7 «Riforma della legislazione sugli alloggi per studenti e investimenti negli alloggi per studenti» della Missione 4 – Componente 1 del PNRR</w:t>
            </w:r>
            <w:r w:rsidRPr="00E723FF">
              <w:rPr>
                <w:rStyle w:val="Hyperlink"/>
                <w:rFonts w:ascii="Times New Roman" w:hAnsi="Times New Roman"/>
                <w:i/>
                <w:iCs/>
                <w:noProof/>
                <w:sz w:val="24"/>
                <w:szCs w:val="24"/>
              </w:rPr>
              <w:t>)</w:t>
            </w:r>
            <w:r w:rsidRPr="00E723FF">
              <w:rPr>
                <w:rFonts w:ascii="Times New Roman" w:hAnsi="Times New Roman"/>
                <w:noProof/>
                <w:webHidden/>
                <w:sz w:val="24"/>
                <w:szCs w:val="24"/>
              </w:rPr>
              <w:tab/>
            </w:r>
            <w:r w:rsidRPr="00E723FF">
              <w:rPr>
                <w:rFonts w:ascii="Times New Roman" w:hAnsi="Times New Roman"/>
                <w:noProof/>
                <w:webHidden/>
                <w:sz w:val="24"/>
                <w:szCs w:val="24"/>
              </w:rPr>
              <w:fldChar w:fldCharType="begin"/>
            </w:r>
            <w:r w:rsidRPr="00E723FF">
              <w:rPr>
                <w:rFonts w:ascii="Times New Roman" w:hAnsi="Times New Roman"/>
                <w:noProof/>
                <w:webHidden/>
                <w:sz w:val="24"/>
                <w:szCs w:val="24"/>
              </w:rPr>
              <w:instrText xml:space="preserve"> PAGEREF _Toc220077564 \h </w:instrText>
            </w:r>
            <w:r w:rsidRPr="00E723FF">
              <w:rPr>
                <w:rFonts w:ascii="Times New Roman" w:hAnsi="Times New Roman"/>
                <w:noProof/>
                <w:webHidden/>
                <w:sz w:val="24"/>
                <w:szCs w:val="24"/>
              </w:rPr>
              <w:fldChar w:fldCharType="separate"/>
            </w:r>
            <w:r w:rsidRPr="00E723FF">
              <w:rPr>
                <w:rFonts w:ascii="Times New Roman" w:hAnsi="Times New Roman"/>
                <w:noProof/>
                <w:webHidden/>
                <w:sz w:val="24"/>
                <w:szCs w:val="24"/>
              </w:rPr>
              <w:t>55</w:t>
            </w:r>
            <w:r w:rsidRPr="00E723FF">
              <w:rPr>
                <w:rFonts w:ascii="Times New Roman" w:hAnsi="Times New Roman"/>
                <w:noProof/>
                <w:webHidden/>
                <w:sz w:val="24"/>
                <w:szCs w:val="24"/>
              </w:rPr>
              <w:fldChar w:fldCharType="end"/>
            </w:r>
          </w:hyperlink>
        </w:p>
        <w:p w:rsidR="00E723FF" w:rsidRPr="00E723FF" w:rsidP="00A278F8" w14:paraId="71B3E623" w14:textId="3C01379E">
          <w:pPr>
            <w:pStyle w:val="TOC3"/>
            <w:tabs>
              <w:tab w:val="right" w:leader="dot" w:pos="9628"/>
            </w:tabs>
            <w:rPr>
              <w:rFonts w:ascii="Times New Roman" w:hAnsi="Times New Roman"/>
              <w:noProof/>
              <w:kern w:val="2"/>
              <w:sz w:val="24"/>
              <w:szCs w:val="24"/>
              <w14:ligatures w14:val="standardContextual"/>
            </w:rPr>
          </w:pPr>
          <w:hyperlink w:anchor="_Toc220077565" w:history="1">
            <w:r w:rsidRPr="00E723FF">
              <w:rPr>
                <w:rStyle w:val="Hyperlink"/>
                <w:rFonts w:ascii="Times New Roman" w:eastAsia="Times New Roman" w:hAnsi="Times New Roman"/>
                <w:noProof/>
                <w:sz w:val="24"/>
                <w:szCs w:val="24"/>
              </w:rPr>
              <w:t>ART. 21                                                                                                                                              (</w:t>
            </w:r>
            <w:r w:rsidRPr="00E723FF">
              <w:rPr>
                <w:rStyle w:val="Hyperlink"/>
                <w:rFonts w:ascii="Times New Roman" w:hAnsi="Times New Roman"/>
                <w:noProof/>
                <w:sz w:val="24"/>
                <w:szCs w:val="24"/>
              </w:rPr>
              <w:t>Disposizioni urgenti in materia di semplificazione e di efficientamento per il diritto allo studio universitario</w:t>
            </w:r>
            <w:r w:rsidRPr="00E723FF">
              <w:rPr>
                <w:rStyle w:val="Hyperlink"/>
                <w:rFonts w:ascii="Times New Roman" w:eastAsia="Times New Roman" w:hAnsi="Times New Roman"/>
                <w:noProof/>
                <w:sz w:val="24"/>
                <w:szCs w:val="24"/>
              </w:rPr>
              <w:t xml:space="preserve"> </w:t>
            </w:r>
            <w:r w:rsidRPr="00E723FF">
              <w:rPr>
                <w:rStyle w:val="Hyperlink"/>
                <w:rFonts w:ascii="Times New Roman" w:eastAsia="Times New Roman" w:hAnsi="Times New Roman"/>
                <w:bCs/>
                <w:noProof/>
                <w:sz w:val="24"/>
                <w:szCs w:val="24"/>
              </w:rPr>
              <w:t>in attuazione</w:t>
            </w:r>
            <w:r w:rsidRPr="00E723FF">
              <w:rPr>
                <w:rStyle w:val="Hyperlink"/>
                <w:rFonts w:ascii="Times New Roman" w:eastAsia="Times New Roman" w:hAnsi="Times New Roman"/>
                <w:noProof/>
                <w:sz w:val="24"/>
                <w:szCs w:val="24"/>
              </w:rPr>
              <w:t xml:space="preserve"> dell’Investimento 1.7 </w:t>
            </w:r>
            <w:r w:rsidRPr="00E723FF">
              <w:rPr>
                <w:rStyle w:val="Hyperlink"/>
                <w:rFonts w:ascii="Times New Roman" w:eastAsia="Times New Roman" w:hAnsi="Times New Roman"/>
                <w:bCs/>
                <w:iCs/>
                <w:noProof/>
                <w:sz w:val="24"/>
                <w:szCs w:val="24"/>
              </w:rPr>
              <w:t>«</w:t>
            </w:r>
            <w:r w:rsidRPr="00E723FF">
              <w:rPr>
                <w:rStyle w:val="Hyperlink"/>
                <w:rFonts w:ascii="Times New Roman" w:eastAsia="Times New Roman" w:hAnsi="Times New Roman"/>
                <w:noProof/>
                <w:sz w:val="24"/>
                <w:szCs w:val="24"/>
              </w:rPr>
              <w:t>Borse di studio per l’accesso all’università</w:t>
            </w:r>
            <w:r w:rsidRPr="00E723FF">
              <w:rPr>
                <w:rStyle w:val="Hyperlink"/>
                <w:rFonts w:ascii="Times New Roman" w:eastAsia="Times New Roman" w:hAnsi="Times New Roman"/>
                <w:bCs/>
                <w:iCs/>
                <w:noProof/>
                <w:sz w:val="24"/>
                <w:szCs w:val="24"/>
              </w:rPr>
              <w:t>»</w:t>
            </w:r>
            <w:r w:rsidRPr="00E723FF">
              <w:rPr>
                <w:rStyle w:val="Hyperlink"/>
                <w:rFonts w:ascii="Times New Roman" w:eastAsia="Times New Roman" w:hAnsi="Times New Roman"/>
                <w:noProof/>
                <w:sz w:val="24"/>
                <w:szCs w:val="24"/>
              </w:rPr>
              <w:t xml:space="preserve"> </w:t>
            </w:r>
            <w:r w:rsidRPr="00E723FF">
              <w:rPr>
                <w:rStyle w:val="Hyperlink"/>
                <w:rFonts w:ascii="Times New Roman" w:hAnsi="Times New Roman"/>
                <w:i/>
                <w:iCs/>
                <w:noProof/>
                <w:sz w:val="24"/>
                <w:szCs w:val="24"/>
              </w:rPr>
              <w:t xml:space="preserve">e </w:t>
            </w:r>
            <w:r w:rsidRPr="00E723FF">
              <w:rPr>
                <w:rStyle w:val="Hyperlink"/>
                <w:rFonts w:ascii="Times New Roman" w:hAnsi="Times New Roman"/>
                <w:noProof/>
                <w:sz w:val="24"/>
                <w:szCs w:val="24"/>
              </w:rPr>
              <w:t xml:space="preserve">in materia di lauree abilitanti in attuazione della </w:t>
            </w:r>
            <w:r w:rsidRPr="00E723FF">
              <w:rPr>
                <w:rStyle w:val="Hyperlink"/>
                <w:rFonts w:ascii="Times New Roman" w:hAnsi="Times New Roman"/>
                <w:bCs/>
                <w:noProof/>
                <w:sz w:val="24"/>
                <w:szCs w:val="24"/>
              </w:rPr>
              <w:t>Riforma 1.6</w:t>
            </w:r>
            <w:r w:rsidRPr="00E723FF">
              <w:rPr>
                <w:rStyle w:val="Hyperlink"/>
                <w:rFonts w:ascii="Times New Roman" w:hAnsi="Times New Roman"/>
                <w:bCs/>
                <w:i/>
                <w:iCs/>
                <w:noProof/>
                <w:sz w:val="24"/>
                <w:szCs w:val="24"/>
              </w:rPr>
              <w:t xml:space="preserve"> </w:t>
            </w:r>
            <w:r w:rsidRPr="00E723FF">
              <w:rPr>
                <w:rStyle w:val="Hyperlink"/>
                <w:rFonts w:ascii="Times New Roman" w:hAnsi="Times New Roman"/>
                <w:i/>
                <w:iCs/>
                <w:noProof/>
                <w:sz w:val="24"/>
                <w:szCs w:val="24"/>
              </w:rPr>
              <w:t>«</w:t>
            </w:r>
            <w:r w:rsidRPr="00E723FF">
              <w:rPr>
                <w:rStyle w:val="Hyperlink"/>
                <w:rFonts w:ascii="Times New Roman" w:hAnsi="Times New Roman"/>
                <w:bCs/>
                <w:i/>
                <w:iCs/>
                <w:noProof/>
                <w:sz w:val="24"/>
                <w:szCs w:val="24"/>
              </w:rPr>
              <w:t>Riforma delle lauree abilitanti per determinate professioni</w:t>
            </w:r>
            <w:r w:rsidRPr="00E723FF">
              <w:rPr>
                <w:rStyle w:val="Hyperlink"/>
                <w:rFonts w:ascii="Times New Roman" w:hAnsi="Times New Roman"/>
                <w:i/>
                <w:iCs/>
                <w:noProof/>
                <w:sz w:val="24"/>
                <w:szCs w:val="24"/>
              </w:rPr>
              <w:t>»</w:t>
            </w:r>
            <w:r w:rsidRPr="00E723FF">
              <w:rPr>
                <w:rStyle w:val="Hyperlink"/>
                <w:rFonts w:ascii="Times New Roman" w:hAnsi="Times New Roman"/>
                <w:bCs/>
                <w:i/>
                <w:iCs/>
                <w:noProof/>
                <w:sz w:val="24"/>
                <w:szCs w:val="24"/>
              </w:rPr>
              <w:t xml:space="preserve"> </w:t>
            </w:r>
            <w:r w:rsidRPr="00E723FF">
              <w:rPr>
                <w:rStyle w:val="Hyperlink"/>
                <w:rFonts w:ascii="Times New Roman" w:eastAsia="Times New Roman" w:hAnsi="Times New Roman"/>
                <w:noProof/>
                <w:sz w:val="24"/>
                <w:szCs w:val="24"/>
              </w:rPr>
              <w:t xml:space="preserve">della Missione 4 - Componente 1 del PNRR, nonché in materia di attività di ricerca di base e industriale in attuazione della Riforma 1.1 </w:t>
            </w:r>
            <w:r w:rsidRPr="00E723FF">
              <w:rPr>
                <w:rStyle w:val="Hyperlink"/>
                <w:rFonts w:ascii="Times New Roman" w:eastAsia="Times New Roman" w:hAnsi="Times New Roman"/>
                <w:bCs/>
                <w:iCs/>
                <w:noProof/>
                <w:sz w:val="24"/>
                <w:szCs w:val="24"/>
              </w:rPr>
              <w:t>«</w:t>
            </w:r>
            <w:r w:rsidRPr="00E723FF">
              <w:rPr>
                <w:rStyle w:val="Hyperlink"/>
                <w:rFonts w:ascii="Times New Roman" w:eastAsia="Times New Roman" w:hAnsi="Times New Roman"/>
                <w:noProof/>
                <w:sz w:val="24"/>
                <w:szCs w:val="24"/>
              </w:rPr>
              <w:t>Misure di sostegno alla R&amp;S per promuovere la semplificazione e la mobilità</w:t>
            </w:r>
            <w:r w:rsidRPr="00E723FF">
              <w:rPr>
                <w:rStyle w:val="Hyperlink"/>
                <w:rFonts w:ascii="Times New Roman" w:eastAsia="Times New Roman" w:hAnsi="Times New Roman"/>
                <w:bCs/>
                <w:iCs/>
                <w:noProof/>
                <w:sz w:val="24"/>
                <w:szCs w:val="24"/>
              </w:rPr>
              <w:t>»</w:t>
            </w:r>
            <w:r w:rsidRPr="00E723FF">
              <w:rPr>
                <w:rStyle w:val="Hyperlink"/>
                <w:rFonts w:ascii="Times New Roman" w:eastAsia="Times New Roman" w:hAnsi="Times New Roman"/>
                <w:noProof/>
                <w:sz w:val="24"/>
                <w:szCs w:val="24"/>
              </w:rPr>
              <w:t xml:space="preserve"> della Missione 4 – Componente 2 del PNRR)</w:t>
            </w:r>
            <w:r w:rsidRPr="00E723FF">
              <w:rPr>
                <w:rFonts w:ascii="Times New Roman" w:hAnsi="Times New Roman"/>
                <w:noProof/>
                <w:webHidden/>
                <w:sz w:val="24"/>
                <w:szCs w:val="24"/>
              </w:rPr>
              <w:tab/>
            </w:r>
            <w:r w:rsidRPr="00E723FF">
              <w:rPr>
                <w:rFonts w:ascii="Times New Roman" w:hAnsi="Times New Roman"/>
                <w:noProof/>
                <w:webHidden/>
                <w:sz w:val="24"/>
                <w:szCs w:val="24"/>
              </w:rPr>
              <w:fldChar w:fldCharType="begin"/>
            </w:r>
            <w:r w:rsidRPr="00E723FF">
              <w:rPr>
                <w:rFonts w:ascii="Times New Roman" w:hAnsi="Times New Roman"/>
                <w:noProof/>
                <w:webHidden/>
                <w:sz w:val="24"/>
                <w:szCs w:val="24"/>
              </w:rPr>
              <w:instrText xml:space="preserve"> PAGEREF _Toc220077565 \h </w:instrText>
            </w:r>
            <w:r w:rsidRPr="00E723FF">
              <w:rPr>
                <w:rFonts w:ascii="Times New Roman" w:hAnsi="Times New Roman"/>
                <w:noProof/>
                <w:webHidden/>
                <w:sz w:val="24"/>
                <w:szCs w:val="24"/>
              </w:rPr>
              <w:fldChar w:fldCharType="separate"/>
            </w:r>
            <w:r w:rsidRPr="00E723FF">
              <w:rPr>
                <w:rFonts w:ascii="Times New Roman" w:hAnsi="Times New Roman"/>
                <w:noProof/>
                <w:webHidden/>
                <w:sz w:val="24"/>
                <w:szCs w:val="24"/>
              </w:rPr>
              <w:t>56</w:t>
            </w:r>
            <w:r w:rsidRPr="00E723FF">
              <w:rPr>
                <w:rFonts w:ascii="Times New Roman" w:hAnsi="Times New Roman"/>
                <w:noProof/>
                <w:webHidden/>
                <w:sz w:val="24"/>
                <w:szCs w:val="24"/>
              </w:rPr>
              <w:fldChar w:fldCharType="end"/>
            </w:r>
          </w:hyperlink>
        </w:p>
        <w:p w:rsidR="00E723FF" w:rsidRPr="00E723FF" w:rsidP="00A278F8" w14:paraId="1D90CA39" w14:textId="6ED7711F">
          <w:pPr>
            <w:pStyle w:val="TOC3"/>
            <w:tabs>
              <w:tab w:val="right" w:leader="dot" w:pos="9628"/>
            </w:tabs>
            <w:rPr>
              <w:rFonts w:ascii="Times New Roman" w:hAnsi="Times New Roman"/>
              <w:noProof/>
              <w:kern w:val="2"/>
              <w:sz w:val="24"/>
              <w:szCs w:val="24"/>
              <w14:ligatures w14:val="standardContextual"/>
            </w:rPr>
          </w:pPr>
          <w:hyperlink w:anchor="_Toc220077566" w:history="1">
            <w:r w:rsidRPr="00E723FF">
              <w:rPr>
                <w:rStyle w:val="Hyperlink"/>
                <w:rFonts w:ascii="Times New Roman" w:eastAsia="Times New Roman" w:hAnsi="Times New Roman"/>
                <w:noProof/>
                <w:sz w:val="24"/>
                <w:szCs w:val="24"/>
              </w:rPr>
              <w:t xml:space="preserve">ART. 22                                                                                                                                         </w:t>
            </w:r>
            <w:r w:rsidRPr="00E723FF">
              <w:rPr>
                <w:rStyle w:val="Hyperlink"/>
                <w:rFonts w:ascii="Times New Roman" w:hAnsi="Times New Roman"/>
                <w:noProof/>
                <w:sz w:val="24"/>
                <w:szCs w:val="24"/>
              </w:rPr>
              <w:t>(Disposizioni in materia di infrastruttura ferroviaria</w:t>
            </w:r>
            <w:r w:rsidRPr="00E723FF">
              <w:rPr>
                <w:rStyle w:val="Hyperlink"/>
                <w:rFonts w:ascii="Times New Roman" w:hAnsi="Times New Roman"/>
                <w:bCs/>
                <w:noProof/>
                <w:sz w:val="24"/>
                <w:szCs w:val="24"/>
              </w:rPr>
              <w:t xml:space="preserve"> e concorrenza per l’attuazione della Riforma 1.3 «Rafforzare l'efficienza dell'infrastruttura ferroviaria in Italia» della Missione 3 – Componente 1 del PNRR</w:t>
            </w:r>
            <w:r w:rsidRPr="00E723FF">
              <w:rPr>
                <w:rStyle w:val="Hyperlink"/>
                <w:rFonts w:ascii="Times New Roman" w:hAnsi="Times New Roman"/>
                <w:noProof/>
                <w:sz w:val="24"/>
                <w:szCs w:val="24"/>
              </w:rPr>
              <w:t>)</w:t>
            </w:r>
            <w:r w:rsidRPr="00E723FF">
              <w:rPr>
                <w:rFonts w:ascii="Times New Roman" w:hAnsi="Times New Roman"/>
                <w:noProof/>
                <w:webHidden/>
                <w:sz w:val="24"/>
                <w:szCs w:val="24"/>
              </w:rPr>
              <w:tab/>
            </w:r>
            <w:r w:rsidRPr="00E723FF">
              <w:rPr>
                <w:rFonts w:ascii="Times New Roman" w:hAnsi="Times New Roman"/>
                <w:noProof/>
                <w:webHidden/>
                <w:sz w:val="24"/>
                <w:szCs w:val="24"/>
              </w:rPr>
              <w:fldChar w:fldCharType="begin"/>
            </w:r>
            <w:r w:rsidRPr="00E723FF">
              <w:rPr>
                <w:rFonts w:ascii="Times New Roman" w:hAnsi="Times New Roman"/>
                <w:noProof/>
                <w:webHidden/>
                <w:sz w:val="24"/>
                <w:szCs w:val="24"/>
              </w:rPr>
              <w:instrText xml:space="preserve"> PAGEREF _Toc220077566 \h </w:instrText>
            </w:r>
            <w:r w:rsidRPr="00E723FF">
              <w:rPr>
                <w:rFonts w:ascii="Times New Roman" w:hAnsi="Times New Roman"/>
                <w:noProof/>
                <w:webHidden/>
                <w:sz w:val="24"/>
                <w:szCs w:val="24"/>
              </w:rPr>
              <w:fldChar w:fldCharType="separate"/>
            </w:r>
            <w:r w:rsidRPr="00E723FF">
              <w:rPr>
                <w:rFonts w:ascii="Times New Roman" w:hAnsi="Times New Roman"/>
                <w:noProof/>
                <w:webHidden/>
                <w:sz w:val="24"/>
                <w:szCs w:val="24"/>
              </w:rPr>
              <w:t>61</w:t>
            </w:r>
            <w:r w:rsidRPr="00E723FF">
              <w:rPr>
                <w:rFonts w:ascii="Times New Roman" w:hAnsi="Times New Roman"/>
                <w:noProof/>
                <w:webHidden/>
                <w:sz w:val="24"/>
                <w:szCs w:val="24"/>
              </w:rPr>
              <w:fldChar w:fldCharType="end"/>
            </w:r>
          </w:hyperlink>
        </w:p>
        <w:p w:rsidR="00E723FF" w:rsidRPr="00E723FF" w:rsidP="00A278F8" w14:paraId="56AAA9C6" w14:textId="73F64CD6">
          <w:pPr>
            <w:pStyle w:val="TOC3"/>
            <w:tabs>
              <w:tab w:val="right" w:leader="dot" w:pos="9628"/>
            </w:tabs>
            <w:rPr>
              <w:rFonts w:ascii="Times New Roman" w:hAnsi="Times New Roman"/>
              <w:noProof/>
              <w:kern w:val="2"/>
              <w:sz w:val="24"/>
              <w:szCs w:val="24"/>
              <w14:ligatures w14:val="standardContextual"/>
            </w:rPr>
          </w:pPr>
          <w:hyperlink w:anchor="_Toc220077567" w:history="1">
            <w:r w:rsidRPr="00E723FF">
              <w:rPr>
                <w:rStyle w:val="Hyperlink"/>
                <w:rFonts w:ascii="Times New Roman" w:eastAsia="Times New Roman" w:hAnsi="Times New Roman"/>
                <w:noProof/>
                <w:sz w:val="24"/>
                <w:szCs w:val="24"/>
              </w:rPr>
              <w:t xml:space="preserve">ART. </w:t>
            </w:r>
            <w:r w:rsidRPr="00E723FF">
              <w:rPr>
                <w:rStyle w:val="Hyperlink"/>
                <w:rFonts w:ascii="Times New Roman" w:hAnsi="Times New Roman"/>
                <w:noProof/>
                <w:sz w:val="24"/>
                <w:szCs w:val="24"/>
              </w:rPr>
              <w:t xml:space="preserve">23                                                                                                                                                      </w:t>
            </w:r>
            <w:r w:rsidRPr="00E723FF">
              <w:rPr>
                <w:rStyle w:val="Hyperlink"/>
                <w:rFonts w:ascii="Times New Roman" w:eastAsia="Times New Roman" w:hAnsi="Times New Roman"/>
                <w:noProof/>
                <w:sz w:val="24"/>
                <w:szCs w:val="24"/>
              </w:rPr>
              <w:t xml:space="preserve">(Disposizioni in materia di investimenti ferroviari </w:t>
            </w:r>
            <w:r w:rsidRPr="00E723FF">
              <w:rPr>
                <w:rStyle w:val="Hyperlink"/>
                <w:rFonts w:ascii="Times New Roman" w:hAnsi="Times New Roman"/>
                <w:noProof/>
                <w:sz w:val="24"/>
                <w:szCs w:val="24"/>
              </w:rPr>
              <w:t>relativi alle infrastrutture ferroviarie di cui alla Missione 3 – Componente 1 del PNRR</w:t>
            </w:r>
            <w:r w:rsidRPr="00E723FF">
              <w:rPr>
                <w:rStyle w:val="Hyperlink"/>
                <w:rFonts w:ascii="Times New Roman" w:eastAsia="Times New Roman" w:hAnsi="Times New Roman"/>
                <w:noProof/>
                <w:sz w:val="24"/>
                <w:szCs w:val="24"/>
              </w:rPr>
              <w:t>)</w:t>
            </w:r>
            <w:r w:rsidRPr="00E723FF">
              <w:rPr>
                <w:rFonts w:ascii="Times New Roman" w:hAnsi="Times New Roman"/>
                <w:noProof/>
                <w:webHidden/>
                <w:sz w:val="24"/>
                <w:szCs w:val="24"/>
              </w:rPr>
              <w:tab/>
            </w:r>
            <w:r w:rsidRPr="00E723FF">
              <w:rPr>
                <w:rFonts w:ascii="Times New Roman" w:hAnsi="Times New Roman"/>
                <w:noProof/>
                <w:webHidden/>
                <w:sz w:val="24"/>
                <w:szCs w:val="24"/>
              </w:rPr>
              <w:fldChar w:fldCharType="begin"/>
            </w:r>
            <w:r w:rsidRPr="00E723FF">
              <w:rPr>
                <w:rFonts w:ascii="Times New Roman" w:hAnsi="Times New Roman"/>
                <w:noProof/>
                <w:webHidden/>
                <w:sz w:val="24"/>
                <w:szCs w:val="24"/>
              </w:rPr>
              <w:instrText xml:space="preserve"> PAGEREF _Toc220077567 \h </w:instrText>
            </w:r>
            <w:r w:rsidRPr="00E723FF">
              <w:rPr>
                <w:rFonts w:ascii="Times New Roman" w:hAnsi="Times New Roman"/>
                <w:noProof/>
                <w:webHidden/>
                <w:sz w:val="24"/>
                <w:szCs w:val="24"/>
              </w:rPr>
              <w:fldChar w:fldCharType="separate"/>
            </w:r>
            <w:r w:rsidRPr="00E723FF">
              <w:rPr>
                <w:rFonts w:ascii="Times New Roman" w:hAnsi="Times New Roman"/>
                <w:noProof/>
                <w:webHidden/>
                <w:sz w:val="24"/>
                <w:szCs w:val="24"/>
              </w:rPr>
              <w:t>64</w:t>
            </w:r>
            <w:r w:rsidRPr="00E723FF">
              <w:rPr>
                <w:rFonts w:ascii="Times New Roman" w:hAnsi="Times New Roman"/>
                <w:noProof/>
                <w:webHidden/>
                <w:sz w:val="24"/>
                <w:szCs w:val="24"/>
              </w:rPr>
              <w:fldChar w:fldCharType="end"/>
            </w:r>
          </w:hyperlink>
        </w:p>
        <w:p w:rsidR="00E723FF" w:rsidRPr="00E723FF" w:rsidP="00A278F8" w14:paraId="6C3FEC31" w14:textId="400A2074">
          <w:pPr>
            <w:pStyle w:val="TOC3"/>
            <w:tabs>
              <w:tab w:val="right" w:leader="dot" w:pos="9628"/>
            </w:tabs>
            <w:rPr>
              <w:rFonts w:ascii="Times New Roman" w:hAnsi="Times New Roman"/>
              <w:noProof/>
              <w:kern w:val="2"/>
              <w:sz w:val="24"/>
              <w:szCs w:val="24"/>
              <w14:ligatures w14:val="standardContextual"/>
            </w:rPr>
          </w:pPr>
          <w:hyperlink w:anchor="_Toc220077568" w:history="1">
            <w:r w:rsidRPr="00E723FF">
              <w:rPr>
                <w:rStyle w:val="Hyperlink"/>
                <w:rFonts w:ascii="Times New Roman" w:eastAsia="Times New Roman" w:hAnsi="Times New Roman"/>
                <w:noProof/>
                <w:sz w:val="24"/>
                <w:szCs w:val="24"/>
              </w:rPr>
              <w:t>ART.</w:t>
            </w:r>
            <w:r w:rsidRPr="00E723FF">
              <w:rPr>
                <w:rStyle w:val="Hyperlink"/>
                <w:rFonts w:ascii="Times New Roman" w:hAnsi="Times New Roman"/>
                <w:noProof/>
                <w:sz w:val="24"/>
                <w:szCs w:val="24"/>
              </w:rPr>
              <w:t xml:space="preserve"> 24                                                                                                                                                  (Strumento finanziario nazionale per gli investimenti infrastrutturali e per la sicurezza nel settore idrico – attuazione dell’Investimento 4.5 «Regime di sovvenzioni per gli investimenti in infrastrutture idriche» della Missione 2 - Componente 4 del PNRR)</w:t>
            </w:r>
            <w:r w:rsidRPr="00E723FF">
              <w:rPr>
                <w:rFonts w:ascii="Times New Roman" w:hAnsi="Times New Roman"/>
                <w:noProof/>
                <w:webHidden/>
                <w:sz w:val="24"/>
                <w:szCs w:val="24"/>
              </w:rPr>
              <w:tab/>
            </w:r>
            <w:r w:rsidRPr="00E723FF">
              <w:rPr>
                <w:rFonts w:ascii="Times New Roman" w:hAnsi="Times New Roman"/>
                <w:noProof/>
                <w:webHidden/>
                <w:sz w:val="24"/>
                <w:szCs w:val="24"/>
              </w:rPr>
              <w:fldChar w:fldCharType="begin"/>
            </w:r>
            <w:r w:rsidRPr="00E723FF">
              <w:rPr>
                <w:rFonts w:ascii="Times New Roman" w:hAnsi="Times New Roman"/>
                <w:noProof/>
                <w:webHidden/>
                <w:sz w:val="24"/>
                <w:szCs w:val="24"/>
              </w:rPr>
              <w:instrText xml:space="preserve"> PAGEREF _Toc220077568 \h </w:instrText>
            </w:r>
            <w:r w:rsidRPr="00E723FF">
              <w:rPr>
                <w:rFonts w:ascii="Times New Roman" w:hAnsi="Times New Roman"/>
                <w:noProof/>
                <w:webHidden/>
                <w:sz w:val="24"/>
                <w:szCs w:val="24"/>
              </w:rPr>
              <w:fldChar w:fldCharType="separate"/>
            </w:r>
            <w:r w:rsidRPr="00E723FF">
              <w:rPr>
                <w:rFonts w:ascii="Times New Roman" w:hAnsi="Times New Roman"/>
                <w:noProof/>
                <w:webHidden/>
                <w:sz w:val="24"/>
                <w:szCs w:val="24"/>
              </w:rPr>
              <w:t>67</w:t>
            </w:r>
            <w:r w:rsidRPr="00E723FF">
              <w:rPr>
                <w:rFonts w:ascii="Times New Roman" w:hAnsi="Times New Roman"/>
                <w:noProof/>
                <w:webHidden/>
                <w:sz w:val="24"/>
                <w:szCs w:val="24"/>
              </w:rPr>
              <w:fldChar w:fldCharType="end"/>
            </w:r>
          </w:hyperlink>
        </w:p>
        <w:p w:rsidR="00E723FF" w:rsidRPr="00E723FF" w:rsidP="00A278F8" w14:paraId="6B54F6C7" w14:textId="13E79955">
          <w:pPr>
            <w:pStyle w:val="TOC3"/>
            <w:tabs>
              <w:tab w:val="right" w:leader="dot" w:pos="9628"/>
            </w:tabs>
            <w:rPr>
              <w:rFonts w:ascii="Times New Roman" w:hAnsi="Times New Roman"/>
              <w:noProof/>
              <w:kern w:val="2"/>
              <w:sz w:val="24"/>
              <w:szCs w:val="24"/>
              <w14:ligatures w14:val="standardContextual"/>
            </w:rPr>
          </w:pPr>
          <w:hyperlink w:anchor="_Toc220077569" w:history="1">
            <w:r w:rsidRPr="00E723FF">
              <w:rPr>
                <w:rStyle w:val="Hyperlink"/>
                <w:rFonts w:ascii="Times New Roman" w:eastAsia="Times New Roman" w:hAnsi="Times New Roman"/>
                <w:noProof/>
                <w:sz w:val="24"/>
                <w:szCs w:val="24"/>
              </w:rPr>
              <w:t>ART. 25                                                                                                                                                (Disposizioni per l’attuazione dell’Investimento 9 «Misura rafforzata: Transizione 4.0» della Missione 1 - Componente 2, del PNRR, dell’Investimento 2.3 «Potenziamento ed estensione tematica dei centri di trasferimento tecnologico per segmenti di industria» della Missione 4, Componente 2 del PNRR, nonché per la realizzazione degli ulteriori investimenti di titolarità del Ministero delle imprese e del made in Italy)</w:t>
            </w:r>
            <w:r w:rsidRPr="00E723FF">
              <w:rPr>
                <w:rFonts w:ascii="Times New Roman" w:hAnsi="Times New Roman"/>
                <w:noProof/>
                <w:webHidden/>
                <w:sz w:val="24"/>
                <w:szCs w:val="24"/>
              </w:rPr>
              <w:tab/>
            </w:r>
            <w:r w:rsidRPr="00E723FF">
              <w:rPr>
                <w:rFonts w:ascii="Times New Roman" w:hAnsi="Times New Roman"/>
                <w:noProof/>
                <w:webHidden/>
                <w:sz w:val="24"/>
                <w:szCs w:val="24"/>
              </w:rPr>
              <w:fldChar w:fldCharType="begin"/>
            </w:r>
            <w:r w:rsidRPr="00E723FF">
              <w:rPr>
                <w:rFonts w:ascii="Times New Roman" w:hAnsi="Times New Roman"/>
                <w:noProof/>
                <w:webHidden/>
                <w:sz w:val="24"/>
                <w:szCs w:val="24"/>
              </w:rPr>
              <w:instrText xml:space="preserve"> PAGEREF _Toc220077569 \h </w:instrText>
            </w:r>
            <w:r w:rsidRPr="00E723FF">
              <w:rPr>
                <w:rFonts w:ascii="Times New Roman" w:hAnsi="Times New Roman"/>
                <w:noProof/>
                <w:webHidden/>
                <w:sz w:val="24"/>
                <w:szCs w:val="24"/>
              </w:rPr>
              <w:fldChar w:fldCharType="separate"/>
            </w:r>
            <w:r w:rsidRPr="00E723FF">
              <w:rPr>
                <w:rFonts w:ascii="Times New Roman" w:hAnsi="Times New Roman"/>
                <w:noProof/>
                <w:webHidden/>
                <w:sz w:val="24"/>
                <w:szCs w:val="24"/>
              </w:rPr>
              <w:t>75</w:t>
            </w:r>
            <w:r w:rsidRPr="00E723FF">
              <w:rPr>
                <w:rFonts w:ascii="Times New Roman" w:hAnsi="Times New Roman"/>
                <w:noProof/>
                <w:webHidden/>
                <w:sz w:val="24"/>
                <w:szCs w:val="24"/>
              </w:rPr>
              <w:fldChar w:fldCharType="end"/>
            </w:r>
          </w:hyperlink>
        </w:p>
        <w:p w:rsidR="00E723FF" w:rsidRPr="00E723FF" w:rsidP="00A278F8" w14:paraId="358C2E8C" w14:textId="7F149699">
          <w:pPr>
            <w:pStyle w:val="TOC3"/>
            <w:tabs>
              <w:tab w:val="right" w:leader="dot" w:pos="9628"/>
            </w:tabs>
            <w:rPr>
              <w:rFonts w:ascii="Times New Roman" w:hAnsi="Times New Roman"/>
              <w:noProof/>
              <w:kern w:val="2"/>
              <w:sz w:val="24"/>
              <w:szCs w:val="24"/>
              <w14:ligatures w14:val="standardContextual"/>
            </w:rPr>
          </w:pPr>
          <w:hyperlink w:anchor="_Toc220077570" w:history="1">
            <w:r w:rsidRPr="00E723FF">
              <w:rPr>
                <w:rStyle w:val="Hyperlink"/>
                <w:rFonts w:ascii="Times New Roman" w:eastAsia="Times New Roman" w:hAnsi="Times New Roman"/>
                <w:noProof/>
                <w:sz w:val="24"/>
                <w:szCs w:val="24"/>
              </w:rPr>
              <w:t>ART. 26                                                                                                                                               (Misure urgenti in materia di mercato e di concorrenza in attuazione della Riforma 2 «Leggi annuali sulla concorrenza» della Missione 1 - Componente 2 del PNRR)</w:t>
            </w:r>
            <w:r w:rsidRPr="00E723FF">
              <w:rPr>
                <w:rFonts w:ascii="Times New Roman" w:hAnsi="Times New Roman"/>
                <w:noProof/>
                <w:webHidden/>
                <w:sz w:val="24"/>
                <w:szCs w:val="24"/>
              </w:rPr>
              <w:tab/>
            </w:r>
            <w:r w:rsidRPr="00E723FF">
              <w:rPr>
                <w:rFonts w:ascii="Times New Roman" w:hAnsi="Times New Roman"/>
                <w:noProof/>
                <w:webHidden/>
                <w:sz w:val="24"/>
                <w:szCs w:val="24"/>
              </w:rPr>
              <w:fldChar w:fldCharType="begin"/>
            </w:r>
            <w:r w:rsidRPr="00E723FF">
              <w:rPr>
                <w:rFonts w:ascii="Times New Roman" w:hAnsi="Times New Roman"/>
                <w:noProof/>
                <w:webHidden/>
                <w:sz w:val="24"/>
                <w:szCs w:val="24"/>
              </w:rPr>
              <w:instrText xml:space="preserve"> PAGEREF _Toc220077570 \h </w:instrText>
            </w:r>
            <w:r w:rsidRPr="00E723FF">
              <w:rPr>
                <w:rFonts w:ascii="Times New Roman" w:hAnsi="Times New Roman"/>
                <w:noProof/>
                <w:webHidden/>
                <w:sz w:val="24"/>
                <w:szCs w:val="24"/>
              </w:rPr>
              <w:fldChar w:fldCharType="separate"/>
            </w:r>
            <w:r w:rsidRPr="00E723FF">
              <w:rPr>
                <w:rFonts w:ascii="Times New Roman" w:hAnsi="Times New Roman"/>
                <w:noProof/>
                <w:webHidden/>
                <w:sz w:val="24"/>
                <w:szCs w:val="24"/>
              </w:rPr>
              <w:t>77</w:t>
            </w:r>
            <w:r w:rsidRPr="00E723FF">
              <w:rPr>
                <w:rFonts w:ascii="Times New Roman" w:hAnsi="Times New Roman"/>
                <w:noProof/>
                <w:webHidden/>
                <w:sz w:val="24"/>
                <w:szCs w:val="24"/>
              </w:rPr>
              <w:fldChar w:fldCharType="end"/>
            </w:r>
          </w:hyperlink>
        </w:p>
        <w:p w:rsidR="00E723FF" w:rsidRPr="00E723FF" w:rsidP="00A278F8" w14:paraId="5DE28D3F" w14:textId="2CF81641">
          <w:pPr>
            <w:pStyle w:val="TOC3"/>
            <w:tabs>
              <w:tab w:val="right" w:leader="dot" w:pos="9628"/>
            </w:tabs>
            <w:rPr>
              <w:rFonts w:ascii="Times New Roman" w:hAnsi="Times New Roman"/>
              <w:noProof/>
              <w:kern w:val="2"/>
              <w:sz w:val="24"/>
              <w:szCs w:val="24"/>
              <w14:ligatures w14:val="standardContextual"/>
            </w:rPr>
          </w:pPr>
          <w:hyperlink w:anchor="_Toc220077571" w:history="1">
            <w:r w:rsidRPr="00E723FF">
              <w:rPr>
                <w:rStyle w:val="Hyperlink"/>
                <w:rFonts w:ascii="Times New Roman" w:eastAsia="Times New Roman" w:hAnsi="Times New Roman"/>
                <w:noProof/>
                <w:sz w:val="24"/>
                <w:szCs w:val="24"/>
              </w:rPr>
              <w:t>ART. 27                                                                                                                                                                   (Programmi di sovvenzione PNRR per la concessione di contributi in conto capitale in relazione a investimenti in impianti di produzione di biometano, agrivoltaici e CACER</w:t>
            </w:r>
            <w:r w:rsidRPr="00E723FF">
              <w:rPr>
                <w:rStyle w:val="Hyperlink"/>
                <w:rFonts w:ascii="Times New Roman" w:hAnsi="Times New Roman"/>
                <w:noProof/>
                <w:sz w:val="24"/>
                <w:szCs w:val="24"/>
              </w:rPr>
              <w:t xml:space="preserve"> </w:t>
            </w:r>
            <w:r w:rsidRPr="00E723FF">
              <w:rPr>
                <w:rStyle w:val="Hyperlink"/>
                <w:rFonts w:ascii="Times New Roman" w:eastAsia="Times New Roman" w:hAnsi="Times New Roman"/>
                <w:noProof/>
                <w:sz w:val="24"/>
                <w:szCs w:val="24"/>
              </w:rPr>
              <w:t>di cui agli Investimenti 1.4, 1.1 e 1.2 della Missione 2 - Componente 2 del PNRR)</w:t>
            </w:r>
            <w:r w:rsidRPr="00E723FF">
              <w:rPr>
                <w:rFonts w:ascii="Times New Roman" w:hAnsi="Times New Roman"/>
                <w:noProof/>
                <w:webHidden/>
                <w:sz w:val="24"/>
                <w:szCs w:val="24"/>
              </w:rPr>
              <w:tab/>
            </w:r>
            <w:r w:rsidRPr="00E723FF">
              <w:rPr>
                <w:rFonts w:ascii="Times New Roman" w:hAnsi="Times New Roman"/>
                <w:noProof/>
                <w:webHidden/>
                <w:sz w:val="24"/>
                <w:szCs w:val="24"/>
              </w:rPr>
              <w:fldChar w:fldCharType="begin"/>
            </w:r>
            <w:r w:rsidRPr="00E723FF">
              <w:rPr>
                <w:rFonts w:ascii="Times New Roman" w:hAnsi="Times New Roman"/>
                <w:noProof/>
                <w:webHidden/>
                <w:sz w:val="24"/>
                <w:szCs w:val="24"/>
              </w:rPr>
              <w:instrText xml:space="preserve"> PAGEREF _Toc220077571 \h </w:instrText>
            </w:r>
            <w:r w:rsidRPr="00E723FF">
              <w:rPr>
                <w:rFonts w:ascii="Times New Roman" w:hAnsi="Times New Roman"/>
                <w:noProof/>
                <w:webHidden/>
                <w:sz w:val="24"/>
                <w:szCs w:val="24"/>
              </w:rPr>
              <w:fldChar w:fldCharType="separate"/>
            </w:r>
            <w:r w:rsidRPr="00E723FF">
              <w:rPr>
                <w:rFonts w:ascii="Times New Roman" w:hAnsi="Times New Roman"/>
                <w:noProof/>
                <w:webHidden/>
                <w:sz w:val="24"/>
                <w:szCs w:val="24"/>
              </w:rPr>
              <w:t>78</w:t>
            </w:r>
            <w:r w:rsidRPr="00E723FF">
              <w:rPr>
                <w:rFonts w:ascii="Times New Roman" w:hAnsi="Times New Roman"/>
                <w:noProof/>
                <w:webHidden/>
                <w:sz w:val="24"/>
                <w:szCs w:val="24"/>
              </w:rPr>
              <w:fldChar w:fldCharType="end"/>
            </w:r>
          </w:hyperlink>
        </w:p>
        <w:p w:rsidR="00E723FF" w:rsidRPr="00E723FF" w:rsidP="00A278F8" w14:paraId="5751824D" w14:textId="297D2616">
          <w:pPr>
            <w:pStyle w:val="TOC3"/>
            <w:tabs>
              <w:tab w:val="right" w:leader="dot" w:pos="9628"/>
            </w:tabs>
            <w:rPr>
              <w:rFonts w:ascii="Times New Roman" w:hAnsi="Times New Roman"/>
              <w:noProof/>
              <w:kern w:val="2"/>
              <w:sz w:val="24"/>
              <w:szCs w:val="24"/>
              <w14:ligatures w14:val="standardContextual"/>
            </w:rPr>
          </w:pPr>
          <w:hyperlink w:anchor="_Toc220077572" w:history="1">
            <w:r w:rsidRPr="00E723FF">
              <w:rPr>
                <w:rStyle w:val="Hyperlink"/>
                <w:rFonts w:ascii="Times New Roman" w:hAnsi="Times New Roman"/>
                <w:noProof/>
                <w:sz w:val="24"/>
                <w:szCs w:val="24"/>
              </w:rPr>
              <w:t>ART. 28                                                                                                                                                                                                                                                                (Misure urgenti in materia di investimenti finanziati con le risorse del Fondo per lo sviluppo e la coesione)</w:t>
            </w:r>
            <w:r w:rsidRPr="00E723FF">
              <w:rPr>
                <w:rFonts w:ascii="Times New Roman" w:hAnsi="Times New Roman"/>
                <w:noProof/>
                <w:webHidden/>
                <w:sz w:val="24"/>
                <w:szCs w:val="24"/>
              </w:rPr>
              <w:tab/>
            </w:r>
            <w:r w:rsidRPr="00E723FF">
              <w:rPr>
                <w:rFonts w:ascii="Times New Roman" w:hAnsi="Times New Roman"/>
                <w:noProof/>
                <w:webHidden/>
                <w:sz w:val="24"/>
                <w:szCs w:val="24"/>
              </w:rPr>
              <w:fldChar w:fldCharType="begin"/>
            </w:r>
            <w:r w:rsidRPr="00E723FF">
              <w:rPr>
                <w:rFonts w:ascii="Times New Roman" w:hAnsi="Times New Roman"/>
                <w:noProof/>
                <w:webHidden/>
                <w:sz w:val="24"/>
                <w:szCs w:val="24"/>
              </w:rPr>
              <w:instrText xml:space="preserve"> PAGEREF _Toc220077572 \h </w:instrText>
            </w:r>
            <w:r w:rsidRPr="00E723FF">
              <w:rPr>
                <w:rFonts w:ascii="Times New Roman" w:hAnsi="Times New Roman"/>
                <w:noProof/>
                <w:webHidden/>
                <w:sz w:val="24"/>
                <w:szCs w:val="24"/>
              </w:rPr>
              <w:fldChar w:fldCharType="separate"/>
            </w:r>
            <w:r w:rsidRPr="00E723FF">
              <w:rPr>
                <w:rFonts w:ascii="Times New Roman" w:hAnsi="Times New Roman"/>
                <w:noProof/>
                <w:webHidden/>
                <w:sz w:val="24"/>
                <w:szCs w:val="24"/>
              </w:rPr>
              <w:t>81</w:t>
            </w:r>
            <w:r w:rsidRPr="00E723FF">
              <w:rPr>
                <w:rFonts w:ascii="Times New Roman" w:hAnsi="Times New Roman"/>
                <w:noProof/>
                <w:webHidden/>
                <w:sz w:val="24"/>
                <w:szCs w:val="24"/>
              </w:rPr>
              <w:fldChar w:fldCharType="end"/>
            </w:r>
          </w:hyperlink>
        </w:p>
        <w:p w:rsidR="00E723FF" w:rsidRPr="00E723FF" w:rsidP="00A278F8" w14:paraId="6D00AAB2" w14:textId="275D699D">
          <w:pPr>
            <w:pStyle w:val="TOC3"/>
            <w:tabs>
              <w:tab w:val="right" w:leader="dot" w:pos="9628"/>
            </w:tabs>
            <w:rPr>
              <w:rFonts w:ascii="Times New Roman" w:hAnsi="Times New Roman"/>
              <w:noProof/>
              <w:kern w:val="2"/>
              <w:sz w:val="24"/>
              <w:szCs w:val="24"/>
              <w14:ligatures w14:val="standardContextual"/>
            </w:rPr>
          </w:pPr>
          <w:hyperlink w:anchor="_Toc220077573" w:history="1">
            <w:r w:rsidRPr="00E723FF">
              <w:rPr>
                <w:rStyle w:val="Hyperlink"/>
                <w:rFonts w:ascii="Times New Roman" w:hAnsi="Times New Roman"/>
                <w:noProof/>
                <w:sz w:val="24"/>
                <w:szCs w:val="24"/>
              </w:rPr>
              <w:t>ART. 29                                                                                                                                                                                                               (Disposizioni finanziarie)</w:t>
            </w:r>
            <w:r w:rsidRPr="00E723FF">
              <w:rPr>
                <w:rFonts w:ascii="Times New Roman" w:hAnsi="Times New Roman"/>
                <w:noProof/>
                <w:webHidden/>
                <w:sz w:val="24"/>
                <w:szCs w:val="24"/>
              </w:rPr>
              <w:tab/>
            </w:r>
            <w:r w:rsidRPr="00E723FF">
              <w:rPr>
                <w:rFonts w:ascii="Times New Roman" w:hAnsi="Times New Roman"/>
                <w:noProof/>
                <w:webHidden/>
                <w:sz w:val="24"/>
                <w:szCs w:val="24"/>
              </w:rPr>
              <w:fldChar w:fldCharType="begin"/>
            </w:r>
            <w:r w:rsidRPr="00E723FF">
              <w:rPr>
                <w:rFonts w:ascii="Times New Roman" w:hAnsi="Times New Roman"/>
                <w:noProof/>
                <w:webHidden/>
                <w:sz w:val="24"/>
                <w:szCs w:val="24"/>
              </w:rPr>
              <w:instrText xml:space="preserve"> PAGEREF _Toc220077573 \h </w:instrText>
            </w:r>
            <w:r w:rsidRPr="00E723FF">
              <w:rPr>
                <w:rFonts w:ascii="Times New Roman" w:hAnsi="Times New Roman"/>
                <w:noProof/>
                <w:webHidden/>
                <w:sz w:val="24"/>
                <w:szCs w:val="24"/>
              </w:rPr>
              <w:fldChar w:fldCharType="separate"/>
            </w:r>
            <w:r w:rsidRPr="00E723FF">
              <w:rPr>
                <w:rFonts w:ascii="Times New Roman" w:hAnsi="Times New Roman"/>
                <w:noProof/>
                <w:webHidden/>
                <w:sz w:val="24"/>
                <w:szCs w:val="24"/>
              </w:rPr>
              <w:t>84</w:t>
            </w:r>
            <w:r w:rsidRPr="00E723FF">
              <w:rPr>
                <w:rFonts w:ascii="Times New Roman" w:hAnsi="Times New Roman"/>
                <w:noProof/>
                <w:webHidden/>
                <w:sz w:val="24"/>
                <w:szCs w:val="24"/>
              </w:rPr>
              <w:fldChar w:fldCharType="end"/>
            </w:r>
          </w:hyperlink>
        </w:p>
        <w:p w:rsidR="00E723FF" w:rsidRPr="00E723FF" w:rsidP="00A278F8" w14:paraId="4DA16FFD" w14:textId="113FEE0B">
          <w:pPr>
            <w:pStyle w:val="TOC3"/>
            <w:tabs>
              <w:tab w:val="right" w:leader="dot" w:pos="9628"/>
            </w:tabs>
            <w:rPr>
              <w:rFonts w:ascii="Times New Roman" w:hAnsi="Times New Roman"/>
              <w:noProof/>
              <w:kern w:val="2"/>
              <w:sz w:val="24"/>
              <w:szCs w:val="24"/>
              <w14:ligatures w14:val="standardContextual"/>
            </w:rPr>
          </w:pPr>
          <w:hyperlink w:anchor="_Toc220077574" w:history="1">
            <w:r w:rsidRPr="00E723FF">
              <w:rPr>
                <w:rStyle w:val="Hyperlink"/>
                <w:rFonts w:ascii="Times New Roman" w:hAnsi="Times New Roman"/>
                <w:noProof/>
                <w:sz w:val="24"/>
                <w:szCs w:val="24"/>
              </w:rPr>
              <w:t>ART. 30                                                                                                                                                                                                             (Clausola di salvaguardia)</w:t>
            </w:r>
            <w:r w:rsidRPr="00E723FF">
              <w:rPr>
                <w:rFonts w:ascii="Times New Roman" w:hAnsi="Times New Roman"/>
                <w:noProof/>
                <w:webHidden/>
                <w:sz w:val="24"/>
                <w:szCs w:val="24"/>
              </w:rPr>
              <w:tab/>
            </w:r>
            <w:r w:rsidRPr="00E723FF">
              <w:rPr>
                <w:rFonts w:ascii="Times New Roman" w:hAnsi="Times New Roman"/>
                <w:noProof/>
                <w:webHidden/>
                <w:sz w:val="24"/>
                <w:szCs w:val="24"/>
              </w:rPr>
              <w:fldChar w:fldCharType="begin"/>
            </w:r>
            <w:r w:rsidRPr="00E723FF">
              <w:rPr>
                <w:rFonts w:ascii="Times New Roman" w:hAnsi="Times New Roman"/>
                <w:noProof/>
                <w:webHidden/>
                <w:sz w:val="24"/>
                <w:szCs w:val="24"/>
              </w:rPr>
              <w:instrText xml:space="preserve"> PAGEREF _Toc220077574 \h </w:instrText>
            </w:r>
            <w:r w:rsidRPr="00E723FF">
              <w:rPr>
                <w:rFonts w:ascii="Times New Roman" w:hAnsi="Times New Roman"/>
                <w:noProof/>
                <w:webHidden/>
                <w:sz w:val="24"/>
                <w:szCs w:val="24"/>
              </w:rPr>
              <w:fldChar w:fldCharType="separate"/>
            </w:r>
            <w:r w:rsidRPr="00E723FF">
              <w:rPr>
                <w:rFonts w:ascii="Times New Roman" w:hAnsi="Times New Roman"/>
                <w:noProof/>
                <w:webHidden/>
                <w:sz w:val="24"/>
                <w:szCs w:val="24"/>
              </w:rPr>
              <w:t>87</w:t>
            </w:r>
            <w:r w:rsidRPr="00E723FF">
              <w:rPr>
                <w:rFonts w:ascii="Times New Roman" w:hAnsi="Times New Roman"/>
                <w:noProof/>
                <w:webHidden/>
                <w:sz w:val="24"/>
                <w:szCs w:val="24"/>
              </w:rPr>
              <w:fldChar w:fldCharType="end"/>
            </w:r>
          </w:hyperlink>
        </w:p>
        <w:p w:rsidR="00E723FF" w:rsidRPr="00E723FF" w:rsidP="00A278F8" w14:paraId="45522A88" w14:textId="63C8E038">
          <w:pPr>
            <w:pStyle w:val="TOC3"/>
            <w:tabs>
              <w:tab w:val="right" w:leader="dot" w:pos="9628"/>
            </w:tabs>
            <w:rPr>
              <w:rFonts w:ascii="Times New Roman" w:hAnsi="Times New Roman"/>
              <w:noProof/>
              <w:kern w:val="2"/>
              <w:sz w:val="24"/>
              <w:szCs w:val="24"/>
              <w14:ligatures w14:val="standardContextual"/>
            </w:rPr>
          </w:pPr>
          <w:hyperlink w:anchor="_Toc220077575" w:history="1">
            <w:r w:rsidRPr="00E723FF">
              <w:rPr>
                <w:rStyle w:val="Hyperlink"/>
                <w:rFonts w:ascii="Times New Roman" w:hAnsi="Times New Roman"/>
                <w:noProof/>
                <w:sz w:val="24"/>
                <w:szCs w:val="24"/>
              </w:rPr>
              <w:t>ART. 31                                                                                                                                                                                                                (Entrata in vigore)</w:t>
            </w:r>
            <w:r w:rsidRPr="00E723FF">
              <w:rPr>
                <w:rFonts w:ascii="Times New Roman" w:hAnsi="Times New Roman"/>
                <w:noProof/>
                <w:webHidden/>
                <w:sz w:val="24"/>
                <w:szCs w:val="24"/>
              </w:rPr>
              <w:tab/>
            </w:r>
            <w:r w:rsidRPr="00E723FF">
              <w:rPr>
                <w:rFonts w:ascii="Times New Roman" w:hAnsi="Times New Roman"/>
                <w:noProof/>
                <w:webHidden/>
                <w:sz w:val="24"/>
                <w:szCs w:val="24"/>
              </w:rPr>
              <w:fldChar w:fldCharType="begin"/>
            </w:r>
            <w:r w:rsidRPr="00E723FF">
              <w:rPr>
                <w:rFonts w:ascii="Times New Roman" w:hAnsi="Times New Roman"/>
                <w:noProof/>
                <w:webHidden/>
                <w:sz w:val="24"/>
                <w:szCs w:val="24"/>
              </w:rPr>
              <w:instrText xml:space="preserve"> PAGEREF _Toc220077575 \h </w:instrText>
            </w:r>
            <w:r w:rsidRPr="00E723FF">
              <w:rPr>
                <w:rFonts w:ascii="Times New Roman" w:hAnsi="Times New Roman"/>
                <w:noProof/>
                <w:webHidden/>
                <w:sz w:val="24"/>
                <w:szCs w:val="24"/>
              </w:rPr>
              <w:fldChar w:fldCharType="separate"/>
            </w:r>
            <w:r w:rsidRPr="00E723FF">
              <w:rPr>
                <w:rFonts w:ascii="Times New Roman" w:hAnsi="Times New Roman"/>
                <w:noProof/>
                <w:webHidden/>
                <w:sz w:val="24"/>
                <w:szCs w:val="24"/>
              </w:rPr>
              <w:t>87</w:t>
            </w:r>
            <w:r w:rsidRPr="00E723FF">
              <w:rPr>
                <w:rFonts w:ascii="Times New Roman" w:hAnsi="Times New Roman"/>
                <w:noProof/>
                <w:webHidden/>
                <w:sz w:val="24"/>
                <w:szCs w:val="24"/>
              </w:rPr>
              <w:fldChar w:fldCharType="end"/>
            </w:r>
          </w:hyperlink>
        </w:p>
        <w:p w:rsidR="00E723FF" w:rsidRPr="00E723FF" w:rsidP="00A278F8" w14:paraId="7C367347" w14:textId="5F92DD2F">
          <w:pPr>
            <w:pStyle w:val="TOC3"/>
            <w:tabs>
              <w:tab w:val="right" w:leader="dot" w:pos="9628"/>
            </w:tabs>
            <w:rPr>
              <w:rFonts w:ascii="Times New Roman" w:hAnsi="Times New Roman"/>
              <w:noProof/>
              <w:kern w:val="2"/>
              <w:sz w:val="24"/>
              <w:szCs w:val="24"/>
              <w14:ligatures w14:val="standardContextual"/>
            </w:rPr>
          </w:pPr>
          <w:hyperlink w:anchor="_Toc220077576" w:history="1">
            <w:r w:rsidRPr="00E723FF">
              <w:rPr>
                <w:rStyle w:val="Hyperlink"/>
                <w:rFonts w:ascii="Times New Roman" w:hAnsi="Times New Roman"/>
                <w:noProof/>
                <w:sz w:val="24"/>
                <w:szCs w:val="24"/>
              </w:rPr>
              <w:t>Allegato 1</w:t>
            </w:r>
            <w:r w:rsidRPr="00E723FF">
              <w:rPr>
                <w:rFonts w:ascii="Times New Roman" w:hAnsi="Times New Roman"/>
                <w:noProof/>
                <w:webHidden/>
                <w:sz w:val="24"/>
                <w:szCs w:val="24"/>
              </w:rPr>
              <w:tab/>
            </w:r>
            <w:r w:rsidRPr="00E723FF">
              <w:rPr>
                <w:rFonts w:ascii="Times New Roman" w:hAnsi="Times New Roman"/>
                <w:noProof/>
                <w:webHidden/>
                <w:sz w:val="24"/>
                <w:szCs w:val="24"/>
              </w:rPr>
              <w:fldChar w:fldCharType="begin"/>
            </w:r>
            <w:r w:rsidRPr="00E723FF">
              <w:rPr>
                <w:rFonts w:ascii="Times New Roman" w:hAnsi="Times New Roman"/>
                <w:noProof/>
                <w:webHidden/>
                <w:sz w:val="24"/>
                <w:szCs w:val="24"/>
              </w:rPr>
              <w:instrText xml:space="preserve"> PAGEREF _Toc220077576 \h </w:instrText>
            </w:r>
            <w:r w:rsidRPr="00E723FF">
              <w:rPr>
                <w:rFonts w:ascii="Times New Roman" w:hAnsi="Times New Roman"/>
                <w:noProof/>
                <w:webHidden/>
                <w:sz w:val="24"/>
                <w:szCs w:val="24"/>
              </w:rPr>
              <w:fldChar w:fldCharType="separate"/>
            </w:r>
            <w:r w:rsidRPr="00E723FF">
              <w:rPr>
                <w:rFonts w:ascii="Times New Roman" w:hAnsi="Times New Roman"/>
                <w:noProof/>
                <w:webHidden/>
                <w:sz w:val="24"/>
                <w:szCs w:val="24"/>
              </w:rPr>
              <w:t>88</w:t>
            </w:r>
            <w:r w:rsidRPr="00E723FF">
              <w:rPr>
                <w:rFonts w:ascii="Times New Roman" w:hAnsi="Times New Roman"/>
                <w:noProof/>
                <w:webHidden/>
                <w:sz w:val="24"/>
                <w:szCs w:val="24"/>
              </w:rPr>
              <w:fldChar w:fldCharType="end"/>
            </w:r>
          </w:hyperlink>
        </w:p>
        <w:p w:rsidR="00E723FF" w:rsidRPr="00E723FF" w:rsidP="00A278F8" w14:paraId="4FF15CC2" w14:textId="41D9833D">
          <w:pPr>
            <w:pStyle w:val="TOC3"/>
            <w:tabs>
              <w:tab w:val="right" w:leader="dot" w:pos="9628"/>
            </w:tabs>
            <w:rPr>
              <w:rFonts w:ascii="Times New Roman" w:hAnsi="Times New Roman"/>
              <w:noProof/>
              <w:kern w:val="2"/>
              <w:sz w:val="24"/>
              <w:szCs w:val="24"/>
              <w14:ligatures w14:val="standardContextual"/>
            </w:rPr>
          </w:pPr>
          <w:hyperlink w:anchor="_Toc220077577" w:history="1">
            <w:r w:rsidRPr="00E723FF">
              <w:rPr>
                <w:rStyle w:val="Hyperlink"/>
                <w:rFonts w:ascii="Times New Roman" w:hAnsi="Times New Roman"/>
                <w:noProof/>
                <w:sz w:val="24"/>
                <w:szCs w:val="24"/>
              </w:rPr>
              <w:t>Allegato 2</w:t>
            </w:r>
            <w:r w:rsidRPr="00E723FF">
              <w:rPr>
                <w:rFonts w:ascii="Times New Roman" w:hAnsi="Times New Roman"/>
                <w:noProof/>
                <w:webHidden/>
                <w:sz w:val="24"/>
                <w:szCs w:val="24"/>
              </w:rPr>
              <w:tab/>
            </w:r>
            <w:r w:rsidRPr="00E723FF">
              <w:rPr>
                <w:rFonts w:ascii="Times New Roman" w:hAnsi="Times New Roman"/>
                <w:noProof/>
                <w:webHidden/>
                <w:sz w:val="24"/>
                <w:szCs w:val="24"/>
              </w:rPr>
              <w:fldChar w:fldCharType="begin"/>
            </w:r>
            <w:r w:rsidRPr="00E723FF">
              <w:rPr>
                <w:rFonts w:ascii="Times New Roman" w:hAnsi="Times New Roman"/>
                <w:noProof/>
                <w:webHidden/>
                <w:sz w:val="24"/>
                <w:szCs w:val="24"/>
              </w:rPr>
              <w:instrText xml:space="preserve"> PAGEREF _Toc220077577 \h </w:instrText>
            </w:r>
            <w:r w:rsidRPr="00E723FF">
              <w:rPr>
                <w:rFonts w:ascii="Times New Roman" w:hAnsi="Times New Roman"/>
                <w:noProof/>
                <w:webHidden/>
                <w:sz w:val="24"/>
                <w:szCs w:val="24"/>
              </w:rPr>
              <w:fldChar w:fldCharType="separate"/>
            </w:r>
            <w:r w:rsidRPr="00E723FF">
              <w:rPr>
                <w:rFonts w:ascii="Times New Roman" w:hAnsi="Times New Roman"/>
                <w:noProof/>
                <w:webHidden/>
                <w:sz w:val="24"/>
                <w:szCs w:val="24"/>
              </w:rPr>
              <w:t>89</w:t>
            </w:r>
            <w:r w:rsidRPr="00E723FF">
              <w:rPr>
                <w:rFonts w:ascii="Times New Roman" w:hAnsi="Times New Roman"/>
                <w:noProof/>
                <w:webHidden/>
                <w:sz w:val="24"/>
                <w:szCs w:val="24"/>
              </w:rPr>
              <w:fldChar w:fldCharType="end"/>
            </w:r>
          </w:hyperlink>
        </w:p>
        <w:p w:rsidR="004461A7" w:rsidRPr="00327C7D" w:rsidP="00A278F8" w14:paraId="0BCCDED9" w14:textId="798062F4">
          <w:pPr>
            <w:pStyle w:val="TOC2"/>
            <w:tabs>
              <w:tab w:val="left" w:pos="1095"/>
            </w:tabs>
            <w:spacing w:after="120" w:line="240" w:lineRule="auto"/>
            <w:rPr>
              <w:rStyle w:val="Hyperlink"/>
              <w:noProof/>
              <w:kern w:val="2"/>
              <w:szCs w:val="24"/>
              <w14:ligatures w14:val="standardContextual"/>
            </w:rPr>
          </w:pPr>
          <w:r w:rsidRPr="00E723FF">
            <w:rPr>
              <w:szCs w:val="24"/>
            </w:rPr>
            <w:fldChar w:fldCharType="end"/>
          </w:r>
        </w:p>
      </w:sdtContent>
    </w:sdt>
    <w:p w:rsidR="004461A7" w:rsidRPr="00327C7D" w:rsidP="00987C41" w14:paraId="58177D0A" w14:textId="77777777">
      <w:pPr>
        <w:pStyle w:val="TOC2"/>
        <w:spacing w:after="120" w:line="240" w:lineRule="auto"/>
        <w:rPr>
          <w:rStyle w:val="Hyperlink"/>
          <w:noProof/>
          <w:kern w:val="2"/>
          <w:szCs w:val="24"/>
          <w14:ligatures w14:val="standardContextual"/>
        </w:rPr>
      </w:pPr>
    </w:p>
    <w:p w:rsidR="009A2B4F" w:rsidRPr="00987C41" w:rsidP="009A2B4F" w14:paraId="14AC6F8C" w14:textId="77777777">
      <w:pPr>
        <w:spacing w:after="120"/>
        <w:ind w:hanging="1"/>
        <w:jc w:val="center"/>
        <w:rPr>
          <w:rFonts w:eastAsiaTheme="minorEastAsia"/>
          <w:b/>
          <w:bCs/>
          <w:sz w:val="22"/>
          <w:szCs w:val="22"/>
        </w:rPr>
      </w:pPr>
      <w:r w:rsidRPr="00327C7D">
        <w:br w:type="page"/>
      </w:r>
      <w:r w:rsidRPr="00987C41">
        <w:rPr>
          <w:rFonts w:eastAsiaTheme="minorEastAsia"/>
          <w:b/>
          <w:bCs/>
          <w:sz w:val="22"/>
          <w:szCs w:val="22"/>
        </w:rPr>
        <w:t>RELAZIONE TECNICA</w:t>
      </w:r>
    </w:p>
    <w:p w:rsidR="009A2B4F" w:rsidRPr="00987C41" w:rsidP="009A2B4F" w14:paraId="540F48EB" w14:textId="77777777">
      <w:pPr>
        <w:spacing w:after="120"/>
        <w:jc w:val="center"/>
        <w:rPr>
          <w:b/>
          <w:bCs/>
          <w:sz w:val="22"/>
          <w:szCs w:val="22"/>
        </w:rPr>
      </w:pPr>
      <w:r w:rsidRPr="00987C41">
        <w:rPr>
          <w:b/>
          <w:bCs/>
          <w:sz w:val="22"/>
          <w:szCs w:val="22"/>
        </w:rPr>
        <w:t>Schema di decreto-legge recante «Ulteriori disposizioni urgenti per l'attuazione del Piano nazionale di ripresa e resilienza (PNRR)»</w:t>
      </w:r>
    </w:p>
    <w:p w:rsidR="004461A7" w:rsidRPr="00987C41" w:rsidP="00987C41" w14:paraId="1824D941" w14:textId="696D36BC">
      <w:pPr>
        <w:spacing w:after="120"/>
      </w:pPr>
    </w:p>
    <w:p w:rsidR="0012413A" w:rsidRPr="00987C41" w:rsidP="00A42770" w14:paraId="66FD1F89" w14:textId="4A050A73">
      <w:pPr>
        <w:pStyle w:val="Heading3"/>
        <w:numPr>
          <w:ilvl w:val="0"/>
          <w:numId w:val="4"/>
        </w:numPr>
        <w:spacing w:before="0" w:after="120"/>
        <w:ind w:left="0" w:firstLine="709"/>
        <w:rPr>
          <w:rFonts w:cs="Times New Roman"/>
        </w:rPr>
      </w:pPr>
      <w:bookmarkStart w:id="0" w:name="_Toc144141248"/>
      <w:bookmarkStart w:id="1" w:name="_Toc144141380"/>
      <w:bookmarkStart w:id="2" w:name="_Toc1206610472"/>
      <w:r w:rsidRPr="00987C41">
        <w:rPr>
          <w:rFonts w:cs="Times New Roman"/>
        </w:rPr>
        <w:t xml:space="preserve">                                                                                                                                    </w:t>
      </w:r>
      <w:bookmarkStart w:id="3" w:name="_Toc220077545"/>
      <w:r w:rsidRPr="00987C41" w:rsidR="004461A7">
        <w:rPr>
          <w:rFonts w:cs="Times New Roman"/>
        </w:rPr>
        <w:t>(Disposizioni in materia di responsabilità per il conseguimento degli obiettivi del PNRR)</w:t>
      </w:r>
      <w:bookmarkEnd w:id="0"/>
      <w:bookmarkEnd w:id="1"/>
      <w:bookmarkEnd w:id="2"/>
      <w:bookmarkEnd w:id="3"/>
    </w:p>
    <w:p w:rsidR="0095049A" w:rsidP="0095049A" w14:paraId="1DDB307F" w14:textId="77777777">
      <w:pPr>
        <w:tabs>
          <w:tab w:val="left" w:pos="1866"/>
        </w:tabs>
        <w:spacing w:after="120"/>
        <w:jc w:val="both"/>
      </w:pPr>
      <w:r w:rsidRPr="001D0D00">
        <w:rPr>
          <w:b/>
        </w:rPr>
        <w:t xml:space="preserve"> </w:t>
      </w:r>
      <w:r w:rsidRPr="007B0638">
        <w:t xml:space="preserve">La disposizione normativa in esame è volta a </w:t>
      </w:r>
      <w:r>
        <w:t>rafforzare</w:t>
      </w:r>
      <w:r w:rsidRPr="007B0638">
        <w:t xml:space="preserve"> il monitoraggio degli interventi finanziati, in tutto o in parte, con risorse del Piano nazionale di ripresa e resilienza e ad agevolarne la definitiva attuazione, e, a tal fine, chiarisce il meccanismo volto a definire il tracciamento dello stato di avanzamento delle misure e degli interventi e l’aggiornamento dei relativi cronoprogrammi. </w:t>
      </w:r>
    </w:p>
    <w:p w:rsidR="0095049A" w:rsidP="0095049A" w14:paraId="7CE046A8" w14:textId="77777777">
      <w:pPr>
        <w:tabs>
          <w:tab w:val="left" w:pos="1866"/>
        </w:tabs>
        <w:spacing w:after="120"/>
        <w:jc w:val="both"/>
      </w:pPr>
      <w:r>
        <w:t xml:space="preserve">Al </w:t>
      </w:r>
      <w:r w:rsidRPr="0099701D">
        <w:rPr>
          <w:b/>
          <w:bCs/>
          <w:u w:val="single"/>
        </w:rPr>
        <w:t>comma 1</w:t>
      </w:r>
      <w:r>
        <w:t xml:space="preserve"> onera </w:t>
      </w:r>
      <w:r w:rsidRPr="0099701D">
        <w:t xml:space="preserve">i soggetti attuatori </w:t>
      </w:r>
      <w:r>
        <w:t>di</w:t>
      </w:r>
      <w:r w:rsidRPr="0099701D">
        <w:t xml:space="preserve"> interventi </w:t>
      </w:r>
      <w:r>
        <w:t xml:space="preserve">PNRR </w:t>
      </w:r>
      <w:r w:rsidRPr="0099701D">
        <w:t>a rendere disponibile</w:t>
      </w:r>
      <w:r w:rsidRPr="007B0638">
        <w:t xml:space="preserve"> </w:t>
      </w:r>
      <w:r w:rsidRPr="0099701D">
        <w:t xml:space="preserve">sul sistema </w:t>
      </w:r>
      <w:r>
        <w:t>ReGiS</w:t>
      </w:r>
      <w:r w:rsidRPr="0099701D">
        <w:t xml:space="preserve">, entro il </w:t>
      </w:r>
      <w:r>
        <w:t xml:space="preserve">decimo </w:t>
      </w:r>
      <w:r w:rsidRPr="0099701D">
        <w:t>giorno di ciascun mese</w:t>
      </w:r>
      <w:r>
        <w:t xml:space="preserve">, </w:t>
      </w:r>
      <w:r w:rsidRPr="0099701D">
        <w:t>il cronoprogramma procedurale e finanziario aggiornato di ciascun intervento</w:t>
      </w:r>
      <w:r>
        <w:t xml:space="preserve"> e il </w:t>
      </w:r>
      <w:r w:rsidRPr="0099701D">
        <w:t xml:space="preserve">relativo stato di avanzamento </w:t>
      </w:r>
      <w:r>
        <w:t>al</w:t>
      </w:r>
      <w:r w:rsidRPr="0099701D">
        <w:t xml:space="preserve"> mese precedente</w:t>
      </w:r>
      <w:r>
        <w:t>.</w:t>
      </w:r>
    </w:p>
    <w:p w:rsidR="0095049A" w:rsidP="0095049A" w14:paraId="4303A905" w14:textId="77777777">
      <w:pPr>
        <w:tabs>
          <w:tab w:val="left" w:pos="1866"/>
        </w:tabs>
        <w:spacing w:after="120"/>
        <w:jc w:val="both"/>
        <w:rPr>
          <w:bCs/>
        </w:rPr>
      </w:pPr>
      <w:r>
        <w:rPr>
          <w:bCs/>
        </w:rPr>
        <w:t xml:space="preserve">Il </w:t>
      </w:r>
      <w:r w:rsidRPr="0099701D">
        <w:rPr>
          <w:b/>
          <w:u w:val="single"/>
        </w:rPr>
        <w:t xml:space="preserve">comma </w:t>
      </w:r>
      <w:r>
        <w:rPr>
          <w:b/>
          <w:u w:val="single"/>
        </w:rPr>
        <w:t>2</w:t>
      </w:r>
      <w:r>
        <w:rPr>
          <w:bCs/>
        </w:rPr>
        <w:t xml:space="preserve"> onera le </w:t>
      </w:r>
      <w:r w:rsidRPr="0099701D">
        <w:rPr>
          <w:bCs/>
        </w:rPr>
        <w:t xml:space="preserve">Amministrazioni centrali titolari di misure PNRR e i soggetti attuatori </w:t>
      </w:r>
      <w:r>
        <w:rPr>
          <w:bCs/>
        </w:rPr>
        <w:t xml:space="preserve">dell’effettuazione dei necessari </w:t>
      </w:r>
      <w:r w:rsidRPr="0099701D">
        <w:rPr>
          <w:bCs/>
        </w:rPr>
        <w:t>controlli</w:t>
      </w:r>
      <w:r>
        <w:rPr>
          <w:bCs/>
        </w:rPr>
        <w:t xml:space="preserve"> in ordine alle misure di </w:t>
      </w:r>
      <w:r w:rsidRPr="0099701D">
        <w:rPr>
          <w:bCs/>
        </w:rPr>
        <w:t xml:space="preserve">competenza anche </w:t>
      </w:r>
      <w:r>
        <w:rPr>
          <w:bCs/>
        </w:rPr>
        <w:t>oltre il</w:t>
      </w:r>
      <w:r w:rsidRPr="0099701D">
        <w:rPr>
          <w:bCs/>
        </w:rPr>
        <w:t xml:space="preserve"> 31 dicembre 2026 e fino al completamento degli obblighi connessi all</w:t>
      </w:r>
      <w:r>
        <w:rPr>
          <w:bCs/>
        </w:rPr>
        <w:t>’</w:t>
      </w:r>
      <w:r w:rsidRPr="0099701D">
        <w:rPr>
          <w:bCs/>
        </w:rPr>
        <w:t xml:space="preserve">attuazione del PNRR per ciascuna misura e intervento, continuando ad avvalersi </w:t>
      </w:r>
      <w:r>
        <w:rPr>
          <w:bCs/>
        </w:rPr>
        <w:t xml:space="preserve">del sistema </w:t>
      </w:r>
      <w:r w:rsidRPr="00C70882">
        <w:rPr>
          <w:bCs/>
        </w:rPr>
        <w:t>ReGiS</w:t>
      </w:r>
      <w:r>
        <w:rPr>
          <w:bCs/>
        </w:rPr>
        <w:t xml:space="preserve">. </w:t>
      </w:r>
    </w:p>
    <w:p w:rsidR="0095049A" w:rsidP="0095049A" w14:paraId="7E7806BF" w14:textId="77777777">
      <w:pPr>
        <w:tabs>
          <w:tab w:val="left" w:pos="1866"/>
        </w:tabs>
        <w:spacing w:after="120"/>
        <w:jc w:val="both"/>
        <w:rPr>
          <w:bCs/>
        </w:rPr>
      </w:pPr>
      <w:r>
        <w:rPr>
          <w:bCs/>
        </w:rPr>
        <w:t xml:space="preserve">A tenore, poi, del </w:t>
      </w:r>
      <w:r w:rsidRPr="0099701D">
        <w:rPr>
          <w:b/>
          <w:u w:val="single"/>
        </w:rPr>
        <w:t xml:space="preserve">comma </w:t>
      </w:r>
      <w:r>
        <w:rPr>
          <w:b/>
          <w:u w:val="single"/>
        </w:rPr>
        <w:t>3</w:t>
      </w:r>
      <w:r>
        <w:rPr>
          <w:bCs/>
        </w:rPr>
        <w:t xml:space="preserve">, la </w:t>
      </w:r>
      <w:r w:rsidRPr="0099701D">
        <w:rPr>
          <w:bCs/>
        </w:rPr>
        <w:t>Ragioneria generale dello Stato provvede</w:t>
      </w:r>
      <w:r>
        <w:rPr>
          <w:bCs/>
        </w:rPr>
        <w:t xml:space="preserve"> ad implementare</w:t>
      </w:r>
      <w:r w:rsidRPr="0099701D">
        <w:rPr>
          <w:bCs/>
        </w:rPr>
        <w:t xml:space="preserve"> </w:t>
      </w:r>
      <w:r>
        <w:rPr>
          <w:bCs/>
        </w:rPr>
        <w:t>le</w:t>
      </w:r>
      <w:r w:rsidRPr="0099701D">
        <w:rPr>
          <w:bCs/>
        </w:rPr>
        <w:t xml:space="preserve"> funzionalità del sistema</w:t>
      </w:r>
      <w:r>
        <w:rPr>
          <w:bCs/>
        </w:rPr>
        <w:t xml:space="preserve"> Regis ai fini dell’espletamento degli </w:t>
      </w:r>
      <w:r w:rsidRPr="0099701D">
        <w:rPr>
          <w:bCs/>
        </w:rPr>
        <w:t xml:space="preserve">adempimenti </w:t>
      </w:r>
      <w:r>
        <w:rPr>
          <w:bCs/>
        </w:rPr>
        <w:t xml:space="preserve">previsti dal comma 3 e </w:t>
      </w:r>
      <w:r w:rsidRPr="0099701D">
        <w:rPr>
          <w:bCs/>
        </w:rPr>
        <w:t xml:space="preserve">per il monitoraggio degli altri programmi e interventi finanziati con risorse nazionali ed europee, </w:t>
      </w:r>
      <w:r>
        <w:rPr>
          <w:bCs/>
        </w:rPr>
        <w:t xml:space="preserve">potendosi, a tal fine, avvalere di </w:t>
      </w:r>
      <w:r w:rsidRPr="0099701D">
        <w:rPr>
          <w:bCs/>
        </w:rPr>
        <w:t>società a prevalente partecipazione pubblica</w:t>
      </w:r>
      <w:r>
        <w:rPr>
          <w:bCs/>
        </w:rPr>
        <w:t>, tra cui Sogei S.p.A.</w:t>
      </w:r>
    </w:p>
    <w:p w:rsidR="0095049A" w:rsidP="0095049A" w14:paraId="5DA7B6BC" w14:textId="77777777">
      <w:pPr>
        <w:tabs>
          <w:tab w:val="left" w:pos="1866"/>
        </w:tabs>
        <w:spacing w:after="120"/>
        <w:jc w:val="both"/>
        <w:rPr>
          <w:bCs/>
        </w:rPr>
      </w:pPr>
      <w:r>
        <w:rPr>
          <w:bCs/>
        </w:rPr>
        <w:t xml:space="preserve">Il </w:t>
      </w:r>
      <w:r w:rsidRPr="007B0638">
        <w:rPr>
          <w:b/>
          <w:u w:val="single"/>
        </w:rPr>
        <w:t xml:space="preserve">comma </w:t>
      </w:r>
      <w:r>
        <w:rPr>
          <w:b/>
          <w:u w:val="single"/>
        </w:rPr>
        <w:t>4</w:t>
      </w:r>
      <w:r>
        <w:rPr>
          <w:bCs/>
        </w:rPr>
        <w:t xml:space="preserve"> prevede la clausola di neutralità finanziaria. </w:t>
      </w:r>
    </w:p>
    <w:p w:rsidR="0095049A" w:rsidP="0095049A" w14:paraId="061A3320" w14:textId="77777777">
      <w:pPr>
        <w:tabs>
          <w:tab w:val="left" w:pos="1866"/>
        </w:tabs>
        <w:spacing w:after="120"/>
        <w:jc w:val="both"/>
        <w:rPr>
          <w:b/>
          <w:bCs/>
        </w:rPr>
      </w:pPr>
      <w:r w:rsidRPr="001D0D00">
        <w:rPr>
          <w:b/>
        </w:rPr>
        <w:t xml:space="preserve">Sotto il profilo finanziario, l’articolo in esame </w:t>
      </w:r>
      <w:r>
        <w:rPr>
          <w:b/>
        </w:rPr>
        <w:t xml:space="preserve">non comporta </w:t>
      </w:r>
      <w:r w:rsidRPr="001D0D00">
        <w:rPr>
          <w:b/>
        </w:rPr>
        <w:t>nuovi o maggiori oneri a carico della finanza pubblica</w:t>
      </w:r>
      <w:r>
        <w:rPr>
          <w:b/>
        </w:rPr>
        <w:t xml:space="preserve">, in quanto le </w:t>
      </w:r>
      <w:r w:rsidRPr="009B3CF2">
        <w:rPr>
          <w:b/>
          <w:bCs/>
        </w:rPr>
        <w:t>Amministrazioni interessate</w:t>
      </w:r>
      <w:r w:rsidRPr="00E31FE3">
        <w:rPr>
          <w:color w:val="000000" w:themeColor="text1"/>
        </w:rPr>
        <w:t xml:space="preserve"> </w:t>
      </w:r>
      <w:r w:rsidRPr="00E31FE3">
        <w:rPr>
          <w:b/>
          <w:bCs/>
        </w:rPr>
        <w:t>e i soggetti attuatori</w:t>
      </w:r>
      <w:r w:rsidRPr="009B3CF2">
        <w:rPr>
          <w:b/>
          <w:bCs/>
        </w:rPr>
        <w:t xml:space="preserve"> provvedono agli adempimenti prescritti nell’ambito delle risorse strumentali, umane e finanziarie già previste a legislazione vigente</w:t>
      </w:r>
      <w:r>
        <w:rPr>
          <w:b/>
          <w:bCs/>
        </w:rPr>
        <w:t>, come espressamente indicato nella clausola di neutralità finanziaria fissata al comma 4.</w:t>
      </w:r>
    </w:p>
    <w:p w:rsidR="001D6166" w:rsidRPr="009F4C15" w:rsidP="009F4C15" w14:paraId="2B9532EB" w14:textId="36280A86">
      <w:pPr>
        <w:tabs>
          <w:tab w:val="left" w:pos="1866"/>
        </w:tabs>
        <w:spacing w:after="120"/>
        <w:jc w:val="both"/>
        <w:rPr>
          <w:b/>
        </w:rPr>
      </w:pPr>
    </w:p>
    <w:p w:rsidR="004461A7" w:rsidRPr="00987C41" w:rsidP="00A42770" w14:paraId="218BCB27" w14:textId="32B4B6ED">
      <w:pPr>
        <w:pStyle w:val="Heading3"/>
        <w:numPr>
          <w:ilvl w:val="0"/>
          <w:numId w:val="4"/>
        </w:numPr>
        <w:spacing w:before="0" w:after="120"/>
        <w:ind w:left="0" w:firstLine="709"/>
        <w:rPr>
          <w:rFonts w:cs="Times New Roman"/>
        </w:rPr>
      </w:pPr>
      <w:bookmarkStart w:id="4" w:name="_Toc660450890"/>
      <w:r w:rsidRPr="209E2A2E">
        <w:rPr>
          <w:rFonts w:cs="Times New Roman"/>
        </w:rPr>
        <w:t xml:space="preserve">                                                                                                                                  </w:t>
      </w:r>
      <w:bookmarkStart w:id="5" w:name="_Toc220077546"/>
      <w:r w:rsidRPr="209E2A2E">
        <w:rPr>
          <w:rFonts w:cs="Times New Roman"/>
        </w:rPr>
        <w:t xml:space="preserve">(Disposizioni in materia </w:t>
      </w:r>
      <w:r w:rsidRPr="209E2A2E" w:rsidR="00C82E7A">
        <w:rPr>
          <w:rFonts w:cs="Times New Roman"/>
        </w:rPr>
        <w:t xml:space="preserve">di rafforzamento della capacità amministrativa delle Amministrazioni </w:t>
      </w:r>
      <w:r w:rsidRPr="209E2A2E" w:rsidR="539F76F0">
        <w:rPr>
          <w:rFonts w:cs="Times New Roman"/>
        </w:rPr>
        <w:t xml:space="preserve">centrali </w:t>
      </w:r>
      <w:r w:rsidRPr="209E2A2E" w:rsidR="00C82E7A">
        <w:rPr>
          <w:rFonts w:cs="Times New Roman"/>
        </w:rPr>
        <w:t>titolari delle misure PNRR</w:t>
      </w:r>
      <w:r w:rsidRPr="209E2A2E">
        <w:rPr>
          <w:rFonts w:cs="Times New Roman"/>
        </w:rPr>
        <w:t>)</w:t>
      </w:r>
      <w:bookmarkEnd w:id="4"/>
      <w:bookmarkEnd w:id="5"/>
    </w:p>
    <w:p w:rsidR="00C52475" w:rsidRPr="00987C41" w:rsidP="209E2A2E" w14:paraId="4BC4B9A5" w14:textId="47843721">
      <w:pPr>
        <w:spacing w:after="120"/>
        <w:jc w:val="both"/>
      </w:pPr>
      <w:r w:rsidRPr="209E2A2E">
        <w:t>L’articolo contiene disposizioni finalizzate</w:t>
      </w:r>
      <w:r w:rsidR="009C6437">
        <w:t xml:space="preserve"> </w:t>
      </w:r>
      <w:r w:rsidRPr="209E2A2E">
        <w:t>ad assicurare il tempestivo ed efficace conseguimento dei traguardi e degli obiettivi relativi ai progetti di investimento e alle riforme inclusi nel PNRR nonché l’efficiente gestione delle operazioni di rendicontazione e di formalizzazione delle residue richieste di pagamento alla Commissione europea entro i termini fissati dalla normativa eurounitaria</w:t>
      </w:r>
      <w:r w:rsidR="009C6437">
        <w:t>.</w:t>
      </w:r>
    </w:p>
    <w:p w:rsidR="003E2032" w:rsidRPr="00F93FBA" w:rsidP="003E2032" w14:paraId="5C4BC4DA" w14:textId="77777777">
      <w:pPr>
        <w:spacing w:after="120"/>
        <w:jc w:val="both"/>
        <w:rPr>
          <w:rFonts w:eastAsiaTheme="minorHAnsi"/>
          <w:kern w:val="2"/>
          <w:lang w:eastAsia="en-US"/>
          <w14:ligatures w14:val="standardContextual"/>
        </w:rPr>
      </w:pPr>
      <w:r w:rsidRPr="00F93FBA">
        <w:rPr>
          <w:rFonts w:eastAsiaTheme="minorHAnsi"/>
          <w:kern w:val="2"/>
          <w:lang w:eastAsia="en-US"/>
          <w14:ligatures w14:val="standardContextual"/>
        </w:rPr>
        <w:t xml:space="preserve">In tale contesto, il </w:t>
      </w:r>
      <w:r w:rsidRPr="00F93FBA">
        <w:rPr>
          <w:rFonts w:eastAsiaTheme="minorHAnsi"/>
          <w:b/>
          <w:kern w:val="2"/>
          <w:u w:val="single"/>
          <w:lang w:eastAsia="en-US"/>
          <w14:ligatures w14:val="standardContextual"/>
        </w:rPr>
        <w:t>comma 1</w:t>
      </w:r>
      <w:r w:rsidRPr="00F93FBA">
        <w:rPr>
          <w:rFonts w:eastAsiaTheme="minorHAnsi"/>
          <w:kern w:val="2"/>
          <w:lang w:eastAsia="en-US"/>
          <w14:ligatures w14:val="standardContextual"/>
        </w:rPr>
        <w:t xml:space="preserve">, in primo luogo, proroga al 31 dicembre 2026, laddove la relativa scadenza sia anteriore a tale, la durata di tutti gli incarichi dirigenziali di livello generale o non generale conferiti in relazione alle Unità di missione per il PNRR (ovvero alle analoghe strutture di livello dirigenziale) operanti presso ciascuna amministrazione centrale titolare di interventi previsti nel Piano nonché alla Struttura di missione PNRR operante presso la Presidenza del Consiglio dei ministri. </w:t>
      </w:r>
      <w:r w:rsidRPr="005B7C01">
        <w:rPr>
          <w:rFonts w:eastAsiaTheme="minorHAnsi"/>
          <w:color w:val="FF0000"/>
          <w:kern w:val="2"/>
          <w:lang w:eastAsia="en-US"/>
          <w14:ligatures w14:val="standardContextual"/>
        </w:rPr>
        <w:t xml:space="preserve">In secondo luogo, il comma in esame dispone la proroga fino al 31 dicembre 2029 della durata delle </w:t>
      </w:r>
      <w:r w:rsidRPr="005B7C01">
        <w:rPr>
          <w:rFonts w:eastAsiaTheme="minorHAnsi"/>
          <w:color w:val="FF0000"/>
          <w:kern w:val="2"/>
          <w:lang w:eastAsia="en-US"/>
          <w14:ligatures w14:val="standardContextual"/>
        </w:rPr>
        <w:t>predette</w:t>
      </w:r>
      <w:r w:rsidRPr="005B7C01">
        <w:rPr>
          <w:rFonts w:eastAsiaTheme="minorHAnsi"/>
          <w:color w:val="FF0000"/>
          <w:kern w:val="2"/>
          <w:lang w:eastAsia="en-US"/>
          <w14:ligatures w14:val="standardContextual"/>
        </w:rPr>
        <w:t xml:space="preserve"> Unità di missione per il PNRR (o delle strutture equivalenti di livello dirigenziale generale), della medesima</w:t>
      </w:r>
      <w:r w:rsidRPr="005B7C01">
        <w:rPr>
          <w:color w:val="FF0000"/>
        </w:rPr>
        <w:t xml:space="preserve"> </w:t>
      </w:r>
      <w:r w:rsidRPr="005B7C01">
        <w:rPr>
          <w:rFonts w:eastAsiaTheme="minorHAnsi"/>
          <w:color w:val="FF0000"/>
          <w:kern w:val="2"/>
          <w:lang w:eastAsia="en-US"/>
          <w14:ligatures w14:val="standardContextual"/>
        </w:rPr>
        <w:t xml:space="preserve">Struttura di missione PNRR operante presso la Presidenza del Consiglio dei ministri </w:t>
      </w:r>
      <w:r w:rsidRPr="005B7C01">
        <w:rPr>
          <w:rFonts w:eastAsiaTheme="minorHAnsi"/>
          <w:b/>
          <w:bCs/>
          <w:color w:val="FF0000"/>
          <w:kern w:val="2"/>
          <w:lang w:eastAsia="en-US"/>
          <w14:ligatures w14:val="standardContextual"/>
        </w:rPr>
        <w:t>e del Nucleo PNRR Stato-Regioni operante presso il Dipartimento per gli Affari regionali e le autonomie della Presidenza del Consiglio dei ministri</w:t>
      </w:r>
      <w:r w:rsidRPr="005B7C01">
        <w:rPr>
          <w:rFonts w:eastAsiaTheme="minorHAnsi"/>
          <w:color w:val="FF0000"/>
          <w:kern w:val="2"/>
          <w:lang w:eastAsia="en-US"/>
          <w14:ligatures w14:val="standardContextual"/>
        </w:rPr>
        <w:t xml:space="preserve">. </w:t>
      </w:r>
      <w:r w:rsidRPr="005B7C01">
        <w:rPr>
          <w:color w:val="FF0000"/>
        </w:rPr>
        <w:t xml:space="preserve">La proroga, oltre a garantire la continuità amministrativa, rappresenta una soluzione economicamente più efficiente, in quanto consente la continuità dei contratti già in essere senza costi aggiuntivi di selezione e formazione, assicurando, al contempo, il rispetto dei principi di efficacia, efficienza e buon andamento dell’azione amministrativa. </w:t>
      </w:r>
      <w:r w:rsidRPr="005B7C01">
        <w:rPr>
          <w:rFonts w:eastAsiaTheme="minorHAnsi"/>
          <w:color w:val="FF0000"/>
          <w:kern w:val="2"/>
          <w:lang w:eastAsia="en-US"/>
          <w14:ligatures w14:val="standardContextual"/>
        </w:rPr>
        <w:t>Tali strutture continuano a svolgere le funzioni di coordinamento, monitoraggio, rendicontazione e controllo delle attività connesse alla gestione degli interventi, anche successivamente alla scadenza del termine ultimo per l’attuazione del Piano (31 dicembre 2026). Di conseguenza, viene estesa alla stessa data (31 dicembre 2029) anche la validità dei provvedimenti di comando, fuori ruolo o applicazione di altro analogo istituto riguardanti il personale assegnato alle suddette unità</w:t>
      </w:r>
      <w:r w:rsidRPr="005B7C01">
        <w:rPr>
          <w:rFonts w:eastAsiaTheme="minorHAnsi"/>
          <w:b/>
          <w:color w:val="FF0000"/>
          <w:kern w:val="2"/>
          <w:lang w:eastAsia="en-US"/>
          <w14:ligatures w14:val="standardContextual"/>
        </w:rPr>
        <w:t xml:space="preserve"> e </w:t>
      </w:r>
      <w:r w:rsidRPr="005B7C01">
        <w:rPr>
          <w:rFonts w:eastAsiaTheme="minorHAnsi"/>
          <w:b/>
          <w:bCs/>
          <w:color w:val="FF0000"/>
          <w:kern w:val="2"/>
          <w:lang w:eastAsia="en-US"/>
          <w14:ligatures w14:val="standardContextual"/>
        </w:rPr>
        <w:t>in servizio alla data di entrata in vigore del presente decreto</w:t>
      </w:r>
      <w:r w:rsidRPr="005B7C01">
        <w:rPr>
          <w:rFonts w:eastAsiaTheme="minorHAnsi"/>
          <w:color w:val="FF0000"/>
          <w:kern w:val="2"/>
          <w:lang w:eastAsia="en-US"/>
          <w14:ligatures w14:val="standardContextual"/>
        </w:rPr>
        <w:t>. L’obiettivo è garantire la piena operatività del personale già in servizio, salvo la possibilità per le amministrazioni di provenienza di richiedere la revoca dei provvedimenti entro 60 giorni dall’entrata in vigore della legge di conversione. Inoltre, per assicurare continuità operativa, fino al 31 dicembre 2027 sarà possibile conferire incarichi dirigenziali, sia di livello generale che non generale, in deroga ai limiti percentuali previsti dall’articolo 19, commi 5-</w:t>
      </w:r>
      <w:r w:rsidRPr="005B7C01">
        <w:rPr>
          <w:rFonts w:eastAsiaTheme="minorHAnsi"/>
          <w:i/>
          <w:color w:val="FF0000"/>
          <w:kern w:val="2"/>
          <w:lang w:eastAsia="en-US"/>
          <w14:ligatures w14:val="standardContextual"/>
        </w:rPr>
        <w:t>bis</w:t>
      </w:r>
      <w:r w:rsidRPr="005B7C01">
        <w:rPr>
          <w:rFonts w:eastAsiaTheme="minorHAnsi"/>
          <w:color w:val="FF0000"/>
          <w:kern w:val="2"/>
          <w:lang w:eastAsia="en-US"/>
          <w14:ligatures w14:val="standardContextual"/>
        </w:rPr>
        <w:t xml:space="preserve"> e 6, del decreto legislativo n. 165 del 2001. </w:t>
      </w:r>
    </w:p>
    <w:p w:rsidR="00DD752E" w:rsidRPr="003E2032" w:rsidP="00DD752E" w14:paraId="6C52DC47" w14:textId="3B13EBA6">
      <w:pPr>
        <w:spacing w:after="120"/>
        <w:jc w:val="both"/>
        <w:rPr>
          <w:rFonts w:eastAsiaTheme="minorHAnsi"/>
          <w:b/>
          <w:bCs/>
          <w:kern w:val="2"/>
          <w:lang w:eastAsia="en-US"/>
          <w14:ligatures w14:val="standardContextual"/>
        </w:rPr>
      </w:pPr>
      <w:r w:rsidRPr="003E2032">
        <w:rPr>
          <w:rFonts w:eastAsiaTheme="minorHAnsi"/>
          <w:kern w:val="2"/>
          <w:lang w:eastAsia="en-US"/>
          <w14:ligatures w14:val="standardContextual"/>
        </w:rPr>
        <w:t xml:space="preserve">Al riguardo, </w:t>
      </w:r>
      <w:r w:rsidRPr="003E2032">
        <w:rPr>
          <w:rFonts w:eastAsiaTheme="minorHAnsi"/>
          <w:b/>
          <w:kern w:val="2"/>
          <w:lang w:eastAsia="en-US"/>
          <w14:ligatures w14:val="standardContextual"/>
        </w:rPr>
        <w:t>in ordine alla proroga degli incarichi dirigenziali fino al termine del 2026</w:t>
      </w:r>
      <w:r w:rsidRPr="003E2032">
        <w:rPr>
          <w:rFonts w:eastAsiaTheme="minorHAnsi"/>
          <w:kern w:val="2"/>
          <w:lang w:eastAsia="en-US"/>
          <w14:ligatures w14:val="standardContextual"/>
        </w:rPr>
        <w:t xml:space="preserve">, si osserva che tale previsione non determina nuovi o </w:t>
      </w:r>
      <w:r w:rsidRPr="003E2032">
        <w:rPr>
          <w:rFonts w:eastAsiaTheme="minorHAnsi"/>
          <w:kern w:val="2"/>
          <w:lang w:eastAsia="en-US"/>
          <w14:ligatures w14:val="standardContextual"/>
        </w:rPr>
        <w:t>maggiori</w:t>
      </w:r>
      <w:r w:rsidRPr="003E2032">
        <w:rPr>
          <w:rFonts w:eastAsiaTheme="minorHAnsi"/>
          <w:kern w:val="2"/>
          <w:lang w:eastAsia="en-US"/>
          <w14:ligatures w14:val="standardContextual"/>
        </w:rPr>
        <w:t xml:space="preserve"> oneri a carico della finanza pubblica, </w:t>
      </w:r>
      <w:r w:rsidRPr="003E2032" w:rsidR="00DF0D0E">
        <w:rPr>
          <w:rFonts w:eastAsiaTheme="minorHAnsi"/>
          <w:kern w:val="2"/>
          <w:lang w:eastAsia="en-US"/>
          <w14:ligatures w14:val="standardContextual"/>
        </w:rPr>
        <w:t xml:space="preserve">dal momento che la proroga di detti contratti avviene a valere sulle risorse già stanziate a legislazione vigente per il conferimento degli incarichi </w:t>
      </w:r>
      <w:r w:rsidRPr="003E2032" w:rsidR="00DF0D0E">
        <w:rPr>
          <w:rFonts w:eastAsiaTheme="minorHAnsi"/>
          <w:i/>
          <w:iCs/>
          <w:kern w:val="2"/>
          <w:lang w:eastAsia="en-US"/>
          <w14:ligatures w14:val="standardContextual"/>
        </w:rPr>
        <w:t xml:space="preserve">de </w:t>
      </w:r>
      <w:r w:rsidRPr="003E2032" w:rsidR="00DF0D0E">
        <w:rPr>
          <w:rFonts w:eastAsiaTheme="minorHAnsi"/>
          <w:i/>
          <w:iCs/>
          <w:kern w:val="2"/>
          <w:lang w:eastAsia="en-US"/>
          <w14:ligatures w14:val="standardContextual"/>
        </w:rPr>
        <w:t>quibus</w:t>
      </w:r>
      <w:r w:rsidRPr="003E2032" w:rsidR="00DF0D0E">
        <w:rPr>
          <w:rFonts w:eastAsiaTheme="minorHAnsi"/>
          <w:kern w:val="2"/>
          <w:lang w:eastAsia="en-US"/>
          <w14:ligatures w14:val="standardContextual"/>
        </w:rPr>
        <w:t xml:space="preserve"> fino alla data del 31 dicembre 2026 e, in particolare, dalle previsioni normative istitutive della Struttura di Missione PNRR (articolo 2 del decreto-legge n. 13 del 2023) e delle Unità di missione (o struttura dirigenziale equivalente) presso ciascuna amministrazione centrale titolare di interventi previsti nel PNRR (articolo 8 del decreto-legge n. 77 del 2021). </w:t>
      </w:r>
    </w:p>
    <w:p w:rsidR="00CE454A" w:rsidRPr="0030526F" w:rsidP="00CE454A" w14:paraId="72D07331" w14:textId="22A103E8">
      <w:pPr>
        <w:spacing w:after="120"/>
        <w:jc w:val="both"/>
        <w:rPr>
          <w:rFonts w:eastAsiaTheme="minorHAnsi"/>
          <w:color w:val="FF0000"/>
          <w:kern w:val="2"/>
          <w:lang w:eastAsia="en-US"/>
          <w14:ligatures w14:val="standardContextual"/>
        </w:rPr>
      </w:pPr>
      <w:r w:rsidRPr="0030526F">
        <w:rPr>
          <w:rFonts w:eastAsiaTheme="minorHAnsi"/>
          <w:color w:val="FF0000"/>
          <w:kern w:val="2"/>
          <w:lang w:eastAsia="en-US"/>
          <w14:ligatures w14:val="standardContextual"/>
        </w:rPr>
        <w:t>Quanto, invece, alla proroga delle citate Unità di missione</w:t>
      </w:r>
      <w:r w:rsidRPr="0030526F" w:rsidR="00220387">
        <w:rPr>
          <w:rFonts w:eastAsiaTheme="minorHAnsi"/>
          <w:color w:val="FF0000"/>
          <w:kern w:val="2"/>
          <w:lang w:eastAsia="en-US"/>
          <w14:ligatures w14:val="standardContextual"/>
        </w:rPr>
        <w:t>,</w:t>
      </w:r>
      <w:r w:rsidRPr="0030526F">
        <w:rPr>
          <w:rFonts w:eastAsiaTheme="minorHAnsi"/>
          <w:color w:val="FF0000"/>
          <w:kern w:val="2"/>
          <w:lang w:eastAsia="en-US"/>
          <w14:ligatures w14:val="standardContextual"/>
        </w:rPr>
        <w:t xml:space="preserve"> della Struttura di missione PNRR presso la Presidenza del Consiglio dei ministri </w:t>
      </w:r>
      <w:r w:rsidRPr="0030526F" w:rsidR="00220387">
        <w:rPr>
          <w:rFonts w:eastAsiaTheme="minorHAnsi"/>
          <w:b/>
          <w:bCs/>
          <w:color w:val="FF0000"/>
          <w:kern w:val="2"/>
          <w:lang w:eastAsia="en-US"/>
          <w14:ligatures w14:val="standardContextual"/>
        </w:rPr>
        <w:t>e del Nucleo PNRR Stato-Regioni</w:t>
      </w:r>
      <w:r w:rsidRPr="0030526F" w:rsidR="00220387">
        <w:rPr>
          <w:rFonts w:eastAsiaTheme="minorHAnsi"/>
          <w:color w:val="FF0000"/>
          <w:kern w:val="2"/>
          <w:lang w:eastAsia="en-US"/>
          <w14:ligatures w14:val="standardContextual"/>
        </w:rPr>
        <w:t xml:space="preserve"> </w:t>
      </w:r>
      <w:r w:rsidRPr="0030526F">
        <w:rPr>
          <w:rFonts w:eastAsiaTheme="minorHAnsi"/>
          <w:color w:val="FF0000"/>
          <w:kern w:val="2"/>
          <w:lang w:eastAsia="en-US"/>
          <w14:ligatures w14:val="standardContextual"/>
        </w:rPr>
        <w:t xml:space="preserve">sino al 2029 è stimata una </w:t>
      </w:r>
      <w:r w:rsidRPr="0030526F">
        <w:rPr>
          <w:rFonts w:eastAsiaTheme="minorHAnsi"/>
          <w:b/>
          <w:color w:val="FF0000"/>
          <w:kern w:val="2"/>
          <w:lang w:eastAsia="en-US"/>
          <w14:ligatures w14:val="standardContextual"/>
        </w:rPr>
        <w:t>spesa pari a</w:t>
      </w:r>
      <w:r w:rsidRPr="0030526F" w:rsidR="00781C7B">
        <w:rPr>
          <w:rFonts w:eastAsiaTheme="minorHAnsi"/>
          <w:b/>
          <w:color w:val="FF0000"/>
          <w:kern w:val="2"/>
          <w:lang w:eastAsia="en-US"/>
          <w14:ligatures w14:val="standardContextual"/>
        </w:rPr>
        <w:t>d</w:t>
      </w:r>
      <w:r w:rsidRPr="0030526F">
        <w:rPr>
          <w:rFonts w:eastAsiaTheme="minorHAnsi"/>
          <w:b/>
          <w:color w:val="FF0000"/>
          <w:kern w:val="2"/>
          <w:lang w:eastAsia="en-US"/>
          <w14:ligatures w14:val="standardContextual"/>
        </w:rPr>
        <w:t xml:space="preserve"> euro </w:t>
      </w:r>
      <w:r w:rsidRPr="0030526F" w:rsidR="00C7705F">
        <w:rPr>
          <w:rFonts w:eastAsiaTheme="minorHAnsi"/>
          <w:b/>
          <w:color w:val="FF0000"/>
          <w:kern w:val="2"/>
          <w:lang w:eastAsia="en-US"/>
          <w14:ligatures w14:val="standardContextual"/>
        </w:rPr>
        <w:t>31.</w:t>
      </w:r>
      <w:r w:rsidRPr="0030526F" w:rsidR="002B59EB">
        <w:rPr>
          <w:rFonts w:eastAsiaTheme="minorHAnsi"/>
          <w:b/>
          <w:color w:val="FF0000"/>
          <w:kern w:val="2"/>
          <w:lang w:eastAsia="en-US"/>
          <w14:ligatures w14:val="standardContextual"/>
        </w:rPr>
        <w:t>995.278,52</w:t>
      </w:r>
      <w:r w:rsidRPr="0030526F" w:rsidR="003F3AB4">
        <w:rPr>
          <w:rFonts w:eastAsiaTheme="minorHAnsi"/>
          <w:b/>
          <w:color w:val="FF0000"/>
          <w:kern w:val="2"/>
          <w:lang w:eastAsia="en-US"/>
          <w14:ligatures w14:val="standardContextual"/>
        </w:rPr>
        <w:t xml:space="preserve"> </w:t>
      </w:r>
      <w:r w:rsidRPr="0030526F">
        <w:rPr>
          <w:rFonts w:eastAsiaTheme="minorHAnsi"/>
          <w:b/>
          <w:color w:val="FF0000"/>
          <w:kern w:val="2"/>
          <w:lang w:eastAsia="en-US"/>
          <w14:ligatures w14:val="standardContextual"/>
        </w:rPr>
        <w:t>per ciascuno degli anni dal 2027 al 2029</w:t>
      </w:r>
      <w:r w:rsidRPr="0030526F">
        <w:rPr>
          <w:rFonts w:eastAsiaTheme="minorHAnsi"/>
          <w:color w:val="FF0000"/>
          <w:kern w:val="2"/>
          <w:lang w:eastAsia="en-US"/>
          <w14:ligatures w14:val="standardContextual"/>
        </w:rPr>
        <w:t>, in linea con quanto già previsto dall’articolo 8, comma 6, del decreto-legge n. 77 del 2021</w:t>
      </w:r>
      <w:r w:rsidRPr="0030526F" w:rsidR="003F3AB4">
        <w:rPr>
          <w:rFonts w:eastAsiaTheme="minorHAnsi"/>
          <w:color w:val="FF0000"/>
          <w:kern w:val="2"/>
          <w:lang w:eastAsia="en-US"/>
          <w14:ligatures w14:val="standardContextual"/>
        </w:rPr>
        <w:t>,</w:t>
      </w:r>
      <w:r w:rsidRPr="0030526F">
        <w:rPr>
          <w:rFonts w:eastAsiaTheme="minorHAnsi"/>
          <w:color w:val="FF0000"/>
          <w:kern w:val="2"/>
          <w:lang w:eastAsia="en-US"/>
          <w14:ligatures w14:val="standardContextual"/>
        </w:rPr>
        <w:t xml:space="preserve"> dall’articolo 2 del decreto-legge n. 13 del 2023, come modificato e rifinanziato dall’art. 4 del decreto-legge n. 19</w:t>
      </w:r>
      <w:r w:rsidRPr="0030526F" w:rsidR="00925102">
        <w:rPr>
          <w:rFonts w:eastAsiaTheme="minorHAnsi"/>
          <w:color w:val="FF0000"/>
          <w:kern w:val="2"/>
          <w:lang w:eastAsia="en-US"/>
          <w14:ligatures w14:val="standardContextual"/>
        </w:rPr>
        <w:t xml:space="preserve"> del 2024 </w:t>
      </w:r>
      <w:r w:rsidRPr="0030526F" w:rsidR="003F3AB4">
        <w:rPr>
          <w:rFonts w:eastAsiaTheme="minorHAnsi"/>
          <w:b/>
          <w:bCs/>
          <w:color w:val="FF0000"/>
          <w:kern w:val="2"/>
          <w:lang w:eastAsia="en-US"/>
          <w14:ligatures w14:val="standardContextual"/>
        </w:rPr>
        <w:t>e dall’articolo 33 del decreto-legge n. 152 del 2021</w:t>
      </w:r>
      <w:r w:rsidRPr="0030526F" w:rsidR="00184F22">
        <w:rPr>
          <w:rFonts w:eastAsiaTheme="minorHAnsi"/>
          <w:color w:val="FF0000"/>
          <w:kern w:val="2"/>
          <w:lang w:eastAsia="en-US"/>
          <w14:ligatures w14:val="standardContextual"/>
        </w:rPr>
        <w:t xml:space="preserve"> </w:t>
      </w:r>
      <w:r w:rsidRPr="0030526F" w:rsidR="00925102">
        <w:rPr>
          <w:rFonts w:eastAsiaTheme="minorHAnsi"/>
          <w:color w:val="FF0000"/>
          <w:kern w:val="2"/>
          <w:lang w:eastAsia="en-US"/>
          <w14:ligatures w14:val="standardContextual"/>
        </w:rPr>
        <w:t xml:space="preserve">(per il dettaglio dei costi, si veda </w:t>
      </w:r>
      <w:r w:rsidRPr="0030526F" w:rsidR="00925102">
        <w:rPr>
          <w:rFonts w:eastAsiaTheme="minorHAnsi"/>
          <w:i/>
          <w:iCs/>
          <w:color w:val="FF0000"/>
          <w:kern w:val="2"/>
          <w:lang w:eastAsia="en-US"/>
          <w14:ligatures w14:val="standardContextual"/>
        </w:rPr>
        <w:t>infra</w:t>
      </w:r>
      <w:r w:rsidRPr="0030526F" w:rsidR="00925102">
        <w:rPr>
          <w:rFonts w:eastAsiaTheme="minorHAnsi"/>
          <w:color w:val="FF0000"/>
          <w:kern w:val="2"/>
          <w:lang w:eastAsia="en-US"/>
          <w14:ligatures w14:val="standardContextual"/>
        </w:rPr>
        <w:t>)</w:t>
      </w:r>
      <w:r w:rsidRPr="0030526F">
        <w:rPr>
          <w:rFonts w:eastAsiaTheme="minorHAnsi"/>
          <w:color w:val="FF0000"/>
          <w:kern w:val="2"/>
          <w:lang w:eastAsia="en-US"/>
          <w14:ligatures w14:val="standardContextual"/>
        </w:rPr>
        <w:t xml:space="preserve">. </w:t>
      </w:r>
      <w:r w:rsidRPr="0030526F" w:rsidR="00A614DF">
        <w:rPr>
          <w:rFonts w:eastAsiaTheme="minorHAnsi"/>
          <w:color w:val="FF0000"/>
          <w:kern w:val="2"/>
          <w:lang w:eastAsia="en-US"/>
          <w14:ligatures w14:val="standardContextual"/>
        </w:rPr>
        <w:t xml:space="preserve"> </w:t>
      </w:r>
    </w:p>
    <w:p w:rsidR="00111D9F" w:rsidRPr="00111D9F" w:rsidP="00111D9F" w14:paraId="4D246258" w14:textId="6B966361">
      <w:pPr>
        <w:spacing w:after="120"/>
        <w:jc w:val="both"/>
        <w:rPr>
          <w:rFonts w:eastAsiaTheme="minorHAnsi"/>
          <w:b/>
          <w:bCs/>
          <w:color w:val="FF0000"/>
          <w:kern w:val="2"/>
          <w:lang w:eastAsia="en-US"/>
          <w14:ligatures w14:val="standardContextual"/>
        </w:rPr>
      </w:pPr>
      <w:r w:rsidRPr="00111D9F">
        <w:rPr>
          <w:rFonts w:eastAsiaTheme="minorHAnsi"/>
          <w:b/>
          <w:bCs/>
          <w:color w:val="FF0000"/>
          <w:kern w:val="2"/>
          <w:lang w:eastAsia="en-US"/>
          <w14:ligatures w14:val="standardContextual"/>
        </w:rPr>
        <w:t>Ai relativi oneri si provvede, ai sensi del successivo comma 4, mediante corrispondente riduzione del Fondo di cui all'articolo 1, comma 200, della legge n. 190</w:t>
      </w:r>
      <w:r w:rsidR="00A41792">
        <w:rPr>
          <w:rFonts w:eastAsiaTheme="minorHAnsi"/>
          <w:b/>
          <w:bCs/>
          <w:color w:val="FF0000"/>
          <w:kern w:val="2"/>
          <w:lang w:eastAsia="en-US"/>
          <w14:ligatures w14:val="standardContextual"/>
        </w:rPr>
        <w:t xml:space="preserve"> del </w:t>
      </w:r>
      <w:r w:rsidRPr="00111D9F">
        <w:rPr>
          <w:rFonts w:eastAsiaTheme="minorHAnsi"/>
          <w:b/>
          <w:bCs/>
          <w:color w:val="FF0000"/>
          <w:kern w:val="2"/>
          <w:lang w:eastAsia="en-US"/>
          <w14:ligatures w14:val="standardContextual"/>
        </w:rPr>
        <w:t xml:space="preserve">2014 con riguardo alle strutture operanti presso la Presidenza del Consiglio dei ministri e mediante …per le restanti Unità di missione. </w:t>
      </w:r>
    </w:p>
    <w:p w:rsidR="00343BA3" w:rsidRPr="00343BA3" w:rsidP="00343BA3" w14:paraId="24D7E4E1" w14:textId="2C735CB6">
      <w:pPr>
        <w:spacing w:after="120"/>
        <w:jc w:val="both"/>
        <w:rPr>
          <w:rFonts w:eastAsiaTheme="minorHAnsi"/>
          <w:color w:val="FF0000"/>
          <w:kern w:val="2"/>
          <w:lang w:eastAsia="en-US"/>
          <w14:ligatures w14:val="standardContextual"/>
        </w:rPr>
      </w:pPr>
      <w:r w:rsidRPr="00111D9F">
        <w:rPr>
          <w:rFonts w:eastAsiaTheme="minorHAnsi"/>
          <w:color w:val="FF0000"/>
          <w:kern w:val="2"/>
          <w:lang w:eastAsia="en-US"/>
          <w14:ligatures w14:val="standardContextual"/>
        </w:rPr>
        <w:t xml:space="preserve">Il successivo </w:t>
      </w:r>
      <w:r w:rsidRPr="00111D9F">
        <w:rPr>
          <w:rFonts w:eastAsiaTheme="minorHAnsi"/>
          <w:b/>
          <w:color w:val="FF0000"/>
          <w:kern w:val="2"/>
          <w:u w:val="single"/>
          <w:lang w:eastAsia="en-US"/>
          <w14:ligatures w14:val="standardContextual"/>
        </w:rPr>
        <w:t>comma 2</w:t>
      </w:r>
      <w:r w:rsidRPr="00111D9F">
        <w:rPr>
          <w:rFonts w:eastAsiaTheme="minorHAnsi"/>
          <w:color w:val="FF0000"/>
          <w:kern w:val="2"/>
          <w:lang w:eastAsia="en-US"/>
          <w14:ligatures w14:val="standardContextual"/>
        </w:rPr>
        <w:t>, per rafforzare la capacità operativa della Struttura di missione PNRR operante presso la Presidenza del Consiglio dei ministri, prevede l’indizione, da parte della medesima Presidenza del Consiglio dei ministri, in deroga alle facoltà assunzionali vigenti, di un concorso pubblico per titoli ed esami finalizzato all’assunzione, a tempo indeterminato e nell’ambito del contingente di cui all’articolo 2, comma 4, del decreto-legge n. 13 del 2023 (pari a n. 65 unità di personale non dirigenziale), da concretizzare in data non anteriore al 1° gennaio 2027, di 2</w:t>
      </w:r>
      <w:r w:rsidRPr="00111D9F" w:rsidR="00866E90">
        <w:rPr>
          <w:rFonts w:eastAsiaTheme="minorHAnsi"/>
          <w:color w:val="FF0000"/>
          <w:kern w:val="2"/>
          <w:lang w:eastAsia="en-US"/>
          <w14:ligatures w14:val="standardContextual"/>
        </w:rPr>
        <w:t>6</w:t>
      </w:r>
      <w:r w:rsidRPr="00111D9F">
        <w:rPr>
          <w:rFonts w:eastAsiaTheme="minorHAnsi"/>
          <w:color w:val="FF0000"/>
          <w:kern w:val="2"/>
          <w:lang w:eastAsia="en-US"/>
          <w14:ligatures w14:val="standardContextual"/>
        </w:rPr>
        <w:t xml:space="preserve"> unità di personale non dirigenziale da inquadrare in una categoria non superiore al livello iniziale della categoria A del contratto collettivo nazionale di lavoro della Presidenza del Consiglio dei ministri. Per tale personale è prevista la destinazione in servizio presso la citata Struttura di missione. La disposizione, nel rinviare ad un successivo decreto del Presidente del Consiglio dei ministri la definizione delle procedure e dei requisiti di partecipazione, prevede, altresì, l’incremento della dotazione organica di personale non dirigenziale della Presidenza del Consiglio dei ministri nella misura di 2</w:t>
      </w:r>
      <w:r w:rsidRPr="00111D9F" w:rsidR="00866E90">
        <w:rPr>
          <w:rFonts w:eastAsiaTheme="minorHAnsi"/>
          <w:color w:val="FF0000"/>
          <w:kern w:val="2"/>
          <w:lang w:eastAsia="en-US"/>
          <w14:ligatures w14:val="standardContextual"/>
        </w:rPr>
        <w:t>6</w:t>
      </w:r>
      <w:r w:rsidRPr="00111D9F">
        <w:rPr>
          <w:rFonts w:eastAsiaTheme="minorHAnsi"/>
          <w:color w:val="FF0000"/>
          <w:kern w:val="2"/>
          <w:lang w:eastAsia="en-US"/>
          <w14:ligatures w14:val="standardContextual"/>
        </w:rPr>
        <w:t xml:space="preserve"> unità.</w:t>
      </w:r>
    </w:p>
    <w:p w:rsidR="00343BA3" w:rsidRPr="00343BA3" w:rsidP="00343BA3" w14:paraId="09745FF6" w14:textId="77777777">
      <w:pPr>
        <w:spacing w:after="120"/>
        <w:jc w:val="both"/>
        <w:rPr>
          <w:rFonts w:eastAsiaTheme="minorHAnsi"/>
          <w:color w:val="FF0000"/>
          <w:kern w:val="2"/>
          <w:lang w:eastAsia="en-US"/>
          <w14:ligatures w14:val="standardContextual"/>
        </w:rPr>
      </w:pPr>
      <w:r w:rsidRPr="00343BA3">
        <w:rPr>
          <w:rFonts w:eastAsiaTheme="minorHAnsi"/>
          <w:color w:val="FF0000"/>
          <w:kern w:val="2"/>
          <w:lang w:eastAsia="en-US"/>
          <w14:ligatures w14:val="standardContextual"/>
        </w:rPr>
        <w:t>Tale incremento si rende necessario in ragione dell’insussistenza nell’attuale dotazione organica della Presidenza del Consiglio dei ministri di un corrispondente numero di posti disponibili nella categoria A del relativo CCNL, necessari al fine di assicurare l’espletamento delle attività indicate dalla disposizione in rassegna.</w:t>
      </w:r>
    </w:p>
    <w:p w:rsidR="00E2492F" w:rsidRPr="00111D9F" w:rsidP="004607D5" w14:paraId="174EB1D3" w14:textId="31C4C100">
      <w:pPr>
        <w:spacing w:after="120"/>
        <w:jc w:val="both"/>
        <w:rPr>
          <w:rFonts w:eastAsiaTheme="minorHAnsi"/>
          <w:color w:val="FF0000"/>
          <w:kern w:val="2"/>
          <w:lang w:eastAsia="en-US"/>
          <w14:ligatures w14:val="standardContextual"/>
        </w:rPr>
      </w:pPr>
      <w:r w:rsidRPr="00111D9F">
        <w:rPr>
          <w:rFonts w:eastAsiaTheme="minorHAnsi"/>
          <w:color w:val="FF0000"/>
          <w:kern w:val="2"/>
          <w:lang w:eastAsia="en-US"/>
          <w14:ligatures w14:val="standardContextual"/>
        </w:rPr>
        <w:t xml:space="preserve">Il </w:t>
      </w:r>
      <w:r w:rsidRPr="00111D9F">
        <w:rPr>
          <w:rFonts w:eastAsiaTheme="minorHAnsi"/>
          <w:b/>
          <w:color w:val="FF0000"/>
          <w:kern w:val="2"/>
          <w:u w:val="single"/>
          <w:lang w:eastAsia="en-US"/>
          <w14:ligatures w14:val="standardContextual"/>
        </w:rPr>
        <w:t>comma 3</w:t>
      </w:r>
      <w:r w:rsidRPr="00111D9F">
        <w:rPr>
          <w:rFonts w:eastAsiaTheme="minorHAnsi"/>
          <w:b/>
          <w:color w:val="FF0000"/>
          <w:kern w:val="2"/>
          <w:lang w:eastAsia="en-US"/>
          <w14:ligatures w14:val="standardContextual"/>
        </w:rPr>
        <w:t xml:space="preserve"> </w:t>
      </w:r>
      <w:r w:rsidRPr="00111D9F">
        <w:rPr>
          <w:rFonts w:eastAsiaTheme="minorHAnsi"/>
          <w:color w:val="FF0000"/>
          <w:kern w:val="2"/>
          <w:lang w:eastAsia="en-US"/>
          <w14:ligatures w14:val="standardContextual"/>
        </w:rPr>
        <w:t xml:space="preserve">autorizza la </w:t>
      </w:r>
      <w:r w:rsidRPr="00111D9F">
        <w:rPr>
          <w:rFonts w:eastAsiaTheme="minorHAnsi"/>
          <w:b/>
          <w:color w:val="FF0000"/>
          <w:kern w:val="2"/>
          <w:lang w:eastAsia="en-US"/>
          <w14:ligatures w14:val="standardContextual"/>
        </w:rPr>
        <w:t xml:space="preserve">spesa di </w:t>
      </w:r>
      <w:r w:rsidRPr="00111D9F" w:rsidR="00B1661A">
        <w:rPr>
          <w:rFonts w:eastAsiaTheme="minorHAnsi"/>
          <w:b/>
          <w:color w:val="FF0000"/>
          <w:kern w:val="2"/>
          <w:lang w:eastAsia="en-US"/>
          <w14:ligatures w14:val="standardContextual"/>
        </w:rPr>
        <w:t>77.090</w:t>
      </w:r>
      <w:r w:rsidRPr="00111D9F">
        <w:rPr>
          <w:rFonts w:eastAsiaTheme="minorHAnsi"/>
          <w:b/>
          <w:color w:val="FF0000"/>
          <w:kern w:val="2"/>
          <w:lang w:eastAsia="en-US"/>
          <w14:ligatures w14:val="standardContextual"/>
        </w:rPr>
        <w:t>,00 euro annui a decorrere dal 2027</w:t>
      </w:r>
      <w:r w:rsidRPr="00111D9F">
        <w:rPr>
          <w:rFonts w:eastAsiaTheme="minorHAnsi"/>
          <w:color w:val="FF0000"/>
          <w:kern w:val="2"/>
          <w:lang w:eastAsia="en-US"/>
          <w14:ligatures w14:val="standardContextual"/>
        </w:rPr>
        <w:t xml:space="preserve"> ai fini della corresponsione dei compensi relativi al lavoro straordinario per il nuovo personale assunto all’esito della procedura selettiva di cui al comma precedente.</w:t>
      </w:r>
    </w:p>
    <w:p w:rsidR="001F5266" w:rsidRPr="001F5266" w:rsidP="001F5266" w14:paraId="457654E1" w14:textId="77777777">
      <w:pPr>
        <w:spacing w:after="120"/>
        <w:jc w:val="both"/>
        <w:rPr>
          <w:rFonts w:eastAsiaTheme="minorHAnsi"/>
          <w:color w:val="FF0000"/>
          <w:kern w:val="2"/>
          <w:lang w:eastAsia="en-US"/>
          <w14:ligatures w14:val="standardContextual"/>
        </w:rPr>
      </w:pPr>
      <w:r w:rsidRPr="00111D9F">
        <w:rPr>
          <w:rFonts w:eastAsiaTheme="minorHAnsi"/>
          <w:color w:val="FF0000"/>
          <w:kern w:val="2"/>
          <w:lang w:eastAsia="en-US"/>
          <w14:ligatures w14:val="standardContextual"/>
        </w:rPr>
        <w:t xml:space="preserve">Il </w:t>
      </w:r>
      <w:r w:rsidRPr="00111D9F">
        <w:rPr>
          <w:rFonts w:eastAsiaTheme="minorHAnsi"/>
          <w:b/>
          <w:color w:val="FF0000"/>
          <w:kern w:val="2"/>
          <w:u w:val="single"/>
          <w:lang w:eastAsia="en-US"/>
          <w14:ligatures w14:val="standardContextual"/>
        </w:rPr>
        <w:t>comma 4</w:t>
      </w:r>
      <w:r w:rsidRPr="00111D9F">
        <w:rPr>
          <w:rFonts w:eastAsiaTheme="minorHAnsi"/>
          <w:color w:val="FF0000"/>
          <w:kern w:val="2"/>
          <w:lang w:eastAsia="en-US"/>
          <w14:ligatures w14:val="standardContextual"/>
        </w:rPr>
        <w:t xml:space="preserve"> reca la quantificazione e le fonti di finanziamento degli oneri derivanti dall’applicazione dei commi precedenti. I costi in questione sono da dettagliarsi come segue.</w:t>
      </w:r>
    </w:p>
    <w:p w:rsidR="001F5266" w:rsidRPr="001F5266" w:rsidP="001F5266" w14:paraId="67A31700" w14:textId="77777777">
      <w:pPr>
        <w:spacing w:after="120"/>
        <w:jc w:val="both"/>
        <w:rPr>
          <w:rFonts w:eastAsiaTheme="minorHAnsi"/>
          <w:color w:val="FF0000"/>
          <w:kern w:val="2"/>
          <w:lang w:eastAsia="en-US"/>
          <w14:ligatures w14:val="standardContextual"/>
        </w:rPr>
      </w:pPr>
      <w:r w:rsidRPr="001F5266">
        <w:rPr>
          <w:rFonts w:eastAsiaTheme="minorHAnsi"/>
          <w:color w:val="FF0000"/>
          <w:kern w:val="2"/>
          <w:lang w:eastAsia="en-US"/>
          <w14:ligatures w14:val="standardContextual"/>
        </w:rPr>
        <w:t xml:space="preserve">In primo luogo, relativamente all’anno 2026, sono da considerare i costi relativi all’espletamento della procedura concorsuale per l’assunzione di 24 unità di personale prevista dal comma 2 della norma in commento, tenuto conto che l’assunzione del nuovo personale – e, dunque, l’effettiva immissione in ruolo e presa di servizio – è espressamente stabilita a partire dal 1° gennaio 2027. Tale onere si ritiene quantificabile in complessivi </w:t>
      </w:r>
      <w:r w:rsidRPr="001F5266">
        <w:rPr>
          <w:rFonts w:eastAsiaTheme="minorHAnsi"/>
          <w:b/>
          <w:color w:val="FF0000"/>
          <w:kern w:val="2"/>
          <w:lang w:eastAsia="en-US"/>
          <w14:ligatures w14:val="standardContextual"/>
        </w:rPr>
        <w:t>500.000 euro</w:t>
      </w:r>
      <w:r w:rsidRPr="001F5266">
        <w:rPr>
          <w:rFonts w:eastAsiaTheme="minorHAnsi"/>
          <w:color w:val="FF0000"/>
          <w:kern w:val="2"/>
          <w:lang w:eastAsia="en-US"/>
          <w14:ligatures w14:val="standardContextual"/>
        </w:rPr>
        <w:t xml:space="preserve">, considerando, ai fini di tale stima, i costi mediamente sostenuti dall’Associazione FORMEZ per l’organizzazione e l’espletamento di un concorso pubblico per titoli ed esami per il reclutamento di numero 24 unità di personale non dirigenziali, con un’unica sede di svolgimento dello stesso (Comune di Roma) ed ipotizzando la partecipazione di 20.000 candidati. </w:t>
      </w:r>
    </w:p>
    <w:p w:rsidR="001F5266" w:rsidRPr="00111D9F" w:rsidP="001F5266" w14:paraId="76B63DFA" w14:textId="076838A7">
      <w:pPr>
        <w:spacing w:after="120"/>
        <w:jc w:val="both"/>
        <w:rPr>
          <w:rFonts w:eastAsiaTheme="minorHAnsi"/>
          <w:color w:val="FF0000"/>
          <w:kern w:val="2"/>
          <w:lang w:eastAsia="en-US"/>
          <w14:ligatures w14:val="standardContextual"/>
        </w:rPr>
      </w:pPr>
      <w:r w:rsidRPr="00111D9F">
        <w:rPr>
          <w:rFonts w:eastAsiaTheme="minorHAnsi"/>
          <w:color w:val="FF0000"/>
          <w:kern w:val="2"/>
          <w:lang w:eastAsia="en-US"/>
          <w14:ligatures w14:val="standardContextual"/>
        </w:rPr>
        <w:t>A decorrere dall’anno 2027 e sino all’anno 2029, invece, sono da prevedere i costi derivanti dalla proroga delle citate Unità di missione</w:t>
      </w:r>
      <w:r w:rsidRPr="00111D9F" w:rsidR="006764A3">
        <w:rPr>
          <w:rFonts w:eastAsiaTheme="minorHAnsi"/>
          <w:color w:val="FF0000"/>
          <w:kern w:val="2"/>
          <w:lang w:eastAsia="en-US"/>
          <w14:ligatures w14:val="standardContextual"/>
        </w:rPr>
        <w:t>,</w:t>
      </w:r>
      <w:r w:rsidRPr="00111D9F">
        <w:rPr>
          <w:rFonts w:eastAsiaTheme="minorHAnsi"/>
          <w:color w:val="FF0000"/>
          <w:kern w:val="2"/>
          <w:lang w:eastAsia="en-US"/>
          <w14:ligatures w14:val="standardContextual"/>
        </w:rPr>
        <w:t xml:space="preserve"> della Struttura di missione PNRR presso la Presidenza del Consiglio dei ministri</w:t>
      </w:r>
      <w:r w:rsidRPr="00111D9F" w:rsidR="006764A3">
        <w:rPr>
          <w:rFonts w:eastAsiaTheme="minorHAnsi"/>
          <w:color w:val="FF0000"/>
          <w:kern w:val="2"/>
          <w:lang w:eastAsia="en-US"/>
          <w14:ligatures w14:val="standardContextual"/>
        </w:rPr>
        <w:t xml:space="preserve"> </w:t>
      </w:r>
      <w:r w:rsidRPr="00111D9F" w:rsidR="006764A3">
        <w:rPr>
          <w:rFonts w:eastAsiaTheme="minorHAnsi"/>
          <w:b/>
          <w:bCs/>
          <w:color w:val="FF0000"/>
          <w:kern w:val="2"/>
          <w:lang w:eastAsia="en-US"/>
          <w14:ligatures w14:val="standardContextual"/>
        </w:rPr>
        <w:t>e del Nucleo PNRR Stato-Regioni</w:t>
      </w:r>
      <w:r w:rsidRPr="00111D9F">
        <w:rPr>
          <w:rFonts w:eastAsiaTheme="minorHAnsi"/>
          <w:color w:val="FF0000"/>
          <w:kern w:val="2"/>
          <w:lang w:eastAsia="en-US"/>
          <w14:ligatures w14:val="standardContextual"/>
        </w:rPr>
        <w:t>.</w:t>
      </w:r>
    </w:p>
    <w:p w:rsidR="001F5266" w:rsidRPr="00635B9D" w:rsidP="001F5266" w14:paraId="48749E00" w14:textId="13F43A0D">
      <w:pPr>
        <w:spacing w:after="120"/>
        <w:jc w:val="both"/>
        <w:rPr>
          <w:rFonts w:eastAsiaTheme="minorHAnsi"/>
          <w:color w:val="FF0000"/>
          <w:kern w:val="2"/>
          <w:lang w:eastAsia="en-US"/>
          <w14:ligatures w14:val="standardContextual"/>
        </w:rPr>
      </w:pPr>
      <w:r w:rsidRPr="00635B9D">
        <w:rPr>
          <w:rFonts w:eastAsiaTheme="minorHAnsi"/>
          <w:color w:val="FF0000"/>
          <w:kern w:val="2"/>
          <w:lang w:eastAsia="en-US"/>
          <w14:ligatures w14:val="standardContextual"/>
        </w:rPr>
        <w:t>Tali voci, pertanto, determinano una spesa stimabile in</w:t>
      </w:r>
      <w:r w:rsidRPr="00635B9D">
        <w:rPr>
          <w:rFonts w:eastAsiaTheme="minorHAnsi"/>
          <w:b/>
          <w:color w:val="FF0000"/>
          <w:kern w:val="2"/>
          <w:lang w:eastAsia="en-US"/>
          <w14:ligatures w14:val="standardContextual"/>
        </w:rPr>
        <w:t xml:space="preserve"> euro </w:t>
      </w:r>
      <w:r w:rsidRPr="00635B9D" w:rsidR="00CD23B1">
        <w:rPr>
          <w:rFonts w:eastAsiaTheme="minorHAnsi"/>
          <w:b/>
          <w:color w:val="FF0000"/>
          <w:kern w:val="2"/>
          <w:lang w:eastAsia="en-US"/>
          <w14:ligatures w14:val="standardContextual"/>
        </w:rPr>
        <w:t>31.</w:t>
      </w:r>
      <w:r w:rsidRPr="00635B9D" w:rsidR="00AA7F82">
        <w:rPr>
          <w:rFonts w:eastAsiaTheme="minorHAnsi"/>
          <w:b/>
          <w:color w:val="FF0000"/>
          <w:kern w:val="2"/>
          <w:lang w:eastAsia="en-US"/>
          <w14:ligatures w14:val="standardContextual"/>
        </w:rPr>
        <w:t>995.278,52</w:t>
      </w:r>
      <w:r w:rsidRPr="00635B9D" w:rsidR="00C7705F">
        <w:rPr>
          <w:rFonts w:eastAsiaTheme="minorHAnsi"/>
          <w:b/>
          <w:color w:val="FF0000"/>
          <w:kern w:val="2"/>
          <w:lang w:eastAsia="en-US"/>
          <w14:ligatures w14:val="standardContextual"/>
        </w:rPr>
        <w:t xml:space="preserve"> </w:t>
      </w:r>
      <w:r w:rsidRPr="00635B9D">
        <w:rPr>
          <w:rFonts w:eastAsiaTheme="minorHAnsi"/>
          <w:b/>
          <w:color w:val="FF0000"/>
          <w:kern w:val="2"/>
          <w:lang w:eastAsia="en-US"/>
          <w14:ligatures w14:val="standardContextual"/>
        </w:rPr>
        <w:t>complessivi</w:t>
      </w:r>
      <w:r w:rsidRPr="00635B9D">
        <w:rPr>
          <w:rFonts w:eastAsiaTheme="minorHAnsi"/>
          <w:color w:val="FF0000"/>
          <w:kern w:val="2"/>
          <w:lang w:eastAsia="en-US"/>
          <w14:ligatures w14:val="standardContextual"/>
        </w:rPr>
        <w:t xml:space="preserve"> </w:t>
      </w:r>
      <w:r w:rsidRPr="00635B9D">
        <w:rPr>
          <w:rFonts w:eastAsiaTheme="minorHAnsi"/>
          <w:b/>
          <w:color w:val="FF0000"/>
          <w:kern w:val="2"/>
          <w:lang w:eastAsia="en-US"/>
          <w14:ligatures w14:val="standardContextual"/>
        </w:rPr>
        <w:t>per ciascuno degli anni dal 2027 al 2029</w:t>
      </w:r>
      <w:r w:rsidRPr="00635B9D">
        <w:rPr>
          <w:rFonts w:eastAsiaTheme="minorHAnsi"/>
          <w:color w:val="FF0000"/>
          <w:kern w:val="2"/>
          <w:lang w:eastAsia="en-US"/>
          <w14:ligatures w14:val="standardContextual"/>
        </w:rPr>
        <w:t>, da ripartirsi nel modo seguente:</w:t>
      </w:r>
    </w:p>
    <w:p w:rsidR="00FA475A" w:rsidRPr="00635B9D" w:rsidP="00A42770" w14:paraId="16784FCA" w14:textId="6D8C001D">
      <w:pPr>
        <w:numPr>
          <w:ilvl w:val="0"/>
          <w:numId w:val="15"/>
        </w:numPr>
        <w:spacing w:after="120"/>
        <w:jc w:val="both"/>
        <w:rPr>
          <w:rFonts w:eastAsiaTheme="minorHAnsi"/>
          <w:color w:val="FF0000"/>
          <w:kern w:val="2"/>
          <w:lang w:eastAsia="en-US"/>
          <w14:ligatures w14:val="standardContextual"/>
        </w:rPr>
      </w:pPr>
      <w:r w:rsidRPr="00635B9D">
        <w:rPr>
          <w:rFonts w:eastAsiaTheme="minorHAnsi"/>
          <w:color w:val="FF0000"/>
          <w:kern w:val="2"/>
          <w:lang w:eastAsia="en-US"/>
          <w14:ligatures w14:val="standardContextual"/>
        </w:rPr>
        <w:t xml:space="preserve">euro </w:t>
      </w:r>
      <w:r w:rsidRPr="00635B9D">
        <w:rPr>
          <w:rFonts w:eastAsiaTheme="minorHAnsi"/>
          <w:b/>
          <w:color w:val="FF0000"/>
          <w:kern w:val="2"/>
          <w:lang w:eastAsia="en-US"/>
          <w14:ligatures w14:val="standardContextual"/>
        </w:rPr>
        <w:t>17.577.000 annui</w:t>
      </w:r>
      <w:r w:rsidRPr="00635B9D">
        <w:rPr>
          <w:rFonts w:eastAsiaTheme="minorHAnsi"/>
          <w:color w:val="FF0000"/>
          <w:kern w:val="2"/>
          <w:lang w:eastAsia="en-US"/>
          <w14:ligatures w14:val="standardContextual"/>
        </w:rPr>
        <w:t xml:space="preserve"> derivanti dalla proroga delle Unità di missione operanti presso le Amministrazioni centrali; tale importo tiene conto, in coerenza con quanto già previsto dall’articolo 8, comma 6, del decreto-legge n. 77 del 2021 (norma istitutiva degli Uffici in discorso), esclusivamente degli oneri relativi agli uffici dirigenziali di livello generale e non generale in cui le dette Unità di missione si articolano, e non include anche i costi legati al personale in servizio, in quanto già immesso nei ruoli delle Amministrazioni di riferimento all’esito delle procedure di stabilizzazione da queste ultime espletate successivamente all’avvio dell’operatività degli Uffici in discorso</w:t>
      </w:r>
      <w:r w:rsidRPr="00635B9D" w:rsidR="00591A99">
        <w:rPr>
          <w:rFonts w:eastAsiaTheme="minorHAnsi"/>
          <w:color w:val="FF0000"/>
          <w:kern w:val="2"/>
          <w:lang w:eastAsia="en-US"/>
          <w14:ligatures w14:val="standardContextual"/>
        </w:rPr>
        <w:t xml:space="preserve">. </w:t>
      </w:r>
      <w:r w:rsidRPr="00635B9D">
        <w:rPr>
          <w:rFonts w:eastAsiaTheme="minorHAnsi"/>
          <w:color w:val="FF0000"/>
          <w:kern w:val="2"/>
          <w:lang w:eastAsia="en-US"/>
          <w14:ligatures w14:val="standardContextual"/>
        </w:rPr>
        <w:t>All’uopo</w:t>
      </w:r>
      <w:r w:rsidRPr="00635B9D">
        <w:rPr>
          <w:rFonts w:eastAsiaTheme="minorHAnsi"/>
          <w:color w:val="FF0000"/>
          <w:kern w:val="2"/>
          <w:lang w:eastAsia="en-US"/>
          <w14:ligatures w14:val="standardContextual"/>
        </w:rPr>
        <w:t>, si rappresenta che, allo stato, risulta in servizio, presso le citate Unità di missione, un contingente complessivo di n. 7</w:t>
      </w:r>
      <w:r w:rsidRPr="00635B9D" w:rsidR="008138CB">
        <w:rPr>
          <w:rFonts w:eastAsiaTheme="minorHAnsi"/>
          <w:color w:val="FF0000"/>
          <w:kern w:val="2"/>
          <w:lang w:eastAsia="en-US"/>
          <w14:ligatures w14:val="standardContextual"/>
        </w:rPr>
        <w:t>1</w:t>
      </w:r>
      <w:r w:rsidRPr="00635B9D">
        <w:rPr>
          <w:rFonts w:eastAsiaTheme="minorHAnsi"/>
          <w:color w:val="FF0000"/>
          <w:kern w:val="2"/>
          <w:lang w:eastAsia="en-US"/>
          <w14:ligatures w14:val="standardContextual"/>
        </w:rPr>
        <w:t xml:space="preserve"> unità di personale dirigenziale, di prima e seconda fascia, così ripartito:</w:t>
      </w:r>
    </w:p>
    <w:p w:rsidR="00FA475A" w:rsidRPr="00635B9D" w:rsidP="009970F5" w14:paraId="2099AD0F" w14:textId="244D4DBA">
      <w:pPr>
        <w:pStyle w:val="ListParagraph"/>
        <w:numPr>
          <w:ilvl w:val="0"/>
          <w:numId w:val="19"/>
        </w:numPr>
        <w:spacing w:after="120"/>
        <w:ind w:left="709" w:hanging="283"/>
        <w:contextualSpacing w:val="0"/>
        <w:jc w:val="both"/>
        <w:rPr>
          <w:rFonts w:eastAsiaTheme="minorHAnsi"/>
          <w:color w:val="FF0000"/>
          <w:kern w:val="2"/>
          <w:lang w:eastAsia="en-US"/>
          <w14:ligatures w14:val="standardContextual"/>
        </w:rPr>
      </w:pPr>
      <w:r w:rsidRPr="00635B9D">
        <w:rPr>
          <w:rFonts w:eastAsiaTheme="minorHAnsi"/>
          <w:color w:val="FF0000"/>
          <w:kern w:val="2"/>
          <w:lang w:eastAsia="en-US"/>
          <w14:ligatures w14:val="standardContextual"/>
        </w:rPr>
        <w:t>n. 1</w:t>
      </w:r>
      <w:r w:rsidRPr="00635B9D" w:rsidR="008138CB">
        <w:rPr>
          <w:rFonts w:eastAsiaTheme="minorHAnsi"/>
          <w:color w:val="FF0000"/>
          <w:kern w:val="2"/>
          <w:lang w:eastAsia="en-US"/>
          <w14:ligatures w14:val="standardContextual"/>
        </w:rPr>
        <w:t>6</w:t>
      </w:r>
      <w:r w:rsidRPr="00635B9D">
        <w:rPr>
          <w:rFonts w:eastAsiaTheme="minorHAnsi"/>
          <w:color w:val="FF0000"/>
          <w:kern w:val="2"/>
          <w:lang w:eastAsia="en-US"/>
          <w14:ligatures w14:val="standardContextual"/>
        </w:rPr>
        <w:t xml:space="preserve"> unità di personale dirigenziale di prima fascia;</w:t>
      </w:r>
    </w:p>
    <w:p w:rsidR="0045420C" w:rsidRPr="00635B9D" w:rsidP="009970F5" w14:paraId="5EB2C57E" w14:textId="4CBB949A">
      <w:pPr>
        <w:pStyle w:val="ListParagraph"/>
        <w:numPr>
          <w:ilvl w:val="0"/>
          <w:numId w:val="19"/>
        </w:numPr>
        <w:spacing w:after="120"/>
        <w:ind w:left="709" w:hanging="283"/>
        <w:contextualSpacing w:val="0"/>
        <w:jc w:val="both"/>
        <w:rPr>
          <w:rFonts w:eastAsiaTheme="minorHAnsi"/>
          <w:color w:val="FF0000"/>
          <w:kern w:val="2"/>
          <w:lang w:eastAsia="en-US"/>
          <w14:ligatures w14:val="standardContextual"/>
        </w:rPr>
      </w:pPr>
      <w:r w:rsidRPr="00635B9D">
        <w:rPr>
          <w:rFonts w:eastAsiaTheme="minorHAnsi"/>
          <w:color w:val="FF0000"/>
          <w:kern w:val="2"/>
          <w:lang w:eastAsia="en-US"/>
          <w14:ligatures w14:val="standardContextual"/>
        </w:rPr>
        <w:t>n. 5</w:t>
      </w:r>
      <w:r w:rsidRPr="00635B9D" w:rsidR="008138CB">
        <w:rPr>
          <w:rFonts w:eastAsiaTheme="minorHAnsi"/>
          <w:color w:val="FF0000"/>
          <w:kern w:val="2"/>
          <w:lang w:eastAsia="en-US"/>
          <w14:ligatures w14:val="standardContextual"/>
        </w:rPr>
        <w:t>5</w:t>
      </w:r>
      <w:r w:rsidRPr="00635B9D">
        <w:rPr>
          <w:rFonts w:eastAsiaTheme="minorHAnsi"/>
          <w:color w:val="FF0000"/>
          <w:kern w:val="2"/>
          <w:lang w:eastAsia="en-US"/>
          <w14:ligatures w14:val="standardContextual"/>
        </w:rPr>
        <w:t xml:space="preserve"> unità di personale dirigenziale di seconda fascia;</w:t>
      </w:r>
    </w:p>
    <w:p w:rsidR="00016485" w:rsidRPr="00635B9D" w:rsidP="00A42770" w14:paraId="4BD6AFDE" w14:textId="444BBFB3">
      <w:pPr>
        <w:numPr>
          <w:ilvl w:val="0"/>
          <w:numId w:val="15"/>
        </w:numPr>
        <w:spacing w:after="120"/>
        <w:jc w:val="both"/>
        <w:rPr>
          <w:rFonts w:eastAsiaTheme="minorHAnsi"/>
          <w:color w:val="FF0000"/>
          <w:kern w:val="2"/>
          <w:lang w:eastAsia="en-US"/>
          <w14:ligatures w14:val="standardContextual"/>
        </w:rPr>
      </w:pPr>
      <w:r w:rsidRPr="00635B9D">
        <w:rPr>
          <w:rFonts w:eastAsiaTheme="minorHAnsi"/>
          <w:color w:val="FF0000"/>
          <w:kern w:val="2"/>
          <w:lang w:eastAsia="en-US"/>
          <w14:ligatures w14:val="standardContextual"/>
        </w:rPr>
        <w:t xml:space="preserve">euro </w:t>
      </w:r>
      <w:r w:rsidRPr="00337BEC">
        <w:rPr>
          <w:rFonts w:eastAsiaTheme="minorHAnsi"/>
          <w:b/>
          <w:color w:val="FF0000"/>
          <w:kern w:val="2"/>
          <w:lang w:eastAsia="en-US"/>
          <w14:ligatures w14:val="standardContextual"/>
        </w:rPr>
        <w:t>12.</w:t>
      </w:r>
      <w:r w:rsidRPr="00337BEC" w:rsidR="00AC08B6">
        <w:rPr>
          <w:rFonts w:eastAsiaTheme="minorHAnsi"/>
          <w:b/>
          <w:bCs/>
          <w:color w:val="FF0000"/>
          <w:kern w:val="2"/>
          <w:lang w:eastAsia="en-US"/>
          <w14:ligatures w14:val="standardContextual"/>
        </w:rPr>
        <w:t>557.654,17</w:t>
      </w:r>
      <w:r w:rsidRPr="00337BEC">
        <w:rPr>
          <w:rFonts w:eastAsiaTheme="minorHAnsi"/>
          <w:b/>
          <w:color w:val="FF0000"/>
          <w:kern w:val="2"/>
          <w:lang w:eastAsia="en-US"/>
          <w14:ligatures w14:val="standardContextual"/>
        </w:rPr>
        <w:t xml:space="preserve"> annui</w:t>
      </w:r>
      <w:r w:rsidRPr="00635B9D">
        <w:rPr>
          <w:rFonts w:eastAsiaTheme="minorHAnsi"/>
          <w:color w:val="FF0000"/>
          <w:kern w:val="2"/>
          <w:lang w:eastAsia="en-US"/>
          <w14:ligatures w14:val="standardContextual"/>
        </w:rPr>
        <w:t xml:space="preserve"> conseguenti alla proroga della Struttura di missione della Presidenza del Consiglio dei ministri, inclusivi degli oneri per il trattamento economico del relativo personale nonché quelli relativi al funzionamento della Struttura, compresi i costi di missione</w:t>
      </w:r>
      <w:r w:rsidRPr="00635B9D" w:rsidR="009C42AD">
        <w:rPr>
          <w:rFonts w:eastAsiaTheme="minorHAnsi"/>
          <w:color w:val="FF0000"/>
          <w:kern w:val="2"/>
          <w:lang w:eastAsia="en-US"/>
          <w14:ligatures w14:val="standardContextual"/>
        </w:rPr>
        <w:t>;</w:t>
      </w:r>
    </w:p>
    <w:p w:rsidR="009C42AD" w:rsidRPr="00635B9D" w:rsidP="00693CA1" w14:paraId="6A6774A0" w14:textId="647A6295">
      <w:pPr>
        <w:numPr>
          <w:ilvl w:val="0"/>
          <w:numId w:val="15"/>
        </w:numPr>
        <w:spacing w:after="120"/>
        <w:jc w:val="both"/>
        <w:rPr>
          <w:rFonts w:eastAsiaTheme="minorHAnsi"/>
          <w:bCs/>
          <w:color w:val="FF0000"/>
          <w:kern w:val="2"/>
          <w:lang w:eastAsia="en-US"/>
          <w14:ligatures w14:val="standardContextual"/>
        </w:rPr>
      </w:pPr>
      <w:r w:rsidRPr="00635B9D">
        <w:rPr>
          <w:rFonts w:eastAsiaTheme="minorHAnsi"/>
          <w:b/>
          <w:color w:val="FF0000"/>
          <w:kern w:val="2"/>
          <w:lang w:eastAsia="en-US"/>
          <w14:ligatures w14:val="standardContextual"/>
        </w:rPr>
        <w:t xml:space="preserve">euro </w:t>
      </w:r>
      <w:r w:rsidRPr="00635B9D" w:rsidR="00760589">
        <w:rPr>
          <w:rFonts w:eastAsiaTheme="minorHAnsi"/>
          <w:b/>
          <w:color w:val="FF0000"/>
          <w:kern w:val="2"/>
          <w:lang w:eastAsia="en-US"/>
          <w14:ligatures w14:val="standardContextual"/>
        </w:rPr>
        <w:t>1.</w:t>
      </w:r>
      <w:r w:rsidRPr="00635B9D" w:rsidR="00AC0D56">
        <w:rPr>
          <w:rFonts w:eastAsiaTheme="minorHAnsi"/>
          <w:b/>
          <w:bCs/>
          <w:color w:val="FF0000"/>
          <w:kern w:val="2"/>
          <w:lang w:eastAsia="en-US"/>
          <w14:ligatures w14:val="standardContextual"/>
        </w:rPr>
        <w:t>860.624,35</w:t>
      </w:r>
      <w:r w:rsidRPr="00635B9D" w:rsidR="00760589">
        <w:rPr>
          <w:rFonts w:eastAsiaTheme="minorHAnsi"/>
          <w:b/>
          <w:color w:val="FF0000"/>
          <w:kern w:val="2"/>
          <w:lang w:eastAsia="en-US"/>
          <w14:ligatures w14:val="standardContextual"/>
        </w:rPr>
        <w:t xml:space="preserve"> annui </w:t>
      </w:r>
      <w:r w:rsidRPr="00635B9D" w:rsidR="00760589">
        <w:rPr>
          <w:rFonts w:eastAsiaTheme="minorHAnsi"/>
          <w:bCs/>
          <w:color w:val="FF0000"/>
          <w:kern w:val="2"/>
          <w:lang w:eastAsia="en-US"/>
          <w14:ligatures w14:val="standardContextual"/>
        </w:rPr>
        <w:t>derivanti dalla proroga del Nucleo PNRR Stato-Regioni operante presso il Dipartimento per gli Affari regionali e le autonomie della Presidenza del Consiglio dei ministri</w:t>
      </w:r>
      <w:r w:rsidRPr="00635B9D" w:rsidR="00AB3F1D">
        <w:rPr>
          <w:rFonts w:eastAsiaTheme="minorHAnsi"/>
          <w:bCs/>
          <w:color w:val="FF0000"/>
          <w:kern w:val="2"/>
          <w:lang w:eastAsia="en-US"/>
          <w14:ligatures w14:val="standardContextual"/>
        </w:rPr>
        <w:t xml:space="preserve">. </w:t>
      </w:r>
      <w:r w:rsidRPr="00635B9D" w:rsidR="006E60D0">
        <w:rPr>
          <w:rFonts w:eastAsiaTheme="minorHAnsi"/>
          <w:bCs/>
          <w:color w:val="FF0000"/>
          <w:kern w:val="2"/>
          <w:lang w:eastAsia="en-US"/>
          <w14:ligatures w14:val="standardContextual"/>
        </w:rPr>
        <w:t xml:space="preserve">Tale </w:t>
      </w:r>
      <w:r w:rsidRPr="00635B9D" w:rsidR="00AB3F1D">
        <w:rPr>
          <w:rFonts w:eastAsiaTheme="minorHAnsi"/>
          <w:bCs/>
          <w:color w:val="FF0000"/>
          <w:kern w:val="2"/>
          <w:lang w:eastAsia="en-US"/>
          <w14:ligatures w14:val="standardContextual"/>
        </w:rPr>
        <w:t xml:space="preserve">importo </w:t>
      </w:r>
      <w:r w:rsidRPr="00635B9D" w:rsidR="006E60D0">
        <w:rPr>
          <w:rFonts w:eastAsiaTheme="minorHAnsi"/>
          <w:bCs/>
          <w:color w:val="FF0000"/>
          <w:kern w:val="2"/>
          <w:lang w:eastAsia="en-US"/>
          <w14:ligatures w14:val="standardContextual"/>
        </w:rPr>
        <w:t xml:space="preserve">è stato </w:t>
      </w:r>
      <w:r w:rsidRPr="00635B9D" w:rsidR="00AB3F1D">
        <w:rPr>
          <w:rFonts w:eastAsiaTheme="minorHAnsi"/>
          <w:bCs/>
          <w:color w:val="FF0000"/>
          <w:kern w:val="2"/>
          <w:lang w:eastAsia="en-US"/>
          <w14:ligatures w14:val="standardContextual"/>
        </w:rPr>
        <w:t>indicato</w:t>
      </w:r>
      <w:r w:rsidRPr="00635B9D" w:rsidR="00C6039A">
        <w:rPr>
          <w:rFonts w:eastAsiaTheme="minorHAnsi"/>
          <w:bCs/>
          <w:color w:val="FF0000"/>
          <w:kern w:val="2"/>
          <w:lang w:eastAsia="en-US"/>
          <w14:ligatures w14:val="standardContextual"/>
        </w:rPr>
        <w:t xml:space="preserve"> in </w:t>
      </w:r>
      <w:r w:rsidRPr="00635B9D" w:rsidR="006E60D0">
        <w:rPr>
          <w:rFonts w:eastAsiaTheme="minorHAnsi"/>
          <w:bCs/>
          <w:color w:val="FF0000"/>
          <w:kern w:val="2"/>
          <w:lang w:eastAsia="en-US"/>
          <w14:ligatures w14:val="standardContextual"/>
        </w:rPr>
        <w:t>continuità</w:t>
      </w:r>
      <w:r w:rsidRPr="00635B9D" w:rsidR="00C6039A">
        <w:rPr>
          <w:rFonts w:eastAsiaTheme="minorHAnsi"/>
          <w:bCs/>
          <w:color w:val="FF0000"/>
          <w:kern w:val="2"/>
          <w:lang w:eastAsia="en-US"/>
          <w14:ligatures w14:val="standardContextual"/>
        </w:rPr>
        <w:t xml:space="preserve"> con quanto previsto dall’articolo </w:t>
      </w:r>
      <w:r w:rsidRPr="00635B9D" w:rsidR="00482647">
        <w:rPr>
          <w:rFonts w:eastAsiaTheme="minorHAnsi"/>
          <w:bCs/>
          <w:color w:val="FF0000"/>
          <w:kern w:val="2"/>
          <w:lang w:eastAsia="en-US"/>
          <w14:ligatures w14:val="standardContextual"/>
        </w:rPr>
        <w:t>33</w:t>
      </w:r>
      <w:r w:rsidRPr="00635B9D" w:rsidR="00C6039A">
        <w:rPr>
          <w:rFonts w:eastAsiaTheme="minorHAnsi"/>
          <w:bCs/>
          <w:color w:val="FF0000"/>
          <w:kern w:val="2"/>
          <w:lang w:eastAsia="en-US"/>
          <w14:ligatures w14:val="standardContextual"/>
        </w:rPr>
        <w:t xml:space="preserve"> del decreto-legge n. </w:t>
      </w:r>
      <w:r w:rsidRPr="00635B9D" w:rsidR="00482647">
        <w:rPr>
          <w:rFonts w:eastAsiaTheme="minorHAnsi"/>
          <w:bCs/>
          <w:color w:val="FF0000"/>
          <w:kern w:val="2"/>
          <w:lang w:eastAsia="en-US"/>
          <w14:ligatures w14:val="standardContextual"/>
        </w:rPr>
        <w:t>152</w:t>
      </w:r>
      <w:r w:rsidRPr="00635B9D" w:rsidR="00C6039A">
        <w:rPr>
          <w:rFonts w:eastAsiaTheme="minorHAnsi"/>
          <w:bCs/>
          <w:color w:val="FF0000"/>
          <w:kern w:val="2"/>
          <w:lang w:eastAsia="en-US"/>
          <w14:ligatures w14:val="standardContextual"/>
        </w:rPr>
        <w:t xml:space="preserve"> del 2021 (norma istitutiva </w:t>
      </w:r>
      <w:r w:rsidRPr="00635B9D" w:rsidR="00482647">
        <w:rPr>
          <w:rFonts w:eastAsiaTheme="minorHAnsi"/>
          <w:bCs/>
          <w:color w:val="FF0000"/>
          <w:kern w:val="2"/>
          <w:lang w:eastAsia="en-US"/>
          <w14:ligatures w14:val="standardContextual"/>
        </w:rPr>
        <w:t>del Nucleo</w:t>
      </w:r>
      <w:r w:rsidRPr="00635B9D" w:rsidR="00C6039A">
        <w:rPr>
          <w:rFonts w:eastAsiaTheme="minorHAnsi"/>
          <w:bCs/>
          <w:color w:val="FF0000"/>
          <w:kern w:val="2"/>
          <w:lang w:eastAsia="en-US"/>
          <w14:ligatures w14:val="standardContextual"/>
        </w:rPr>
        <w:t>)</w:t>
      </w:r>
      <w:r w:rsidRPr="00635B9D" w:rsidR="006E3319">
        <w:rPr>
          <w:rFonts w:eastAsiaTheme="minorHAnsi"/>
          <w:bCs/>
          <w:color w:val="FF0000"/>
          <w:kern w:val="2"/>
          <w:lang w:eastAsia="en-US"/>
          <w14:ligatures w14:val="standardContextual"/>
        </w:rPr>
        <w:t xml:space="preserve"> e</w:t>
      </w:r>
      <w:r w:rsidRPr="00635B9D" w:rsidR="006E60D0">
        <w:rPr>
          <w:rFonts w:eastAsiaTheme="minorHAnsi"/>
          <w:bCs/>
          <w:color w:val="FF0000"/>
          <w:kern w:val="2"/>
          <w:lang w:eastAsia="en-US"/>
          <w14:ligatures w14:val="standardContextual"/>
        </w:rPr>
        <w:t>d aggiornato</w:t>
      </w:r>
      <w:r w:rsidRPr="00635B9D" w:rsidR="006E3319">
        <w:rPr>
          <w:rFonts w:eastAsiaTheme="minorHAnsi"/>
          <w:bCs/>
          <w:color w:val="FF0000"/>
          <w:kern w:val="2"/>
          <w:lang w:eastAsia="en-US"/>
          <w14:ligatures w14:val="standardContextual"/>
        </w:rPr>
        <w:t xml:space="preserve"> alla luce </w:t>
      </w:r>
      <w:r w:rsidRPr="00635B9D" w:rsidR="00E74A9A">
        <w:rPr>
          <w:rFonts w:eastAsiaTheme="minorHAnsi"/>
          <w:bCs/>
          <w:color w:val="FF0000"/>
          <w:kern w:val="2"/>
          <w:lang w:eastAsia="en-US"/>
          <w14:ligatures w14:val="standardContextual"/>
        </w:rPr>
        <w:t>del vigente contratto nazionale di settore</w:t>
      </w:r>
      <w:r w:rsidRPr="00635B9D" w:rsidR="00DB1E6B">
        <w:rPr>
          <w:rFonts w:eastAsiaTheme="minorHAnsi"/>
          <w:bCs/>
          <w:color w:val="FF0000"/>
          <w:kern w:val="2"/>
          <w:lang w:eastAsia="en-US"/>
          <w14:ligatures w14:val="standardContextual"/>
        </w:rPr>
        <w:t xml:space="preserve"> (CCNL</w:t>
      </w:r>
      <w:r w:rsidRPr="00635B9D" w:rsidR="00CC690A">
        <w:rPr>
          <w:rFonts w:eastAsiaTheme="minorHAnsi"/>
          <w:bCs/>
          <w:color w:val="FF0000"/>
          <w:kern w:val="2"/>
          <w:lang w:eastAsia="en-US"/>
          <w14:ligatures w14:val="standardContextual"/>
        </w:rPr>
        <w:t xml:space="preserve"> Funzioni centrali 20</w:t>
      </w:r>
      <w:r w:rsidRPr="00635B9D" w:rsidR="00956245">
        <w:rPr>
          <w:rFonts w:eastAsiaTheme="minorHAnsi"/>
          <w:bCs/>
          <w:color w:val="FF0000"/>
          <w:kern w:val="2"/>
          <w:lang w:eastAsia="en-US"/>
          <w14:ligatures w14:val="standardContextual"/>
        </w:rPr>
        <w:t>2</w:t>
      </w:r>
      <w:r w:rsidRPr="00635B9D" w:rsidR="00CC690A">
        <w:rPr>
          <w:rFonts w:eastAsiaTheme="minorHAnsi"/>
          <w:bCs/>
          <w:color w:val="FF0000"/>
          <w:kern w:val="2"/>
          <w:lang w:eastAsia="en-US"/>
          <w14:ligatures w14:val="standardContextual"/>
        </w:rPr>
        <w:t>2-2024)</w:t>
      </w:r>
      <w:r w:rsidRPr="00635B9D" w:rsidR="00867EAF">
        <w:rPr>
          <w:rFonts w:eastAsiaTheme="minorHAnsi"/>
          <w:bCs/>
          <w:color w:val="FF0000"/>
          <w:kern w:val="2"/>
          <w:lang w:eastAsia="en-US"/>
          <w14:ligatures w14:val="standardContextual"/>
        </w:rPr>
        <w:t xml:space="preserve">. </w:t>
      </w:r>
    </w:p>
    <w:p w:rsidR="001F5266" w:rsidRPr="001F5266" w:rsidP="009237EA" w14:paraId="315E963E" w14:textId="7036DDAD">
      <w:pPr>
        <w:spacing w:after="120"/>
        <w:jc w:val="both"/>
        <w:rPr>
          <w:rFonts w:eastAsiaTheme="minorHAnsi"/>
          <w:color w:val="FF0000"/>
          <w:kern w:val="2"/>
          <w:lang w:eastAsia="en-US"/>
          <w14:ligatures w14:val="standardContextual"/>
        </w:rPr>
      </w:pPr>
      <w:r w:rsidRPr="00635B9D">
        <w:rPr>
          <w:rFonts w:eastAsiaTheme="minorHAnsi"/>
          <w:color w:val="FF0000"/>
          <w:kern w:val="2"/>
          <w:lang w:eastAsia="en-US"/>
          <w14:ligatures w14:val="standardContextual"/>
        </w:rPr>
        <w:t xml:space="preserve">Infine, </w:t>
      </w:r>
      <w:r w:rsidRPr="00635B9D">
        <w:rPr>
          <w:rFonts w:eastAsiaTheme="minorHAnsi"/>
          <w:b/>
          <w:bCs/>
          <w:color w:val="FF0000"/>
          <w:kern w:val="2"/>
          <w:lang w:eastAsia="en-US"/>
          <w14:ligatures w14:val="standardContextual"/>
        </w:rPr>
        <w:t>a decorrere dall’anno 2030</w:t>
      </w:r>
      <w:r w:rsidRPr="00635B9D">
        <w:rPr>
          <w:rFonts w:eastAsiaTheme="minorHAnsi"/>
          <w:color w:val="FF0000"/>
          <w:kern w:val="2"/>
          <w:lang w:eastAsia="en-US"/>
          <w14:ligatures w14:val="standardContextual"/>
        </w:rPr>
        <w:t xml:space="preserve">, saranno da considerare esclusivamente gli oneri conseguenti all’erogazione del trattamento economico al personale assunto a seguito della procedura concorsuale di cui al comma 2, che permarrà nei ruoli della Presidenza del Consiglio </w:t>
      </w:r>
      <w:r w:rsidRPr="001F5266">
        <w:rPr>
          <w:rFonts w:eastAsiaTheme="minorHAnsi"/>
          <w:color w:val="FF0000"/>
          <w:kern w:val="2"/>
          <w:lang w:eastAsia="en-US"/>
          <w14:ligatures w14:val="standardContextual"/>
        </w:rPr>
        <w:t xml:space="preserve">dei ministri anche successivamente al 2029 e alla cessazione dell’operatività </w:t>
      </w:r>
      <w:r w:rsidRPr="00635B9D">
        <w:rPr>
          <w:rFonts w:eastAsiaTheme="minorHAnsi"/>
          <w:color w:val="FF0000"/>
          <w:kern w:val="2"/>
          <w:lang w:eastAsia="en-US"/>
          <w14:ligatures w14:val="standardContextual"/>
        </w:rPr>
        <w:t xml:space="preserve">della Struttura di missione nella quale verranno dapprima destinati. Detti oneri sono quantificati in </w:t>
      </w:r>
      <w:r w:rsidRPr="00635B9D">
        <w:rPr>
          <w:rFonts w:eastAsiaTheme="minorHAnsi"/>
          <w:b/>
          <w:color w:val="FF0000"/>
          <w:kern w:val="2"/>
          <w:lang w:eastAsia="en-US"/>
          <w14:ligatures w14:val="standardContextual"/>
        </w:rPr>
        <w:t>euro 2.</w:t>
      </w:r>
      <w:r w:rsidRPr="00635B9D" w:rsidR="005140A7">
        <w:rPr>
          <w:rFonts w:eastAsiaTheme="minorHAnsi"/>
          <w:b/>
          <w:bCs/>
          <w:color w:val="FF0000"/>
          <w:kern w:val="2"/>
          <w:lang w:eastAsia="en-US"/>
          <w14:ligatures w14:val="standardContextual"/>
        </w:rPr>
        <w:t>260.609,52</w:t>
      </w:r>
      <w:r w:rsidRPr="00635B9D">
        <w:rPr>
          <w:rFonts w:eastAsiaTheme="minorHAnsi"/>
          <w:b/>
          <w:color w:val="FF0000"/>
          <w:kern w:val="2"/>
          <w:lang w:eastAsia="en-US"/>
          <w14:ligatures w14:val="standardContextual"/>
        </w:rPr>
        <w:t xml:space="preserve"> annui</w:t>
      </w:r>
      <w:r w:rsidRPr="00635B9D">
        <w:rPr>
          <w:rFonts w:eastAsiaTheme="minorHAnsi"/>
          <w:color w:val="FF0000"/>
          <w:kern w:val="2"/>
          <w:lang w:eastAsia="en-US"/>
          <w14:ligatures w14:val="standardContextual"/>
        </w:rPr>
        <w:t>.</w:t>
      </w:r>
      <w:r w:rsidRPr="001F5266">
        <w:rPr>
          <w:rFonts w:eastAsiaTheme="minorHAnsi"/>
          <w:color w:val="FF0000"/>
          <w:kern w:val="2"/>
          <w:lang w:eastAsia="en-US"/>
          <w14:ligatures w14:val="standardContextual"/>
        </w:rPr>
        <w:t xml:space="preserve"> </w:t>
      </w:r>
    </w:p>
    <w:p w:rsidR="001F5266" w:rsidRPr="001F5266" w:rsidP="001F5266" w14:paraId="14B6A6A3" w14:textId="77777777">
      <w:pPr>
        <w:spacing w:after="120"/>
        <w:jc w:val="both"/>
        <w:rPr>
          <w:rFonts w:eastAsiaTheme="minorHAnsi"/>
          <w:color w:val="FF0000"/>
          <w:kern w:val="2"/>
          <w:lang w:eastAsia="en-US"/>
          <w14:ligatures w14:val="standardContextual"/>
        </w:rPr>
      </w:pPr>
      <w:r w:rsidRPr="001F5266">
        <w:rPr>
          <w:rFonts w:eastAsiaTheme="minorHAnsi"/>
          <w:color w:val="FF0000"/>
          <w:kern w:val="2"/>
          <w:lang w:eastAsia="en-US"/>
          <w14:ligatures w14:val="standardContextual"/>
        </w:rPr>
        <w:t xml:space="preserve">Di seguito, le tabelle di dettaglio relative agli oneri riferibili alla Struttura di missione PNRR per gli anni 2027-2029 e agli oneri derivanti dall’assunzione del nuovo personale. </w:t>
      </w:r>
    </w:p>
    <w:p w:rsidR="005140A7" w:rsidRPr="00635B9D" w:rsidP="001F5266" w14:paraId="1B03F417" w14:textId="77777777">
      <w:pPr>
        <w:spacing w:after="120"/>
        <w:jc w:val="both"/>
        <w:rPr>
          <w:rFonts w:eastAsiaTheme="minorHAnsi"/>
          <w:b/>
          <w:i/>
          <w:kern w:val="2"/>
          <w:u w:val="single"/>
          <w:lang w:eastAsia="en-US"/>
          <w14:ligatures w14:val="standardContextual"/>
        </w:rPr>
      </w:pPr>
      <w:r w:rsidRPr="00635B9D">
        <w:rPr>
          <w:rFonts w:eastAsiaTheme="minorHAnsi"/>
          <w:b/>
          <w:i/>
          <w:kern w:val="2"/>
          <w:u w:val="single"/>
          <w:lang w:eastAsia="en-US"/>
          <w14:ligatures w14:val="standardContextual"/>
        </w:rPr>
        <w:t>Tabella riepilogativa oneri complessivi riferibili alla Struttura di missione PNRR per gli anni 2027-2029</w:t>
      </w:r>
    </w:p>
    <w:p w:rsidR="005140A7" w:rsidP="001F5266" w14:paraId="063EFA18" w14:textId="6FE2B9B6">
      <w:pPr>
        <w:spacing w:after="120"/>
        <w:jc w:val="both"/>
        <w:rPr>
          <w:rFonts w:eastAsiaTheme="minorHAnsi"/>
          <w:b/>
          <w:i/>
          <w:color w:val="FF0000"/>
          <w:kern w:val="2"/>
          <w:u w:val="single"/>
          <w:lang w:eastAsia="en-US"/>
          <w14:ligatures w14:val="standardContextual"/>
        </w:rPr>
      </w:pPr>
      <w:r w:rsidRPr="00DF56FF">
        <w:rPr>
          <w:rFonts w:eastAsiaTheme="minorHAnsi"/>
          <w:noProof/>
        </w:rPr>
        <w:drawing>
          <wp:inline distT="0" distB="0" distL="0" distR="0">
            <wp:extent cx="6120130" cy="2595245"/>
            <wp:effectExtent l="0" t="0" r="0" b="0"/>
            <wp:docPr id="194766017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60173" name="Picture 2"/>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130" cy="2595245"/>
                    </a:xfrm>
                    <a:prstGeom prst="rect">
                      <a:avLst/>
                    </a:prstGeom>
                    <a:noFill/>
                    <a:ln>
                      <a:noFill/>
                    </a:ln>
                  </pic:spPr>
                </pic:pic>
              </a:graphicData>
            </a:graphic>
          </wp:inline>
        </w:drawing>
      </w:r>
    </w:p>
    <w:p w:rsidR="001F5266" w:rsidRPr="00635B9D" w:rsidP="001F5266" w14:paraId="3E237416" w14:textId="01B7E0FD">
      <w:pPr>
        <w:spacing w:after="120"/>
        <w:jc w:val="both"/>
        <w:rPr>
          <w:rFonts w:eastAsiaTheme="minorHAnsi"/>
          <w:b/>
          <w:i/>
          <w:kern w:val="2"/>
          <w:u w:val="single"/>
          <w:lang w:eastAsia="en-US"/>
          <w14:ligatures w14:val="standardContextual"/>
        </w:rPr>
      </w:pPr>
      <w:r w:rsidRPr="00635B9D">
        <w:rPr>
          <w:rFonts w:eastAsiaTheme="minorHAnsi"/>
          <w:b/>
          <w:i/>
          <w:kern w:val="2"/>
          <w:u w:val="single"/>
          <w:lang w:eastAsia="en-US"/>
          <w14:ligatures w14:val="standardContextual"/>
        </w:rPr>
        <w:t xml:space="preserve">  </w:t>
      </w:r>
    </w:p>
    <w:p w:rsidR="001F5266" w:rsidRPr="00635B9D" w:rsidP="001F5266" w14:paraId="59885F8A" w14:textId="77777777">
      <w:pPr>
        <w:spacing w:after="120"/>
        <w:jc w:val="both"/>
        <w:rPr>
          <w:rFonts w:eastAsiaTheme="minorHAnsi"/>
          <w:b/>
          <w:i/>
          <w:kern w:val="2"/>
          <w:u w:val="single"/>
          <w:lang w:eastAsia="en-US"/>
          <w14:ligatures w14:val="standardContextual"/>
        </w:rPr>
      </w:pPr>
      <w:r w:rsidRPr="00635B9D">
        <w:rPr>
          <w:rFonts w:eastAsiaTheme="minorHAnsi"/>
          <w:b/>
          <w:i/>
          <w:kern w:val="2"/>
          <w:u w:val="single"/>
          <w:lang w:eastAsia="en-US"/>
          <w14:ligatures w14:val="standardContextual"/>
        </w:rPr>
        <w:t xml:space="preserve">Tabella riepilogativa oneri personale decorrenti dal 2030 </w:t>
      </w:r>
    </w:p>
    <w:p w:rsidR="00BD2016" w:rsidP="001F5266" w14:paraId="79138932" w14:textId="71B7917C">
      <w:pPr>
        <w:spacing w:after="120"/>
        <w:jc w:val="both"/>
        <w:rPr>
          <w:rFonts w:eastAsiaTheme="minorHAnsi"/>
          <w:b/>
          <w:i/>
          <w:color w:val="FF0000"/>
          <w:kern w:val="2"/>
          <w:u w:val="single"/>
          <w:lang w:eastAsia="en-US"/>
          <w14:ligatures w14:val="standardContextual"/>
        </w:rPr>
      </w:pPr>
      <w:r w:rsidRPr="003F62FD">
        <w:rPr>
          <w:rFonts w:eastAsiaTheme="minorHAnsi"/>
          <w:noProof/>
        </w:rPr>
        <w:drawing>
          <wp:inline distT="0" distB="0" distL="0" distR="0">
            <wp:extent cx="6120130" cy="1600835"/>
            <wp:effectExtent l="0" t="0" r="0" b="0"/>
            <wp:docPr id="14549546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95462" name="Picture 3"/>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130" cy="1600835"/>
                    </a:xfrm>
                    <a:prstGeom prst="rect">
                      <a:avLst/>
                    </a:prstGeom>
                    <a:noFill/>
                    <a:ln>
                      <a:noFill/>
                    </a:ln>
                  </pic:spPr>
                </pic:pic>
              </a:graphicData>
            </a:graphic>
          </wp:inline>
        </w:drawing>
      </w:r>
    </w:p>
    <w:p w:rsidR="00833E0B" w:rsidRPr="00833E0B" w:rsidP="00833E0B" w14:paraId="42DD10A4" w14:textId="40DE7F64">
      <w:pPr>
        <w:spacing w:before="200" w:after="120"/>
        <w:jc w:val="both"/>
        <w:rPr>
          <w:rFonts w:eastAsiaTheme="minorEastAsia"/>
          <w:color w:val="FF0000"/>
          <w:kern w:val="2"/>
          <w:lang w:eastAsia="en-US"/>
          <w14:ligatures w14:val="standardContextual"/>
        </w:rPr>
      </w:pPr>
      <w:r w:rsidRPr="00833E0B">
        <w:rPr>
          <w:rFonts w:eastAsiaTheme="minorEastAsia"/>
          <w:color w:val="FF0000"/>
          <w:kern w:val="2"/>
          <w:lang w:eastAsia="en-US"/>
          <w14:ligatures w14:val="standardContextual"/>
        </w:rPr>
        <w:t xml:space="preserve">Quanto alle fonti di finanziamento, il comma 4 in esame chiarisce che per i costi relativi alle strutture operanti presso la Presidenza del Consiglio dei ministri, pari a euro 500.000 per l'anno 2026 per lo svolgimento della procedura concorsuale di cui al comma 2, ad euro </w:t>
      </w:r>
      <w:r w:rsidRPr="4492A67E" w:rsidR="00A67CD3">
        <w:rPr>
          <w:rFonts w:eastAsiaTheme="minorEastAsia"/>
          <w:color w:val="FF0000"/>
          <w:kern w:val="2"/>
          <w:lang w:eastAsia="en-US"/>
          <w14:ligatures w14:val="standardContextual"/>
        </w:rPr>
        <w:t xml:space="preserve">14.418.278,52 </w:t>
      </w:r>
      <w:r w:rsidRPr="00833E0B">
        <w:rPr>
          <w:rFonts w:eastAsiaTheme="minorEastAsia"/>
          <w:color w:val="FF0000"/>
          <w:kern w:val="2"/>
          <w:lang w:eastAsia="en-US"/>
          <w14:ligatures w14:val="standardContextual"/>
        </w:rPr>
        <w:t>per ciascuno degli anni dal 2027 al 2029 per la proroga della struttura di missione PNRR e del Nucleo PNRR Stato-Regioni e ad euro 2.260.610 a decorrere dall’anno 2030 per i costi relativi all’</w:t>
      </w:r>
      <w:r w:rsidRPr="4492A67E" w:rsidR="00A67CD3">
        <w:rPr>
          <w:rFonts w:eastAsiaTheme="minorEastAsia"/>
          <w:color w:val="FF0000"/>
          <w:kern w:val="2"/>
          <w:lang w:eastAsia="en-US"/>
          <w14:ligatures w14:val="standardContextual"/>
        </w:rPr>
        <w:t>immissione</w:t>
      </w:r>
      <w:r w:rsidRPr="00833E0B">
        <w:rPr>
          <w:rFonts w:eastAsiaTheme="minorEastAsia"/>
          <w:color w:val="FF0000"/>
          <w:kern w:val="2"/>
          <w:lang w:eastAsia="en-US"/>
          <w14:ligatures w14:val="standardContextual"/>
        </w:rPr>
        <w:t xml:space="preserve"> nei ruoli della Presidenza del Consiglio dei ministri di un contingente di n. 26 funzionari a seguito della procedura concorsuale di cui al comma 2, si provvede a valere sulle risorse del Fondo per le esigenze indifferibili, di cui all’articolo 1, comma 200, della legge </w:t>
      </w:r>
      <w:r w:rsidRPr="4492A67E">
        <w:rPr>
          <w:rFonts w:eastAsiaTheme="minorEastAsia"/>
          <w:color w:val="FF0000"/>
          <w:kern w:val="2"/>
          <w:lang w:eastAsia="en-US"/>
          <w14:ligatures w14:val="standardContextual"/>
        </w:rPr>
        <w:t>n.</w:t>
      </w:r>
      <w:r w:rsidRPr="00833E0B">
        <w:rPr>
          <w:rFonts w:eastAsiaTheme="minorEastAsia"/>
          <w:color w:val="FF0000"/>
          <w:kern w:val="2"/>
          <w:lang w:eastAsia="en-US"/>
          <w14:ligatures w14:val="standardContextual"/>
        </w:rPr>
        <w:t xml:space="preserve"> 190</w:t>
      </w:r>
      <w:r w:rsidR="00A41792">
        <w:rPr>
          <w:rFonts w:eastAsiaTheme="minorEastAsia"/>
          <w:color w:val="FF0000"/>
          <w:kern w:val="2"/>
          <w:lang w:eastAsia="en-US"/>
          <w14:ligatures w14:val="standardContextual"/>
        </w:rPr>
        <w:t xml:space="preserve"> del 2014</w:t>
      </w:r>
      <w:r w:rsidRPr="00833E0B">
        <w:rPr>
          <w:rFonts w:eastAsiaTheme="minorEastAsia"/>
          <w:color w:val="FF0000"/>
          <w:kern w:val="2"/>
          <w:lang w:eastAsia="en-US"/>
          <w14:ligatures w14:val="standardContextual"/>
        </w:rPr>
        <w:t>, mentre per  i costi relativi alla proroga delle Unità di missione operanti presso le restanti amministrazioni centrali, pari a  17.577.000 per ciascuno degli anni dal 2027 al 2029 si provvede   mediante…</w:t>
      </w:r>
    </w:p>
    <w:p w:rsidR="004637D0" w:rsidRPr="00607618" w:rsidP="209E2A2E" w14:paraId="5ED0BEE9" w14:textId="5CBF904F">
      <w:pPr>
        <w:spacing w:after="120"/>
        <w:jc w:val="both"/>
      </w:pPr>
      <w:r w:rsidRPr="00CA3C92">
        <w:t xml:space="preserve">Il </w:t>
      </w:r>
      <w:r w:rsidRPr="00CA3C92">
        <w:rPr>
          <w:b/>
          <w:bCs/>
          <w:u w:val="single"/>
        </w:rPr>
        <w:t xml:space="preserve">comma </w:t>
      </w:r>
      <w:r w:rsidRPr="00F10258" w:rsidR="001F5266">
        <w:rPr>
          <w:b/>
          <w:u w:val="single"/>
        </w:rPr>
        <w:t>5</w:t>
      </w:r>
      <w:r w:rsidRPr="00CA3C92">
        <w:t xml:space="preserve">, </w:t>
      </w:r>
      <w:r w:rsidRPr="00607618">
        <w:t xml:space="preserve">modificando l’articolo 34 del decreto-legge n. 152 del 2021, </w:t>
      </w:r>
      <w:r w:rsidRPr="00607618">
        <w:t>estende</w:t>
      </w:r>
      <w:r w:rsidRPr="00607618">
        <w:t xml:space="preserve"> fino al 31 dicembre 2026 </w:t>
      </w:r>
      <w:r w:rsidRPr="00607618" w:rsidR="00685DD8">
        <w:t>la possibilità di</w:t>
      </w:r>
      <w:r w:rsidRPr="00607618">
        <w:t xml:space="preserve"> conferimento </w:t>
      </w:r>
      <w:r w:rsidRPr="00607618">
        <w:t>degli incarichi conferiti agli esperti selezionati dal Ministero dell’ambiente e della sicurezza energetica, ai sensi delle disposizioni in materia di attuazione del Piano nazionale di ripresa e resilienza</w:t>
      </w:r>
      <w:r w:rsidRPr="00607618" w:rsidR="00380F14">
        <w:t>, prevedendo altresì adeguate risorse finanziarie.</w:t>
      </w:r>
    </w:p>
    <w:p w:rsidR="00FE6B9B" w:rsidRPr="002A24D3" w:rsidP="00FE6B9B" w14:paraId="6BA77F21" w14:textId="0EC0DE72">
      <w:pPr>
        <w:spacing w:after="120"/>
        <w:jc w:val="both"/>
        <w:rPr>
          <w:b/>
          <w:bCs/>
          <w:strike/>
        </w:rPr>
      </w:pPr>
      <w:r w:rsidRPr="5989B72C">
        <w:rPr>
          <w:b/>
          <w:bCs/>
        </w:rPr>
        <w:t xml:space="preserve">Il </w:t>
      </w:r>
      <w:r w:rsidRPr="5989B72C">
        <w:rPr>
          <w:b/>
          <w:bCs/>
          <w:u w:val="single"/>
        </w:rPr>
        <w:t>comma 6</w:t>
      </w:r>
      <w:r w:rsidRPr="5989B72C">
        <w:rPr>
          <w:b/>
          <w:bCs/>
        </w:rPr>
        <w:t xml:space="preserve"> </w:t>
      </w:r>
      <w:r w:rsidRPr="002A24D3">
        <w:t xml:space="preserve">assicura la copertura finanziaria degli oneri recati dal comma </w:t>
      </w:r>
      <w:r w:rsidRPr="002A24D3" w:rsidR="00DC765F">
        <w:t>5</w:t>
      </w:r>
      <w:r w:rsidRPr="002A24D3">
        <w:t>, pari a 3,65 milioni di euro per l’anno 2026, prevedendo che agli stessi si provvede mediante corrispondente riduzione dello stanziamento del fondo speciale di parte corrente iscritto, ai fini del bilancio triennale 2026-2028, nell’ambito del programma «Fondi di riserva e speciali» della missione «Fondi da ripartire» dello stato di previsione del Ministero dell’economia e delle finanze per l’anno 2026, allo scopo parzialmente utilizzando l’accantonamento relativo al Ministero dell’ambiente e della sicurezza energetica.</w:t>
      </w:r>
    </w:p>
    <w:p w:rsidR="00FE6B9B" w:rsidRPr="002A24D3" w:rsidP="00FE6B9B" w14:paraId="13C51199" w14:textId="64AB84E1">
      <w:pPr>
        <w:spacing w:after="120"/>
        <w:jc w:val="both"/>
        <w:rPr>
          <w:color w:val="215E99" w:themeColor="text2" w:themeTint="BF"/>
        </w:rPr>
      </w:pPr>
      <w:r w:rsidRPr="002A24D3">
        <w:rPr>
          <w:color w:val="215E99" w:themeColor="text2" w:themeTint="BF"/>
        </w:rPr>
        <w:t xml:space="preserve">La quantificazione dei costi tiene conto del fatto che alla data del 31 dicembre 2025 risultavano sottoscritti 39 contratti da esperti, di cui 16 aventi profilo </w:t>
      </w:r>
      <w:r w:rsidRPr="002A24D3">
        <w:rPr>
          <w:i/>
          <w:color w:val="215E99" w:themeColor="text2" w:themeTint="BF"/>
        </w:rPr>
        <w:t>senior</w:t>
      </w:r>
      <w:r w:rsidRPr="002A24D3">
        <w:rPr>
          <w:color w:val="215E99" w:themeColor="text2" w:themeTint="BF"/>
        </w:rPr>
        <w:t xml:space="preserve">, 14 aventi profilo </w:t>
      </w:r>
      <w:r w:rsidRPr="002A24D3">
        <w:rPr>
          <w:i/>
          <w:color w:val="215E99" w:themeColor="text2" w:themeTint="BF"/>
        </w:rPr>
        <w:t>middle</w:t>
      </w:r>
      <w:r w:rsidRPr="002A24D3">
        <w:rPr>
          <w:color w:val="215E99" w:themeColor="text2" w:themeTint="BF"/>
        </w:rPr>
        <w:t xml:space="preserve"> e 9 aventi profilo </w:t>
      </w:r>
      <w:r w:rsidRPr="002A24D3">
        <w:rPr>
          <w:i/>
          <w:color w:val="215E99" w:themeColor="text2" w:themeTint="BF"/>
        </w:rPr>
        <w:t>junior</w:t>
      </w:r>
      <w:r w:rsidRPr="002A24D3">
        <w:rPr>
          <w:color w:val="215E99" w:themeColor="text2" w:themeTint="BF"/>
        </w:rPr>
        <w:t>.</w:t>
      </w:r>
    </w:p>
    <w:p w:rsidR="00FE6B9B" w:rsidRPr="002A24D3" w:rsidP="00FE6B9B" w14:paraId="0A40D0C2" w14:textId="0E7C6F01">
      <w:pPr>
        <w:spacing w:after="120"/>
        <w:jc w:val="both"/>
        <w:rPr>
          <w:color w:val="215E99" w:themeColor="text2" w:themeTint="BF"/>
        </w:rPr>
      </w:pPr>
      <w:r w:rsidRPr="002A24D3">
        <w:rPr>
          <w:color w:val="215E99" w:themeColor="text2" w:themeTint="BF"/>
        </w:rPr>
        <w:t xml:space="preserve">Il decreto interministeriale del 26 giugno 2023 n. 203 e </w:t>
      </w:r>
      <w:r w:rsidRPr="002A24D3">
        <w:rPr>
          <w:i/>
          <w:color w:val="215E99" w:themeColor="text2" w:themeTint="BF"/>
        </w:rPr>
        <w:t xml:space="preserve">l’avviso permanente per l’invio di manifestazioni di interesse all’inserimento nella short list di esperti nell’ambito del contingente previsto dall’articolo 34 del decreto-legge 152 del 2021 e dal D.M, 203 del 26.06.2023 n. 128178 del 3 agosto 2023 </w:t>
      </w:r>
      <w:r w:rsidRPr="002A24D3">
        <w:rPr>
          <w:color w:val="215E99" w:themeColor="text2" w:themeTint="BF"/>
        </w:rPr>
        <w:t xml:space="preserve">hanno individuato gli importi per ciascuna delle </w:t>
      </w:r>
      <w:r w:rsidRPr="002A24D3" w:rsidR="009E584D">
        <w:rPr>
          <w:color w:val="215E99" w:themeColor="text2" w:themeTint="BF"/>
        </w:rPr>
        <w:t>tre</w:t>
      </w:r>
      <w:r w:rsidRPr="002A24D3">
        <w:rPr>
          <w:color w:val="215E99" w:themeColor="text2" w:themeTint="BF"/>
        </w:rPr>
        <w:t xml:space="preserve"> figure, stabilendo un compenso di 70.000 </w:t>
      </w:r>
      <w:r w:rsidRPr="002A24D3" w:rsidR="002A24D3">
        <w:rPr>
          <w:color w:val="215E99" w:themeColor="text2" w:themeTint="BF"/>
        </w:rPr>
        <w:t>euro</w:t>
      </w:r>
      <w:r w:rsidRPr="002A24D3">
        <w:rPr>
          <w:color w:val="215E99" w:themeColor="text2" w:themeTint="BF"/>
        </w:rPr>
        <w:t xml:space="preserve"> per le figure </w:t>
      </w:r>
      <w:r w:rsidRPr="002A24D3">
        <w:rPr>
          <w:i/>
          <w:color w:val="215E99" w:themeColor="text2" w:themeTint="BF"/>
        </w:rPr>
        <w:t>senior</w:t>
      </w:r>
      <w:r w:rsidRPr="002A24D3">
        <w:rPr>
          <w:color w:val="215E99" w:themeColor="text2" w:themeTint="BF"/>
        </w:rPr>
        <w:t xml:space="preserve">, di 55.000 </w:t>
      </w:r>
      <w:r w:rsidRPr="002A24D3" w:rsidR="002A24D3">
        <w:rPr>
          <w:color w:val="215E99" w:themeColor="text2" w:themeTint="BF"/>
        </w:rPr>
        <w:t>euro</w:t>
      </w:r>
      <w:r w:rsidRPr="002A24D3">
        <w:rPr>
          <w:color w:val="215E99" w:themeColor="text2" w:themeTint="BF"/>
        </w:rPr>
        <w:t xml:space="preserve"> per le figure </w:t>
      </w:r>
      <w:r w:rsidRPr="002A24D3">
        <w:rPr>
          <w:i/>
          <w:color w:val="215E99" w:themeColor="text2" w:themeTint="BF"/>
        </w:rPr>
        <w:t>middle</w:t>
      </w:r>
      <w:r w:rsidRPr="002A24D3">
        <w:rPr>
          <w:color w:val="215E99" w:themeColor="text2" w:themeTint="BF"/>
        </w:rPr>
        <w:t xml:space="preserve"> e di 40.000 </w:t>
      </w:r>
      <w:r w:rsidRPr="002A24D3" w:rsidR="002A24D3">
        <w:rPr>
          <w:color w:val="215E99" w:themeColor="text2" w:themeTint="BF"/>
        </w:rPr>
        <w:t>euro</w:t>
      </w:r>
      <w:r w:rsidRPr="002A24D3">
        <w:rPr>
          <w:color w:val="215E99" w:themeColor="text2" w:themeTint="BF"/>
        </w:rPr>
        <w:t xml:space="preserve"> per le figure </w:t>
      </w:r>
      <w:r w:rsidRPr="002A24D3">
        <w:rPr>
          <w:i/>
          <w:color w:val="215E99" w:themeColor="text2" w:themeTint="BF"/>
        </w:rPr>
        <w:t>junior</w:t>
      </w:r>
      <w:r w:rsidRPr="002A24D3">
        <w:rPr>
          <w:color w:val="215E99" w:themeColor="text2" w:themeTint="BF"/>
        </w:rPr>
        <w:t>.</w:t>
      </w:r>
    </w:p>
    <w:p w:rsidR="00FE6B9B" w:rsidRPr="002A24D3" w:rsidP="003C5522" w14:paraId="73956276" w14:textId="447395D8">
      <w:pPr>
        <w:spacing w:after="200"/>
        <w:jc w:val="both"/>
        <w:rPr>
          <w:color w:val="215E99" w:themeColor="text2" w:themeTint="BF"/>
        </w:rPr>
      </w:pPr>
      <w:r w:rsidRPr="002A24D3">
        <w:rPr>
          <w:color w:val="215E99" w:themeColor="text2" w:themeTint="BF"/>
        </w:rPr>
        <w:t xml:space="preserve">In relazione a quanto precede, il costo annuale per assicurare che possa operare presso il </w:t>
      </w:r>
      <w:r w:rsidRPr="002A24D3" w:rsidR="003C5522">
        <w:rPr>
          <w:color w:val="215E99" w:themeColor="text2" w:themeTint="BF"/>
        </w:rPr>
        <w:t>Ministero dell’ambiente e della sicurezza energetica</w:t>
      </w:r>
      <w:r w:rsidRPr="002A24D3">
        <w:rPr>
          <w:color w:val="215E99" w:themeColor="text2" w:themeTint="BF"/>
        </w:rPr>
        <w:t xml:space="preserve"> per l’intero anno 2026 lo stesso numero di </w:t>
      </w:r>
      <w:r w:rsidRPr="002A24D3" w:rsidR="002A24D3">
        <w:rPr>
          <w:color w:val="215E99" w:themeColor="text2" w:themeTint="BF"/>
        </w:rPr>
        <w:t>e</w:t>
      </w:r>
      <w:r w:rsidRPr="002A24D3">
        <w:rPr>
          <w:color w:val="215E99" w:themeColor="text2" w:themeTint="BF"/>
        </w:rPr>
        <w:t xml:space="preserve">sperti in essere al 2025 risulta essere pari a 2.250.000 </w:t>
      </w:r>
      <w:r w:rsidRPr="002A24D3" w:rsidR="002A24D3">
        <w:rPr>
          <w:color w:val="215E99" w:themeColor="text2" w:themeTint="BF"/>
        </w:rPr>
        <w:t>euro</w:t>
      </w:r>
      <w:r w:rsidRPr="002A24D3">
        <w:rPr>
          <w:color w:val="215E99" w:themeColor="text2" w:themeTint="BF"/>
        </w:rPr>
        <w:t>.</w:t>
      </w:r>
    </w:p>
    <w:tbl>
      <w:tblPr>
        <w:tblStyle w:val="TableGrid"/>
        <w:tblW w:w="0" w:type="auto"/>
        <w:jc w:val="center"/>
        <w:tblLook w:val="04A0"/>
      </w:tblPr>
      <w:tblGrid>
        <w:gridCol w:w="1413"/>
        <w:gridCol w:w="1701"/>
        <w:gridCol w:w="2126"/>
        <w:gridCol w:w="1418"/>
      </w:tblGrid>
      <w:tr w14:paraId="03D47085" w14:textId="77777777">
        <w:tblPrEx>
          <w:tblW w:w="0" w:type="auto"/>
          <w:tblLook w:val="04A0"/>
        </w:tblPrEx>
        <w:tc>
          <w:tcPr>
            <w:tcW w:w="1413" w:type="dxa"/>
          </w:tcPr>
          <w:p w:rsidR="00722E0D" w:rsidRPr="002A24D3" w14:paraId="28E96109" w14:textId="77777777">
            <w:pPr>
              <w:spacing w:after="120"/>
              <w:jc w:val="both"/>
              <w:rPr>
                <w:b/>
                <w:color w:val="215E99" w:themeColor="text2" w:themeTint="BF"/>
              </w:rPr>
            </w:pPr>
            <w:r w:rsidRPr="002A24D3">
              <w:rPr>
                <w:b/>
                <w:color w:val="215E99" w:themeColor="text2" w:themeTint="BF"/>
              </w:rPr>
              <w:t>PROFILO</w:t>
            </w:r>
          </w:p>
        </w:tc>
        <w:tc>
          <w:tcPr>
            <w:tcW w:w="1701" w:type="dxa"/>
          </w:tcPr>
          <w:p w:rsidR="00722E0D" w:rsidRPr="002A24D3" w14:paraId="1C3C542A" w14:textId="77777777">
            <w:pPr>
              <w:spacing w:after="120"/>
              <w:jc w:val="both"/>
              <w:rPr>
                <w:b/>
                <w:color w:val="215E99" w:themeColor="text2" w:themeTint="BF"/>
              </w:rPr>
            </w:pPr>
            <w:r w:rsidRPr="002A24D3">
              <w:rPr>
                <w:b/>
                <w:color w:val="215E99" w:themeColor="text2" w:themeTint="BF"/>
              </w:rPr>
              <w:t>N. ESPERTI</w:t>
            </w:r>
          </w:p>
        </w:tc>
        <w:tc>
          <w:tcPr>
            <w:tcW w:w="2126" w:type="dxa"/>
          </w:tcPr>
          <w:p w:rsidR="00722E0D" w:rsidRPr="002A24D3" w14:paraId="51758415" w14:textId="77777777">
            <w:pPr>
              <w:spacing w:after="120"/>
              <w:jc w:val="both"/>
              <w:rPr>
                <w:b/>
                <w:color w:val="215E99" w:themeColor="text2" w:themeTint="BF"/>
              </w:rPr>
            </w:pPr>
            <w:r w:rsidRPr="002A24D3">
              <w:rPr>
                <w:b/>
                <w:color w:val="215E99" w:themeColor="text2" w:themeTint="BF"/>
              </w:rPr>
              <w:t>IMP. UNITARIO</w:t>
            </w:r>
          </w:p>
        </w:tc>
        <w:tc>
          <w:tcPr>
            <w:tcW w:w="1418" w:type="dxa"/>
          </w:tcPr>
          <w:p w:rsidR="00722E0D" w:rsidRPr="002A24D3" w14:paraId="2458F5A5" w14:textId="77777777">
            <w:pPr>
              <w:spacing w:after="120"/>
              <w:jc w:val="both"/>
              <w:rPr>
                <w:b/>
                <w:color w:val="215E99" w:themeColor="text2" w:themeTint="BF"/>
              </w:rPr>
            </w:pPr>
            <w:r w:rsidRPr="002A24D3">
              <w:rPr>
                <w:b/>
                <w:color w:val="215E99" w:themeColor="text2" w:themeTint="BF"/>
              </w:rPr>
              <w:t>TOTALE</w:t>
            </w:r>
          </w:p>
        </w:tc>
      </w:tr>
      <w:tr w14:paraId="0D061372" w14:textId="77777777">
        <w:tblPrEx>
          <w:tblW w:w="0" w:type="auto"/>
          <w:tblLook w:val="04A0"/>
        </w:tblPrEx>
        <w:tc>
          <w:tcPr>
            <w:tcW w:w="1413" w:type="dxa"/>
            <w:tcBorders>
              <w:bottom w:val="single" w:sz="4" w:space="0" w:color="auto"/>
            </w:tcBorders>
          </w:tcPr>
          <w:p w:rsidR="00722E0D" w:rsidRPr="002A24D3" w14:paraId="07ED4CED" w14:textId="77777777">
            <w:pPr>
              <w:spacing w:after="120"/>
              <w:jc w:val="both"/>
              <w:rPr>
                <w:b/>
                <w:color w:val="215E99" w:themeColor="text2" w:themeTint="BF"/>
              </w:rPr>
            </w:pPr>
            <w:r w:rsidRPr="002A24D3">
              <w:rPr>
                <w:b/>
                <w:color w:val="215E99" w:themeColor="text2" w:themeTint="BF"/>
              </w:rPr>
              <w:t>Senior</w:t>
            </w:r>
          </w:p>
        </w:tc>
        <w:tc>
          <w:tcPr>
            <w:tcW w:w="1701" w:type="dxa"/>
            <w:tcBorders>
              <w:bottom w:val="single" w:sz="4" w:space="0" w:color="auto"/>
            </w:tcBorders>
          </w:tcPr>
          <w:p w:rsidR="00722E0D" w:rsidRPr="002A24D3" w14:paraId="35ACD2D3" w14:textId="77777777">
            <w:pPr>
              <w:spacing w:after="120"/>
              <w:jc w:val="right"/>
              <w:rPr>
                <w:b/>
                <w:color w:val="215E99" w:themeColor="text2" w:themeTint="BF"/>
              </w:rPr>
            </w:pPr>
            <w:r w:rsidRPr="002A24D3">
              <w:rPr>
                <w:b/>
                <w:color w:val="215E99" w:themeColor="text2" w:themeTint="BF"/>
              </w:rPr>
              <w:t>16</w:t>
            </w:r>
          </w:p>
        </w:tc>
        <w:tc>
          <w:tcPr>
            <w:tcW w:w="2126" w:type="dxa"/>
            <w:tcBorders>
              <w:bottom w:val="single" w:sz="4" w:space="0" w:color="auto"/>
            </w:tcBorders>
          </w:tcPr>
          <w:p w:rsidR="00722E0D" w:rsidRPr="002A24D3" w14:paraId="4220C15E" w14:textId="77777777">
            <w:pPr>
              <w:spacing w:after="120"/>
              <w:jc w:val="right"/>
              <w:rPr>
                <w:b/>
                <w:color w:val="215E99" w:themeColor="text2" w:themeTint="BF"/>
              </w:rPr>
            </w:pPr>
            <w:r w:rsidRPr="002A24D3">
              <w:rPr>
                <w:b/>
                <w:color w:val="215E99" w:themeColor="text2" w:themeTint="BF"/>
              </w:rPr>
              <w:t>70.000 €</w:t>
            </w:r>
          </w:p>
        </w:tc>
        <w:tc>
          <w:tcPr>
            <w:tcW w:w="1418" w:type="dxa"/>
            <w:tcBorders>
              <w:bottom w:val="single" w:sz="4" w:space="0" w:color="auto"/>
            </w:tcBorders>
          </w:tcPr>
          <w:p w:rsidR="00722E0D" w:rsidRPr="002A24D3" w14:paraId="7DA70F62" w14:textId="77777777">
            <w:pPr>
              <w:spacing w:after="120"/>
              <w:jc w:val="right"/>
              <w:rPr>
                <w:b/>
                <w:color w:val="215E99" w:themeColor="text2" w:themeTint="BF"/>
              </w:rPr>
            </w:pPr>
            <w:r w:rsidRPr="002A24D3">
              <w:rPr>
                <w:b/>
                <w:color w:val="215E99" w:themeColor="text2" w:themeTint="BF"/>
              </w:rPr>
              <w:t>1.120.000 €</w:t>
            </w:r>
          </w:p>
        </w:tc>
      </w:tr>
      <w:tr w14:paraId="76FB90A1" w14:textId="77777777">
        <w:tblPrEx>
          <w:tblW w:w="0" w:type="auto"/>
          <w:tblLook w:val="04A0"/>
        </w:tblPrEx>
        <w:tc>
          <w:tcPr>
            <w:tcW w:w="1413" w:type="dxa"/>
            <w:tcBorders>
              <w:bottom w:val="single" w:sz="4" w:space="0" w:color="auto"/>
            </w:tcBorders>
          </w:tcPr>
          <w:p w:rsidR="00722E0D" w:rsidRPr="002A24D3" w14:paraId="3D24C52C" w14:textId="77777777">
            <w:pPr>
              <w:spacing w:after="120"/>
              <w:jc w:val="both"/>
              <w:rPr>
                <w:b/>
                <w:color w:val="215E99" w:themeColor="text2" w:themeTint="BF"/>
              </w:rPr>
            </w:pPr>
            <w:r w:rsidRPr="002A24D3">
              <w:rPr>
                <w:b/>
                <w:color w:val="215E99" w:themeColor="text2" w:themeTint="BF"/>
              </w:rPr>
              <w:t>Middle</w:t>
            </w:r>
          </w:p>
        </w:tc>
        <w:tc>
          <w:tcPr>
            <w:tcW w:w="1701" w:type="dxa"/>
            <w:tcBorders>
              <w:bottom w:val="single" w:sz="4" w:space="0" w:color="auto"/>
            </w:tcBorders>
          </w:tcPr>
          <w:p w:rsidR="00722E0D" w:rsidRPr="002A24D3" w14:paraId="46ACEAC5" w14:textId="77777777">
            <w:pPr>
              <w:spacing w:after="120"/>
              <w:jc w:val="right"/>
              <w:rPr>
                <w:b/>
                <w:color w:val="215E99" w:themeColor="text2" w:themeTint="BF"/>
              </w:rPr>
            </w:pPr>
            <w:r w:rsidRPr="002A24D3">
              <w:rPr>
                <w:b/>
                <w:color w:val="215E99" w:themeColor="text2" w:themeTint="BF"/>
              </w:rPr>
              <w:t>14</w:t>
            </w:r>
          </w:p>
        </w:tc>
        <w:tc>
          <w:tcPr>
            <w:tcW w:w="2126" w:type="dxa"/>
            <w:tcBorders>
              <w:bottom w:val="single" w:sz="4" w:space="0" w:color="auto"/>
            </w:tcBorders>
          </w:tcPr>
          <w:p w:rsidR="00722E0D" w:rsidRPr="002A24D3" w14:paraId="72B773D6" w14:textId="77777777">
            <w:pPr>
              <w:spacing w:after="120"/>
              <w:jc w:val="right"/>
              <w:rPr>
                <w:b/>
                <w:color w:val="215E99" w:themeColor="text2" w:themeTint="BF"/>
              </w:rPr>
            </w:pPr>
            <w:r w:rsidRPr="002A24D3">
              <w:rPr>
                <w:b/>
                <w:color w:val="215E99" w:themeColor="text2" w:themeTint="BF"/>
              </w:rPr>
              <w:t>55.000 €</w:t>
            </w:r>
          </w:p>
        </w:tc>
        <w:tc>
          <w:tcPr>
            <w:tcW w:w="1418" w:type="dxa"/>
            <w:tcBorders>
              <w:bottom w:val="single" w:sz="4" w:space="0" w:color="auto"/>
            </w:tcBorders>
          </w:tcPr>
          <w:p w:rsidR="00722E0D" w:rsidRPr="002A24D3" w14:paraId="02E3C4A5" w14:textId="77777777">
            <w:pPr>
              <w:spacing w:after="120"/>
              <w:jc w:val="right"/>
              <w:rPr>
                <w:b/>
                <w:color w:val="215E99" w:themeColor="text2" w:themeTint="BF"/>
              </w:rPr>
            </w:pPr>
            <w:r w:rsidRPr="002A24D3">
              <w:rPr>
                <w:b/>
                <w:color w:val="215E99" w:themeColor="text2" w:themeTint="BF"/>
              </w:rPr>
              <w:t>770.000 €</w:t>
            </w:r>
          </w:p>
        </w:tc>
      </w:tr>
      <w:tr w14:paraId="4EEAEC8C" w14:textId="77777777">
        <w:tblPrEx>
          <w:tblW w:w="0" w:type="auto"/>
          <w:tblLook w:val="04A0"/>
        </w:tblPrEx>
        <w:tc>
          <w:tcPr>
            <w:tcW w:w="1413" w:type="dxa"/>
            <w:tcBorders>
              <w:top w:val="single" w:sz="4" w:space="0" w:color="auto"/>
              <w:left w:val="single" w:sz="4" w:space="0" w:color="auto"/>
              <w:bottom w:val="single" w:sz="36" w:space="0" w:color="auto"/>
              <w:right w:val="single" w:sz="4" w:space="0" w:color="auto"/>
            </w:tcBorders>
          </w:tcPr>
          <w:p w:rsidR="00722E0D" w:rsidRPr="002A24D3" w14:paraId="2BE87484" w14:textId="77777777">
            <w:pPr>
              <w:spacing w:after="120"/>
              <w:jc w:val="both"/>
              <w:rPr>
                <w:b/>
                <w:color w:val="215E99" w:themeColor="text2" w:themeTint="BF"/>
              </w:rPr>
            </w:pPr>
            <w:r w:rsidRPr="002A24D3">
              <w:rPr>
                <w:b/>
                <w:color w:val="215E99" w:themeColor="text2" w:themeTint="BF"/>
              </w:rPr>
              <w:t>junior</w:t>
            </w:r>
          </w:p>
        </w:tc>
        <w:tc>
          <w:tcPr>
            <w:tcW w:w="1701" w:type="dxa"/>
            <w:tcBorders>
              <w:top w:val="single" w:sz="4" w:space="0" w:color="auto"/>
              <w:left w:val="single" w:sz="4" w:space="0" w:color="auto"/>
              <w:bottom w:val="single" w:sz="36" w:space="0" w:color="auto"/>
              <w:right w:val="single" w:sz="4" w:space="0" w:color="auto"/>
            </w:tcBorders>
          </w:tcPr>
          <w:p w:rsidR="00722E0D" w:rsidRPr="002A24D3" w14:paraId="0FCAB875" w14:textId="77777777">
            <w:pPr>
              <w:spacing w:after="120"/>
              <w:jc w:val="right"/>
              <w:rPr>
                <w:b/>
                <w:color w:val="215E99" w:themeColor="text2" w:themeTint="BF"/>
              </w:rPr>
            </w:pPr>
            <w:r w:rsidRPr="002A24D3">
              <w:rPr>
                <w:b/>
                <w:color w:val="215E99" w:themeColor="text2" w:themeTint="BF"/>
              </w:rPr>
              <w:t>9</w:t>
            </w:r>
          </w:p>
        </w:tc>
        <w:tc>
          <w:tcPr>
            <w:tcW w:w="2126" w:type="dxa"/>
            <w:tcBorders>
              <w:top w:val="single" w:sz="4" w:space="0" w:color="auto"/>
              <w:left w:val="single" w:sz="4" w:space="0" w:color="auto"/>
              <w:bottom w:val="single" w:sz="36" w:space="0" w:color="auto"/>
              <w:right w:val="single" w:sz="4" w:space="0" w:color="auto"/>
            </w:tcBorders>
          </w:tcPr>
          <w:p w:rsidR="00722E0D" w:rsidRPr="002A24D3" w14:paraId="6F13256F" w14:textId="77777777">
            <w:pPr>
              <w:spacing w:after="120"/>
              <w:jc w:val="right"/>
              <w:rPr>
                <w:b/>
                <w:color w:val="215E99" w:themeColor="text2" w:themeTint="BF"/>
              </w:rPr>
            </w:pPr>
            <w:r w:rsidRPr="002A24D3">
              <w:rPr>
                <w:b/>
                <w:color w:val="215E99" w:themeColor="text2" w:themeTint="BF"/>
              </w:rPr>
              <w:t>40.000 €</w:t>
            </w:r>
          </w:p>
        </w:tc>
        <w:tc>
          <w:tcPr>
            <w:tcW w:w="1418" w:type="dxa"/>
            <w:tcBorders>
              <w:top w:val="single" w:sz="4" w:space="0" w:color="auto"/>
              <w:left w:val="single" w:sz="4" w:space="0" w:color="auto"/>
              <w:bottom w:val="single" w:sz="36" w:space="0" w:color="auto"/>
              <w:right w:val="single" w:sz="4" w:space="0" w:color="auto"/>
            </w:tcBorders>
          </w:tcPr>
          <w:p w:rsidR="00722E0D" w:rsidRPr="002A24D3" w14:paraId="4C9017B9" w14:textId="77777777">
            <w:pPr>
              <w:spacing w:after="120"/>
              <w:jc w:val="right"/>
              <w:rPr>
                <w:b/>
                <w:color w:val="215E99" w:themeColor="text2" w:themeTint="BF"/>
              </w:rPr>
            </w:pPr>
            <w:r w:rsidRPr="002A24D3">
              <w:rPr>
                <w:b/>
                <w:color w:val="215E99" w:themeColor="text2" w:themeTint="BF"/>
              </w:rPr>
              <w:t>360.000 €</w:t>
            </w:r>
          </w:p>
        </w:tc>
      </w:tr>
      <w:tr w14:paraId="23D5EC10" w14:textId="77777777">
        <w:tblPrEx>
          <w:tblW w:w="0" w:type="auto"/>
          <w:tblLook w:val="04A0"/>
        </w:tblPrEx>
        <w:tc>
          <w:tcPr>
            <w:tcW w:w="1413" w:type="dxa"/>
            <w:tcBorders>
              <w:top w:val="single" w:sz="36" w:space="0" w:color="auto"/>
              <w:left w:val="nil"/>
              <w:bottom w:val="nil"/>
              <w:right w:val="nil"/>
            </w:tcBorders>
          </w:tcPr>
          <w:p w:rsidR="00722E0D" w:rsidRPr="002A24D3" w14:paraId="2581969F" w14:textId="77777777">
            <w:pPr>
              <w:spacing w:after="120"/>
              <w:jc w:val="right"/>
              <w:rPr>
                <w:b/>
                <w:color w:val="215E99" w:themeColor="text2" w:themeTint="BF"/>
              </w:rPr>
            </w:pPr>
            <w:r w:rsidRPr="002A24D3">
              <w:rPr>
                <w:b/>
                <w:color w:val="215E99" w:themeColor="text2" w:themeTint="BF"/>
              </w:rPr>
              <w:t>TOT</w:t>
            </w:r>
          </w:p>
        </w:tc>
        <w:tc>
          <w:tcPr>
            <w:tcW w:w="1701" w:type="dxa"/>
            <w:tcBorders>
              <w:top w:val="single" w:sz="36" w:space="0" w:color="auto"/>
              <w:left w:val="nil"/>
              <w:bottom w:val="nil"/>
              <w:right w:val="nil"/>
            </w:tcBorders>
          </w:tcPr>
          <w:p w:rsidR="00722E0D" w:rsidRPr="002A24D3" w14:paraId="777C0A7B" w14:textId="77777777">
            <w:pPr>
              <w:spacing w:after="120"/>
              <w:jc w:val="right"/>
              <w:rPr>
                <w:b/>
                <w:color w:val="215E99" w:themeColor="text2" w:themeTint="BF"/>
              </w:rPr>
            </w:pPr>
            <w:r w:rsidRPr="002A24D3">
              <w:rPr>
                <w:b/>
                <w:color w:val="215E99" w:themeColor="text2" w:themeTint="BF"/>
              </w:rPr>
              <w:t>39</w:t>
            </w:r>
          </w:p>
        </w:tc>
        <w:tc>
          <w:tcPr>
            <w:tcW w:w="2126" w:type="dxa"/>
            <w:tcBorders>
              <w:top w:val="single" w:sz="36" w:space="0" w:color="auto"/>
              <w:left w:val="nil"/>
              <w:bottom w:val="nil"/>
              <w:right w:val="nil"/>
            </w:tcBorders>
          </w:tcPr>
          <w:p w:rsidR="00722E0D" w:rsidRPr="002A24D3" w14:paraId="6CAAFDC7" w14:textId="77777777">
            <w:pPr>
              <w:spacing w:after="120"/>
              <w:jc w:val="right"/>
              <w:rPr>
                <w:b/>
                <w:color w:val="215E99" w:themeColor="text2" w:themeTint="BF"/>
              </w:rPr>
            </w:pPr>
            <w:r w:rsidRPr="002A24D3">
              <w:rPr>
                <w:b/>
                <w:color w:val="215E99" w:themeColor="text2" w:themeTint="BF"/>
              </w:rPr>
              <w:t>TOT</w:t>
            </w:r>
          </w:p>
        </w:tc>
        <w:tc>
          <w:tcPr>
            <w:tcW w:w="1418" w:type="dxa"/>
            <w:tcBorders>
              <w:top w:val="single" w:sz="36" w:space="0" w:color="auto"/>
              <w:left w:val="nil"/>
              <w:bottom w:val="nil"/>
              <w:right w:val="nil"/>
            </w:tcBorders>
          </w:tcPr>
          <w:p w:rsidR="00722E0D" w:rsidRPr="002A24D3" w14:paraId="76D6A71D" w14:textId="77777777">
            <w:pPr>
              <w:spacing w:after="120"/>
              <w:jc w:val="right"/>
              <w:rPr>
                <w:b/>
                <w:color w:val="215E99" w:themeColor="text2" w:themeTint="BF"/>
              </w:rPr>
            </w:pPr>
            <w:r w:rsidRPr="002A24D3">
              <w:rPr>
                <w:b/>
                <w:color w:val="215E99" w:themeColor="text2" w:themeTint="BF"/>
              </w:rPr>
              <w:t xml:space="preserve">2.250.000 € </w:t>
            </w:r>
          </w:p>
        </w:tc>
      </w:tr>
    </w:tbl>
    <w:p w:rsidR="003C5522" w:rsidRPr="003C5522" w:rsidP="003C5522" w14:paraId="0718C9C3" w14:textId="699F4D87">
      <w:pPr>
        <w:spacing w:before="200" w:after="120"/>
        <w:jc w:val="both"/>
        <w:rPr>
          <w:b/>
          <w:bCs/>
          <w:color w:val="0070C0"/>
        </w:rPr>
      </w:pPr>
      <w:r w:rsidRPr="3D61EB31">
        <w:rPr>
          <w:b/>
          <w:bCs/>
          <w:color w:val="0070C0"/>
        </w:rPr>
        <w:t xml:space="preserve">Inoltre, il comma 3 del decreto legislativo prefato autorizza altresì per le esigenze di funzionamento connesse alle attività del contingente di esperti, una spesa complessiva annuale di 1.400.000 </w:t>
      </w:r>
      <w:r w:rsidR="002A24D3">
        <w:rPr>
          <w:b/>
          <w:bCs/>
          <w:color w:val="0070C0"/>
        </w:rPr>
        <w:t>euro</w:t>
      </w:r>
      <w:r w:rsidRPr="3D61EB31">
        <w:rPr>
          <w:b/>
          <w:bCs/>
          <w:color w:val="0070C0"/>
        </w:rPr>
        <w:t>.</w:t>
      </w:r>
    </w:p>
    <w:p w:rsidR="003C5522" w:rsidRPr="003C5522" w:rsidP="003C5522" w14:paraId="5D01022C" w14:textId="263D529E">
      <w:pPr>
        <w:spacing w:after="120"/>
        <w:jc w:val="both"/>
        <w:rPr>
          <w:b/>
          <w:bCs/>
          <w:color w:val="0070C0"/>
        </w:rPr>
      </w:pPr>
      <w:r>
        <w:rPr>
          <w:b/>
          <w:bCs/>
          <w:color w:val="0070C0"/>
        </w:rPr>
        <w:t>Pertanto</w:t>
      </w:r>
      <w:r w:rsidR="00476F9A">
        <w:rPr>
          <w:b/>
          <w:bCs/>
          <w:color w:val="0070C0"/>
        </w:rPr>
        <w:t>,</w:t>
      </w:r>
      <w:r>
        <w:rPr>
          <w:b/>
          <w:bCs/>
          <w:color w:val="0070C0"/>
        </w:rPr>
        <w:t xml:space="preserve"> l</w:t>
      </w:r>
      <w:r w:rsidRPr="3D61EB31">
        <w:rPr>
          <w:b/>
          <w:bCs/>
          <w:color w:val="0070C0"/>
        </w:rPr>
        <w:t xml:space="preserve">a spesa complessiva per l’anno 2026 risulta pari a 3.650.000 </w:t>
      </w:r>
      <w:r w:rsidR="002A24D3">
        <w:rPr>
          <w:b/>
          <w:bCs/>
          <w:color w:val="0070C0"/>
        </w:rPr>
        <w:t>euro</w:t>
      </w:r>
      <w:r w:rsidRPr="3D61EB31">
        <w:rPr>
          <w:b/>
          <w:bCs/>
          <w:color w:val="0070C0"/>
        </w:rPr>
        <w:t>.</w:t>
      </w:r>
    </w:p>
    <w:p w:rsidR="0030378C" w:rsidRPr="0030378C" w:rsidP="0030378C" w14:paraId="42DF636E" w14:textId="77777777">
      <w:pPr>
        <w:spacing w:after="120"/>
        <w:ind w:right="-13"/>
        <w:jc w:val="both"/>
        <w:rPr>
          <w:color w:val="FF0000"/>
        </w:rPr>
      </w:pPr>
      <w:r w:rsidRPr="0030378C">
        <w:rPr>
          <w:color w:val="FF0000"/>
        </w:rPr>
        <w:t xml:space="preserve">Il </w:t>
      </w:r>
      <w:r w:rsidRPr="0030378C">
        <w:rPr>
          <w:b/>
          <w:color w:val="FF0000"/>
          <w:u w:val="single"/>
        </w:rPr>
        <w:t xml:space="preserve">comma </w:t>
      </w:r>
      <w:r w:rsidRPr="0030378C">
        <w:rPr>
          <w:b/>
          <w:bCs/>
          <w:color w:val="FF0000"/>
          <w:u w:val="single"/>
        </w:rPr>
        <w:t>7</w:t>
      </w:r>
      <w:r w:rsidRPr="0030378C">
        <w:rPr>
          <w:color w:val="FF0000"/>
        </w:rPr>
        <w:t xml:space="preserve"> dispone la proroga, sino al 31 dicembre 2029, della Struttura di missione per l’attuazione del PNRR presso il Ministero dell’ambiente e della sicurezza energetica. </w:t>
      </w:r>
    </w:p>
    <w:p w:rsidR="0030378C" w:rsidRPr="0030378C" w:rsidP="0030378C" w14:paraId="0EF65C63" w14:textId="767D2982">
      <w:pPr>
        <w:spacing w:after="120"/>
        <w:ind w:right="-13"/>
        <w:jc w:val="both"/>
        <w:rPr>
          <w:color w:val="FF0000"/>
        </w:rPr>
      </w:pPr>
      <w:r w:rsidRPr="0030378C">
        <w:rPr>
          <w:b/>
          <w:bCs/>
          <w:color w:val="FF0000"/>
        </w:rPr>
        <w:t>Agli oneri di cui alla presente disposizione pari a euro 1.350.147,41 per ciascuno degli anni 2027, 2028 e 2029 si provvede mediante corrispondente riduzione dello stanziamento del fondo speciale di parte corrente iscritto, ai fini del bilancio triennale 202</w:t>
      </w:r>
      <w:r>
        <w:rPr>
          <w:b/>
          <w:bCs/>
          <w:color w:val="FF0000"/>
        </w:rPr>
        <w:t>6</w:t>
      </w:r>
      <w:r w:rsidRPr="0030378C">
        <w:rPr>
          <w:b/>
          <w:bCs/>
          <w:color w:val="FF0000"/>
        </w:rPr>
        <w:t>-202</w:t>
      </w:r>
      <w:r>
        <w:rPr>
          <w:b/>
          <w:bCs/>
          <w:color w:val="FF0000"/>
        </w:rPr>
        <w:t>8</w:t>
      </w:r>
      <w:r w:rsidRPr="0030378C">
        <w:rPr>
          <w:b/>
          <w:bCs/>
          <w:color w:val="FF0000"/>
        </w:rPr>
        <w:t>, nell’ambito del programma “</w:t>
      </w:r>
      <w:r w:rsidRPr="0030378C">
        <w:rPr>
          <w:b/>
          <w:bCs/>
          <w:i/>
          <w:iCs/>
          <w:color w:val="FF0000"/>
        </w:rPr>
        <w:t>Fondi di riserva e speciali</w:t>
      </w:r>
      <w:r w:rsidRPr="0030378C">
        <w:rPr>
          <w:b/>
          <w:bCs/>
          <w:color w:val="FF0000"/>
        </w:rPr>
        <w:t>” della missione “</w:t>
      </w:r>
      <w:r w:rsidRPr="0030378C">
        <w:rPr>
          <w:b/>
          <w:bCs/>
          <w:i/>
          <w:iCs/>
          <w:color w:val="FF0000"/>
        </w:rPr>
        <w:t>Fondi da ripartire</w:t>
      </w:r>
      <w:r w:rsidRPr="0030378C">
        <w:rPr>
          <w:b/>
          <w:bCs/>
          <w:color w:val="FF0000"/>
        </w:rPr>
        <w:t>” dello stato di previsione del Ministero dell’economia e delle finanze per l’anno 202</w:t>
      </w:r>
      <w:r>
        <w:rPr>
          <w:b/>
          <w:bCs/>
          <w:color w:val="FF0000"/>
        </w:rPr>
        <w:t>6</w:t>
      </w:r>
      <w:r w:rsidRPr="0030378C">
        <w:rPr>
          <w:b/>
          <w:bCs/>
          <w:color w:val="FF0000"/>
        </w:rPr>
        <w:t>, allo scopo parzialmente utilizzando l’accantonamento relativo al Ministero dell’ambiente e della tutela del territorio e del mare.</w:t>
      </w:r>
    </w:p>
    <w:p w:rsidR="0030378C" w:rsidRPr="0030378C" w:rsidP="0030378C" w14:paraId="1C430B3F" w14:textId="77777777">
      <w:pPr>
        <w:spacing w:after="120"/>
        <w:ind w:right="-13"/>
        <w:jc w:val="both"/>
        <w:rPr>
          <w:color w:val="FF0000"/>
        </w:rPr>
      </w:pPr>
      <w:r w:rsidRPr="0030378C">
        <w:rPr>
          <w:color w:val="FF0000"/>
        </w:rPr>
        <w:t xml:space="preserve">Con riferimento alle posizioni dirigenziali di livello generale, per ciascuno degli anni dal 2027 al 2029 è previsto un costo totale annuo pari a </w:t>
      </w:r>
      <w:r w:rsidRPr="0030378C">
        <w:rPr>
          <w:b/>
          <w:bCs/>
          <w:color w:val="FF0000"/>
        </w:rPr>
        <w:t>907.962,47 euro</w:t>
      </w:r>
      <w:r w:rsidRPr="0030378C">
        <w:rPr>
          <w:color w:val="FF0000"/>
        </w:rPr>
        <w:t xml:space="preserve"> (Tabella 1). </w:t>
      </w:r>
    </w:p>
    <w:p w:rsidR="0030378C" w:rsidRPr="0030378C" w:rsidP="0030378C" w14:paraId="53133C17" w14:textId="77777777">
      <w:pPr>
        <w:spacing w:after="120"/>
        <w:ind w:left="137"/>
        <w:jc w:val="both"/>
        <w:rPr>
          <w:color w:val="FF0000"/>
        </w:rPr>
      </w:pPr>
      <w:r w:rsidRPr="0030378C">
        <w:rPr>
          <w:b/>
          <w:bCs/>
          <w:i/>
          <w:iCs/>
          <w:color w:val="FF0000"/>
        </w:rPr>
        <w:t>Tabella 1</w:t>
      </w:r>
    </w:p>
    <w:tbl>
      <w:tblPr>
        <w:tblW w:w="9918" w:type="dxa"/>
        <w:jc w:val="center"/>
        <w:tblLayout w:type="fixed"/>
        <w:tblLook w:val="04A0"/>
      </w:tblPr>
      <w:tblGrid>
        <w:gridCol w:w="1271"/>
        <w:gridCol w:w="1071"/>
        <w:gridCol w:w="1086"/>
        <w:gridCol w:w="1086"/>
        <w:gridCol w:w="1720"/>
        <w:gridCol w:w="1086"/>
        <w:gridCol w:w="1504"/>
        <w:gridCol w:w="1094"/>
      </w:tblGrid>
      <w:tr w14:paraId="149025B7" w14:textId="77777777" w:rsidTr="001F2D0C">
        <w:tblPrEx>
          <w:tblW w:w="9918" w:type="dxa"/>
          <w:tblLayout w:type="fixed"/>
          <w:tblLook w:val="04A0"/>
        </w:tblPrEx>
        <w:trPr>
          <w:trHeight w:val="945"/>
        </w:trPr>
        <w:tc>
          <w:tcPr>
            <w:tcW w:w="1271"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23F50DC8" w14:textId="77777777">
            <w:pPr>
              <w:spacing w:after="120"/>
              <w:jc w:val="center"/>
              <w:rPr>
                <w:color w:val="FF0000"/>
              </w:rPr>
            </w:pPr>
            <w:r w:rsidRPr="0030378C">
              <w:rPr>
                <w:b/>
                <w:bCs/>
                <w:color w:val="FF0000"/>
                <w:sz w:val="18"/>
                <w:szCs w:val="18"/>
              </w:rPr>
              <w:t>STRUTTURA PNRR</w:t>
            </w:r>
          </w:p>
        </w:tc>
        <w:tc>
          <w:tcPr>
            <w:tcW w:w="1071"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0B1E79D1" w14:textId="77777777">
            <w:pPr>
              <w:spacing w:after="120"/>
              <w:jc w:val="center"/>
              <w:rPr>
                <w:color w:val="FF0000"/>
              </w:rPr>
            </w:pPr>
            <w:r w:rsidRPr="0030378C">
              <w:rPr>
                <w:b/>
                <w:bCs/>
                <w:color w:val="FF0000"/>
                <w:sz w:val="18"/>
                <w:szCs w:val="18"/>
              </w:rPr>
              <w:t>Stipendio e 13^</w:t>
            </w:r>
          </w:p>
        </w:tc>
        <w:tc>
          <w:tcPr>
            <w:tcW w:w="1086"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2B33F755" w14:textId="77777777">
            <w:pPr>
              <w:spacing w:after="120"/>
              <w:jc w:val="center"/>
              <w:rPr>
                <w:color w:val="FF0000"/>
              </w:rPr>
            </w:pPr>
            <w:r w:rsidRPr="0030378C">
              <w:rPr>
                <w:b/>
                <w:bCs/>
                <w:color w:val="FF0000"/>
                <w:sz w:val="18"/>
                <w:szCs w:val="18"/>
              </w:rPr>
              <w:t>Retribuzione di posizione parte fissa (lordo dip.)</w:t>
            </w:r>
          </w:p>
        </w:tc>
        <w:tc>
          <w:tcPr>
            <w:tcW w:w="1086"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03A43865" w14:textId="77777777">
            <w:pPr>
              <w:spacing w:after="120"/>
              <w:jc w:val="center"/>
              <w:rPr>
                <w:color w:val="FF0000"/>
              </w:rPr>
            </w:pPr>
            <w:r w:rsidRPr="0030378C">
              <w:rPr>
                <w:b/>
                <w:bCs/>
                <w:color w:val="FF0000"/>
                <w:sz w:val="18"/>
                <w:szCs w:val="18"/>
              </w:rPr>
              <w:t>Retribuzione di posizione parte variabile (lordo dip.)</w:t>
            </w:r>
          </w:p>
        </w:tc>
        <w:tc>
          <w:tcPr>
            <w:tcW w:w="1720"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4E143D3A" w14:textId="77777777">
            <w:pPr>
              <w:spacing w:after="120"/>
              <w:jc w:val="center"/>
              <w:rPr>
                <w:color w:val="FF0000"/>
              </w:rPr>
            </w:pPr>
            <w:r w:rsidRPr="0030378C">
              <w:rPr>
                <w:b/>
                <w:bCs/>
                <w:color w:val="FF0000"/>
                <w:sz w:val="18"/>
                <w:szCs w:val="18"/>
              </w:rPr>
              <w:t>Oneri a carico dell’Amministrazione sulla retribuzione di posizione</w:t>
            </w:r>
          </w:p>
        </w:tc>
        <w:tc>
          <w:tcPr>
            <w:tcW w:w="1086"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797DBF4C" w14:textId="77777777">
            <w:pPr>
              <w:spacing w:after="120"/>
              <w:jc w:val="center"/>
              <w:rPr>
                <w:color w:val="FF0000"/>
              </w:rPr>
            </w:pPr>
            <w:r w:rsidRPr="0030378C">
              <w:rPr>
                <w:b/>
                <w:bCs/>
                <w:color w:val="FF0000"/>
                <w:sz w:val="18"/>
                <w:szCs w:val="18"/>
              </w:rPr>
              <w:t xml:space="preserve">Retribuzione di risultato (lordo </w:t>
            </w:r>
            <w:r w:rsidRPr="0030378C">
              <w:rPr>
                <w:b/>
                <w:bCs/>
                <w:color w:val="FF0000"/>
                <w:sz w:val="18"/>
                <w:szCs w:val="18"/>
              </w:rPr>
              <w:t>Amm</w:t>
            </w:r>
            <w:r w:rsidRPr="0030378C">
              <w:rPr>
                <w:b/>
                <w:bCs/>
                <w:color w:val="FF0000"/>
                <w:sz w:val="18"/>
                <w:szCs w:val="18"/>
              </w:rPr>
              <w:t>.)</w:t>
            </w:r>
          </w:p>
        </w:tc>
        <w:tc>
          <w:tcPr>
            <w:tcW w:w="1504"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6820AFA8" w14:textId="77777777">
            <w:pPr>
              <w:spacing w:after="120"/>
              <w:jc w:val="center"/>
              <w:rPr>
                <w:color w:val="FF0000"/>
              </w:rPr>
            </w:pPr>
            <w:r w:rsidRPr="0030378C">
              <w:rPr>
                <w:b/>
                <w:bCs/>
                <w:color w:val="FF0000"/>
                <w:sz w:val="18"/>
                <w:szCs w:val="18"/>
              </w:rPr>
              <w:t>Oneri a carico dell’Amministrazione sulla retribuzione di risultato</w:t>
            </w:r>
          </w:p>
        </w:tc>
        <w:tc>
          <w:tcPr>
            <w:tcW w:w="1094"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48FFB358" w14:textId="77777777">
            <w:pPr>
              <w:spacing w:after="120"/>
              <w:jc w:val="center"/>
              <w:rPr>
                <w:color w:val="FF0000"/>
              </w:rPr>
            </w:pPr>
            <w:r w:rsidRPr="0030378C">
              <w:rPr>
                <w:b/>
                <w:bCs/>
                <w:color w:val="FF0000"/>
                <w:sz w:val="18"/>
                <w:szCs w:val="18"/>
              </w:rPr>
              <w:t>Totale spesa</w:t>
            </w:r>
          </w:p>
        </w:tc>
      </w:tr>
      <w:tr w14:paraId="4F63F920" w14:textId="77777777" w:rsidTr="001F2D0C">
        <w:tblPrEx>
          <w:tblW w:w="9918" w:type="dxa"/>
          <w:tblLayout w:type="fixed"/>
          <w:tblLook w:val="04A0"/>
        </w:tblPrEx>
        <w:trPr>
          <w:trHeight w:val="570"/>
        </w:trPr>
        <w:tc>
          <w:tcPr>
            <w:tcW w:w="1271"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7903A2C9" w14:textId="77777777">
            <w:pPr>
              <w:spacing w:after="120"/>
              <w:jc w:val="both"/>
              <w:rPr>
                <w:color w:val="FF0000"/>
              </w:rPr>
            </w:pPr>
            <w:r w:rsidRPr="0030378C">
              <w:rPr>
                <w:color w:val="FF0000"/>
                <w:sz w:val="18"/>
                <w:szCs w:val="18"/>
              </w:rPr>
              <w:t>Capo Dipartimento PNRR</w:t>
            </w:r>
          </w:p>
        </w:tc>
        <w:tc>
          <w:tcPr>
            <w:tcW w:w="1071"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1B88F9E6" w14:textId="77777777">
            <w:pPr>
              <w:spacing w:after="120"/>
              <w:jc w:val="right"/>
              <w:rPr>
                <w:color w:val="FF0000"/>
              </w:rPr>
            </w:pPr>
            <w:r w:rsidRPr="0030378C">
              <w:rPr>
                <w:color w:val="FF0000"/>
                <w:sz w:val="18"/>
                <w:szCs w:val="18"/>
              </w:rPr>
              <w:t>63.807,87 €</w:t>
            </w:r>
          </w:p>
        </w:tc>
        <w:tc>
          <w:tcPr>
            <w:tcW w:w="1086"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70E7B036" w14:textId="77777777">
            <w:pPr>
              <w:spacing w:after="120"/>
              <w:jc w:val="right"/>
              <w:rPr>
                <w:color w:val="FF0000"/>
              </w:rPr>
            </w:pPr>
            <w:r w:rsidRPr="0030378C">
              <w:rPr>
                <w:color w:val="FF0000"/>
                <w:sz w:val="18"/>
                <w:szCs w:val="18"/>
              </w:rPr>
              <w:t>42.598,20 €</w:t>
            </w:r>
          </w:p>
        </w:tc>
        <w:tc>
          <w:tcPr>
            <w:tcW w:w="1086"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036008A6" w14:textId="77777777">
            <w:pPr>
              <w:spacing w:after="120"/>
              <w:jc w:val="right"/>
              <w:rPr>
                <w:color w:val="FF0000"/>
              </w:rPr>
            </w:pPr>
            <w:r w:rsidRPr="0030378C">
              <w:rPr>
                <w:color w:val="FF0000"/>
                <w:sz w:val="18"/>
                <w:szCs w:val="18"/>
              </w:rPr>
              <w:t>94.000,00 €</w:t>
            </w:r>
          </w:p>
        </w:tc>
        <w:tc>
          <w:tcPr>
            <w:tcW w:w="1720"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163873B1" w14:textId="77777777">
            <w:pPr>
              <w:spacing w:after="120"/>
              <w:jc w:val="right"/>
              <w:rPr>
                <w:color w:val="FF0000"/>
              </w:rPr>
            </w:pPr>
            <w:r w:rsidRPr="0030378C">
              <w:rPr>
                <w:color w:val="FF0000"/>
                <w:sz w:val="18"/>
                <w:szCs w:val="18"/>
              </w:rPr>
              <w:t>76.915,85 €</w:t>
            </w:r>
          </w:p>
        </w:tc>
        <w:tc>
          <w:tcPr>
            <w:tcW w:w="1086"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0EBB074C" w14:textId="77777777">
            <w:pPr>
              <w:spacing w:after="120"/>
              <w:jc w:val="right"/>
              <w:rPr>
                <w:color w:val="FF0000"/>
              </w:rPr>
            </w:pPr>
            <w:r w:rsidRPr="0030378C">
              <w:rPr>
                <w:color w:val="FF0000"/>
                <w:sz w:val="18"/>
                <w:szCs w:val="18"/>
              </w:rPr>
              <w:t>30.051,60 €</w:t>
            </w:r>
          </w:p>
        </w:tc>
        <w:tc>
          <w:tcPr>
            <w:tcW w:w="1504"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3813B8B7" w14:textId="77777777">
            <w:pPr>
              <w:spacing w:after="120"/>
              <w:jc w:val="right"/>
              <w:rPr>
                <w:color w:val="FF0000"/>
              </w:rPr>
            </w:pPr>
            <w:r w:rsidRPr="0030378C">
              <w:rPr>
                <w:color w:val="FF0000"/>
                <w:sz w:val="18"/>
                <w:szCs w:val="18"/>
              </w:rPr>
              <w:t>9.826,87 €</w:t>
            </w:r>
          </w:p>
        </w:tc>
        <w:tc>
          <w:tcPr>
            <w:tcW w:w="1094"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67A2109B" w14:textId="77777777">
            <w:pPr>
              <w:spacing w:after="120"/>
              <w:jc w:val="right"/>
              <w:rPr>
                <w:color w:val="FF0000"/>
              </w:rPr>
            </w:pPr>
            <w:r w:rsidRPr="0030378C">
              <w:rPr>
                <w:color w:val="FF0000"/>
                <w:sz w:val="18"/>
                <w:szCs w:val="18"/>
              </w:rPr>
              <w:t>317.200,39 €</w:t>
            </w:r>
          </w:p>
        </w:tc>
      </w:tr>
      <w:tr w14:paraId="59E4F06B" w14:textId="77777777" w:rsidTr="001F2D0C">
        <w:tblPrEx>
          <w:tblW w:w="9918" w:type="dxa"/>
          <w:tblLayout w:type="fixed"/>
          <w:tblLook w:val="04A0"/>
        </w:tblPrEx>
        <w:trPr>
          <w:trHeight w:val="555"/>
        </w:trPr>
        <w:tc>
          <w:tcPr>
            <w:tcW w:w="1271"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49593344" w14:textId="77777777">
            <w:pPr>
              <w:spacing w:after="120"/>
              <w:jc w:val="both"/>
              <w:rPr>
                <w:color w:val="FF0000"/>
              </w:rPr>
            </w:pPr>
            <w:r w:rsidRPr="0030378C">
              <w:rPr>
                <w:color w:val="FF0000"/>
                <w:sz w:val="18"/>
                <w:szCs w:val="18"/>
              </w:rPr>
              <w:t>Direzione Generale PNRR</w:t>
            </w:r>
          </w:p>
        </w:tc>
        <w:tc>
          <w:tcPr>
            <w:tcW w:w="1071"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7E108E18" w14:textId="77777777">
            <w:pPr>
              <w:spacing w:after="120"/>
              <w:jc w:val="right"/>
              <w:rPr>
                <w:color w:val="FF0000"/>
              </w:rPr>
            </w:pPr>
            <w:r w:rsidRPr="0030378C">
              <w:rPr>
                <w:color w:val="FF0000"/>
                <w:sz w:val="18"/>
                <w:szCs w:val="18"/>
              </w:rPr>
              <w:t>63.807,87 €</w:t>
            </w:r>
          </w:p>
        </w:tc>
        <w:tc>
          <w:tcPr>
            <w:tcW w:w="1086"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5C28191E" w14:textId="77777777">
            <w:pPr>
              <w:spacing w:after="120"/>
              <w:jc w:val="right"/>
              <w:rPr>
                <w:color w:val="FF0000"/>
              </w:rPr>
            </w:pPr>
            <w:r w:rsidRPr="0030378C">
              <w:rPr>
                <w:color w:val="FF0000"/>
                <w:sz w:val="18"/>
                <w:szCs w:val="18"/>
              </w:rPr>
              <w:t>42.598,20 €</w:t>
            </w:r>
          </w:p>
        </w:tc>
        <w:tc>
          <w:tcPr>
            <w:tcW w:w="1086"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09586B0B" w14:textId="77777777">
            <w:pPr>
              <w:spacing w:after="120"/>
              <w:jc w:val="right"/>
              <w:rPr>
                <w:color w:val="FF0000"/>
              </w:rPr>
            </w:pPr>
            <w:r w:rsidRPr="0030378C">
              <w:rPr>
                <w:color w:val="FF0000"/>
                <w:sz w:val="18"/>
                <w:szCs w:val="18"/>
              </w:rPr>
              <w:t>85.021,70 €</w:t>
            </w:r>
          </w:p>
        </w:tc>
        <w:tc>
          <w:tcPr>
            <w:tcW w:w="1720"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200F41FD" w14:textId="77777777">
            <w:pPr>
              <w:spacing w:after="120"/>
              <w:jc w:val="right"/>
              <w:rPr>
                <w:color w:val="FF0000"/>
              </w:rPr>
            </w:pPr>
            <w:r w:rsidRPr="0030378C">
              <w:rPr>
                <w:color w:val="FF0000"/>
                <w:sz w:val="18"/>
                <w:szCs w:val="18"/>
              </w:rPr>
              <w:t>73.469,98 €</w:t>
            </w:r>
          </w:p>
        </w:tc>
        <w:tc>
          <w:tcPr>
            <w:tcW w:w="1086"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04635B35" w14:textId="77777777">
            <w:pPr>
              <w:spacing w:after="120"/>
              <w:jc w:val="right"/>
              <w:rPr>
                <w:color w:val="FF0000"/>
              </w:rPr>
            </w:pPr>
            <w:r w:rsidRPr="0030378C">
              <w:rPr>
                <w:color w:val="FF0000"/>
                <w:sz w:val="18"/>
                <w:szCs w:val="18"/>
              </w:rPr>
              <w:t>22.971,58 €</w:t>
            </w:r>
          </w:p>
        </w:tc>
        <w:tc>
          <w:tcPr>
            <w:tcW w:w="1504"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72AEC0FD" w14:textId="77777777">
            <w:pPr>
              <w:spacing w:after="120"/>
              <w:jc w:val="right"/>
              <w:rPr>
                <w:color w:val="FF0000"/>
              </w:rPr>
            </w:pPr>
            <w:r w:rsidRPr="0030378C">
              <w:rPr>
                <w:color w:val="FF0000"/>
                <w:sz w:val="18"/>
                <w:szCs w:val="18"/>
              </w:rPr>
              <w:t>7.511,71 €</w:t>
            </w:r>
          </w:p>
        </w:tc>
        <w:tc>
          <w:tcPr>
            <w:tcW w:w="1094"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352EA7B7" w14:textId="77777777">
            <w:pPr>
              <w:spacing w:after="120"/>
              <w:jc w:val="right"/>
              <w:rPr>
                <w:color w:val="FF0000"/>
              </w:rPr>
            </w:pPr>
            <w:r w:rsidRPr="0030378C">
              <w:rPr>
                <w:color w:val="FF0000"/>
                <w:sz w:val="18"/>
                <w:szCs w:val="18"/>
              </w:rPr>
              <w:t>295.381,04 €</w:t>
            </w:r>
          </w:p>
        </w:tc>
      </w:tr>
      <w:tr w14:paraId="71E94402" w14:textId="77777777" w:rsidTr="001F2D0C">
        <w:tblPrEx>
          <w:tblW w:w="9918" w:type="dxa"/>
          <w:tblLayout w:type="fixed"/>
          <w:tblLook w:val="04A0"/>
        </w:tblPrEx>
        <w:trPr>
          <w:trHeight w:val="615"/>
        </w:trPr>
        <w:tc>
          <w:tcPr>
            <w:tcW w:w="1271"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3EE82A03" w14:textId="77777777">
            <w:pPr>
              <w:spacing w:after="120"/>
              <w:jc w:val="both"/>
              <w:rPr>
                <w:color w:val="FF0000"/>
              </w:rPr>
            </w:pPr>
            <w:r w:rsidRPr="0030378C">
              <w:rPr>
                <w:color w:val="FF0000"/>
                <w:sz w:val="18"/>
                <w:szCs w:val="18"/>
              </w:rPr>
              <w:t>Direzione Generale PNRR</w:t>
            </w:r>
          </w:p>
        </w:tc>
        <w:tc>
          <w:tcPr>
            <w:tcW w:w="1071"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6BA09991" w14:textId="77777777">
            <w:pPr>
              <w:spacing w:after="120"/>
              <w:jc w:val="right"/>
              <w:rPr>
                <w:color w:val="FF0000"/>
              </w:rPr>
            </w:pPr>
            <w:r w:rsidRPr="0030378C">
              <w:rPr>
                <w:color w:val="FF0000"/>
                <w:sz w:val="18"/>
                <w:szCs w:val="18"/>
              </w:rPr>
              <w:t>63.807,87 €</w:t>
            </w:r>
          </w:p>
        </w:tc>
        <w:tc>
          <w:tcPr>
            <w:tcW w:w="1086"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0B303FC6" w14:textId="77777777">
            <w:pPr>
              <w:spacing w:after="120"/>
              <w:jc w:val="right"/>
              <w:rPr>
                <w:color w:val="FF0000"/>
              </w:rPr>
            </w:pPr>
            <w:r w:rsidRPr="0030378C">
              <w:rPr>
                <w:color w:val="FF0000"/>
                <w:sz w:val="18"/>
                <w:szCs w:val="18"/>
              </w:rPr>
              <w:t>42.598,20 €</w:t>
            </w:r>
          </w:p>
        </w:tc>
        <w:tc>
          <w:tcPr>
            <w:tcW w:w="1086"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550B3837" w14:textId="77777777">
            <w:pPr>
              <w:spacing w:after="120"/>
              <w:jc w:val="right"/>
              <w:rPr>
                <w:color w:val="FF0000"/>
              </w:rPr>
            </w:pPr>
            <w:r w:rsidRPr="0030378C">
              <w:rPr>
                <w:color w:val="FF0000"/>
                <w:sz w:val="18"/>
                <w:szCs w:val="18"/>
              </w:rPr>
              <w:t>85.021,70 €</w:t>
            </w:r>
          </w:p>
        </w:tc>
        <w:tc>
          <w:tcPr>
            <w:tcW w:w="1720"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2A78730B" w14:textId="77777777">
            <w:pPr>
              <w:spacing w:after="120"/>
              <w:jc w:val="right"/>
              <w:rPr>
                <w:color w:val="FF0000"/>
              </w:rPr>
            </w:pPr>
            <w:r w:rsidRPr="0030378C">
              <w:rPr>
                <w:color w:val="FF0000"/>
                <w:sz w:val="18"/>
                <w:szCs w:val="18"/>
              </w:rPr>
              <w:t>73.469,98 €</w:t>
            </w:r>
          </w:p>
        </w:tc>
        <w:tc>
          <w:tcPr>
            <w:tcW w:w="1086"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69E23766" w14:textId="77777777">
            <w:pPr>
              <w:spacing w:after="120"/>
              <w:jc w:val="right"/>
              <w:rPr>
                <w:color w:val="FF0000"/>
              </w:rPr>
            </w:pPr>
            <w:r w:rsidRPr="0030378C">
              <w:rPr>
                <w:color w:val="FF0000"/>
                <w:sz w:val="18"/>
                <w:szCs w:val="18"/>
              </w:rPr>
              <w:t>22.971,58 €</w:t>
            </w:r>
          </w:p>
        </w:tc>
        <w:tc>
          <w:tcPr>
            <w:tcW w:w="1504"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26742C0F" w14:textId="77777777">
            <w:pPr>
              <w:spacing w:after="120"/>
              <w:jc w:val="right"/>
              <w:rPr>
                <w:color w:val="FF0000"/>
              </w:rPr>
            </w:pPr>
            <w:r w:rsidRPr="0030378C">
              <w:rPr>
                <w:color w:val="FF0000"/>
                <w:sz w:val="18"/>
                <w:szCs w:val="18"/>
              </w:rPr>
              <w:t>7.511,71 €</w:t>
            </w:r>
          </w:p>
        </w:tc>
        <w:tc>
          <w:tcPr>
            <w:tcW w:w="1094"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51CAF36B" w14:textId="77777777">
            <w:pPr>
              <w:spacing w:after="120"/>
              <w:jc w:val="right"/>
              <w:rPr>
                <w:color w:val="FF0000"/>
              </w:rPr>
            </w:pPr>
            <w:r w:rsidRPr="0030378C">
              <w:rPr>
                <w:color w:val="FF0000"/>
                <w:sz w:val="18"/>
                <w:szCs w:val="18"/>
              </w:rPr>
              <w:t>295.381,04 €</w:t>
            </w:r>
          </w:p>
        </w:tc>
      </w:tr>
      <w:tr w14:paraId="26F81333" w14:textId="77777777" w:rsidTr="001F2D0C">
        <w:tblPrEx>
          <w:tblW w:w="9918" w:type="dxa"/>
          <w:tblLayout w:type="fixed"/>
          <w:tblLook w:val="04A0"/>
        </w:tblPrEx>
        <w:trPr>
          <w:trHeight w:val="411"/>
        </w:trPr>
        <w:tc>
          <w:tcPr>
            <w:tcW w:w="8824" w:type="dxa"/>
            <w:gridSpan w:val="7"/>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1CE2EF66" w14:textId="77777777">
            <w:pPr>
              <w:spacing w:after="120"/>
              <w:jc w:val="both"/>
              <w:rPr>
                <w:color w:val="FF0000"/>
              </w:rPr>
            </w:pPr>
            <w:r w:rsidRPr="0030378C">
              <w:rPr>
                <w:b/>
                <w:bCs/>
                <w:color w:val="FF0000"/>
                <w:sz w:val="18"/>
                <w:szCs w:val="18"/>
              </w:rPr>
              <w:t>TOTALE FONDO DIRIGENTI GENERALI PNRR</w:t>
            </w:r>
          </w:p>
        </w:tc>
        <w:tc>
          <w:tcPr>
            <w:tcW w:w="1094" w:type="dxa"/>
            <w:tcBorders>
              <w:top w:val="single" w:sz="4" w:space="0" w:color="auto"/>
              <w:left w:val="nil"/>
              <w:bottom w:val="single" w:sz="4" w:space="0" w:color="auto"/>
              <w:right w:val="single" w:sz="4" w:space="0" w:color="auto"/>
            </w:tcBorders>
            <w:tcMar>
              <w:left w:w="70" w:type="dxa"/>
              <w:right w:w="70" w:type="dxa"/>
            </w:tcMar>
            <w:vAlign w:val="center"/>
          </w:tcPr>
          <w:p w:rsidR="0030378C" w:rsidRPr="0030378C" w:rsidP="0030378C" w14:paraId="4906DA78" w14:textId="77777777">
            <w:pPr>
              <w:spacing w:after="120"/>
              <w:jc w:val="both"/>
              <w:rPr>
                <w:color w:val="FF0000"/>
              </w:rPr>
            </w:pPr>
            <w:r w:rsidRPr="0030378C">
              <w:rPr>
                <w:b/>
                <w:bCs/>
                <w:color w:val="FF0000"/>
                <w:sz w:val="18"/>
                <w:szCs w:val="18"/>
              </w:rPr>
              <w:t>907.962,47 €</w:t>
            </w:r>
          </w:p>
        </w:tc>
      </w:tr>
    </w:tbl>
    <w:p w:rsidR="0030378C" w:rsidRPr="0030378C" w:rsidP="0030378C" w14:paraId="16054AB2" w14:textId="77777777">
      <w:pPr>
        <w:spacing w:before="120" w:after="120"/>
        <w:ind w:right="-11"/>
        <w:jc w:val="both"/>
        <w:rPr>
          <w:color w:val="FF0000"/>
        </w:rPr>
      </w:pPr>
      <w:r w:rsidRPr="0030378C">
        <w:rPr>
          <w:color w:val="FF0000"/>
        </w:rPr>
        <w:t xml:space="preserve">Con riferimento alle posizioni dirigenziali di livello non generale, per l’anno 2027 e fino al 2029, è previsto un </w:t>
      </w:r>
      <w:r w:rsidRPr="0030378C">
        <w:rPr>
          <w:b/>
          <w:bCs/>
          <w:color w:val="FF0000"/>
        </w:rPr>
        <w:t>costo totale annuo pari a 442.184,94</w:t>
      </w:r>
      <w:r w:rsidRPr="0030378C">
        <w:rPr>
          <w:color w:val="FF0000"/>
        </w:rPr>
        <w:t xml:space="preserve"> </w:t>
      </w:r>
      <w:r w:rsidRPr="0030378C">
        <w:rPr>
          <w:b/>
          <w:bCs/>
          <w:color w:val="FF0000"/>
        </w:rPr>
        <w:t>euro</w:t>
      </w:r>
      <w:r w:rsidRPr="0030378C">
        <w:rPr>
          <w:color w:val="FF0000"/>
        </w:rPr>
        <w:t xml:space="preserve"> (Tabella 2). </w:t>
      </w:r>
    </w:p>
    <w:p w:rsidR="0030378C" w:rsidRPr="0030378C" w:rsidP="0030378C" w14:paraId="640F46DC" w14:textId="77777777">
      <w:pPr>
        <w:spacing w:after="120"/>
        <w:ind w:right="-11"/>
        <w:jc w:val="both"/>
        <w:rPr>
          <w:color w:val="FF0000"/>
        </w:rPr>
      </w:pPr>
      <w:r w:rsidRPr="0030378C">
        <w:rPr>
          <w:color w:val="FF0000"/>
        </w:rPr>
        <w:t>Si segnala, infatti, che gli altri tre dirigenti non generali previsti ai sensi dell’articolo 17-</w:t>
      </w:r>
      <w:r w:rsidRPr="0030378C">
        <w:rPr>
          <w:i/>
          <w:iCs/>
          <w:color w:val="FF0000"/>
        </w:rPr>
        <w:t>sexies</w:t>
      </w:r>
      <w:r w:rsidRPr="0030378C">
        <w:rPr>
          <w:color w:val="FF0000"/>
        </w:rPr>
        <w:t xml:space="preserve"> del decreto-legge n. 80 del 2021 restano a carico del Ministero dell’ambiente e della sicurezza energetica. Ai sensi del comma 2 del citato articolo 17-</w:t>
      </w:r>
      <w:r w:rsidRPr="0030378C">
        <w:rPr>
          <w:i/>
          <w:iCs/>
          <w:color w:val="FF0000"/>
        </w:rPr>
        <w:t>sexies</w:t>
      </w:r>
      <w:r w:rsidRPr="0030378C">
        <w:rPr>
          <w:color w:val="FF0000"/>
        </w:rPr>
        <w:t xml:space="preserve">, tre posti di funzione dirigenziale di livello non generale sono resi indisponibili nell’ambito della dotazione organica del </w:t>
      </w:r>
      <w:r w:rsidRPr="0030378C">
        <w:rPr>
          <w:color w:val="FF0000"/>
        </w:rPr>
        <w:t>predetto</w:t>
      </w:r>
      <w:r w:rsidRPr="0030378C">
        <w:rPr>
          <w:color w:val="FF0000"/>
        </w:rPr>
        <w:t xml:space="preserve"> Dicastero. </w:t>
      </w:r>
    </w:p>
    <w:p w:rsidR="0030378C" w:rsidRPr="0030378C" w:rsidP="0030378C" w14:paraId="391E489A" w14:textId="77777777">
      <w:pPr>
        <w:spacing w:after="120"/>
        <w:ind w:left="137"/>
        <w:jc w:val="both"/>
        <w:rPr>
          <w:color w:val="FF0000"/>
        </w:rPr>
      </w:pPr>
      <w:r w:rsidRPr="0030378C">
        <w:rPr>
          <w:b/>
          <w:bCs/>
          <w:i/>
          <w:iCs/>
          <w:color w:val="FF0000"/>
        </w:rPr>
        <w:t>Tabella 2</w:t>
      </w:r>
    </w:p>
    <w:tbl>
      <w:tblPr>
        <w:tblW w:w="0" w:type="auto"/>
        <w:tblLook w:val="04A0"/>
      </w:tblPr>
      <w:tblGrid>
        <w:gridCol w:w="829"/>
        <w:gridCol w:w="840"/>
        <w:gridCol w:w="1123"/>
        <w:gridCol w:w="1248"/>
        <w:gridCol w:w="1248"/>
        <w:gridCol w:w="1248"/>
        <w:gridCol w:w="980"/>
        <w:gridCol w:w="977"/>
        <w:gridCol w:w="1135"/>
      </w:tblGrid>
      <w:tr w14:paraId="5304918A" w14:textId="77777777" w:rsidTr="004728A4">
        <w:tblPrEx>
          <w:tblW w:w="0" w:type="auto"/>
          <w:tblLook w:val="04A0"/>
        </w:tblPrEx>
        <w:trPr>
          <w:trHeight w:val="795"/>
        </w:trPr>
        <w:tc>
          <w:tcPr>
            <w:tcW w:w="829"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59D41E40" w14:textId="77777777">
            <w:pPr>
              <w:spacing w:after="120"/>
              <w:jc w:val="center"/>
              <w:rPr>
                <w:color w:val="FF0000"/>
              </w:rPr>
            </w:pPr>
            <w:r w:rsidRPr="0030378C">
              <w:rPr>
                <w:b/>
                <w:bCs/>
                <w:color w:val="FF0000"/>
                <w:sz w:val="18"/>
                <w:szCs w:val="18"/>
              </w:rPr>
              <w:t>Ufficio</w:t>
            </w:r>
          </w:p>
        </w:tc>
        <w:tc>
          <w:tcPr>
            <w:tcW w:w="840"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39996314" w14:textId="77777777">
            <w:pPr>
              <w:spacing w:after="120"/>
              <w:jc w:val="center"/>
              <w:rPr>
                <w:color w:val="FF0000"/>
              </w:rPr>
            </w:pPr>
            <w:r w:rsidRPr="0030378C">
              <w:rPr>
                <w:b/>
                <w:bCs/>
                <w:color w:val="FF0000"/>
                <w:sz w:val="18"/>
                <w:szCs w:val="18"/>
              </w:rPr>
              <w:t>Fascia</w:t>
            </w:r>
          </w:p>
        </w:tc>
        <w:tc>
          <w:tcPr>
            <w:tcW w:w="1123"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4C7ACA56" w14:textId="77777777">
            <w:pPr>
              <w:spacing w:after="120"/>
              <w:jc w:val="center"/>
              <w:rPr>
                <w:color w:val="FF0000"/>
              </w:rPr>
            </w:pPr>
            <w:r w:rsidRPr="0030378C">
              <w:rPr>
                <w:b/>
                <w:bCs/>
                <w:color w:val="FF0000"/>
                <w:sz w:val="18"/>
                <w:szCs w:val="18"/>
              </w:rPr>
              <w:t>Stipendio</w:t>
            </w:r>
          </w:p>
        </w:tc>
        <w:tc>
          <w:tcPr>
            <w:tcW w:w="1248"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1DB11771" w14:textId="77777777">
            <w:pPr>
              <w:spacing w:after="120"/>
              <w:jc w:val="center"/>
              <w:rPr>
                <w:color w:val="FF0000"/>
              </w:rPr>
            </w:pPr>
            <w:r w:rsidRPr="0030378C">
              <w:rPr>
                <w:b/>
                <w:bCs/>
                <w:color w:val="FF0000"/>
                <w:sz w:val="18"/>
                <w:szCs w:val="18"/>
              </w:rPr>
              <w:t>Posizione fissa</w:t>
            </w:r>
          </w:p>
        </w:tc>
        <w:tc>
          <w:tcPr>
            <w:tcW w:w="1248"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2DDD077E" w14:textId="77777777">
            <w:pPr>
              <w:spacing w:after="120"/>
              <w:jc w:val="center"/>
              <w:rPr>
                <w:color w:val="FF0000"/>
              </w:rPr>
            </w:pPr>
            <w:r w:rsidRPr="0030378C">
              <w:rPr>
                <w:b/>
                <w:bCs/>
                <w:color w:val="FF0000"/>
                <w:sz w:val="18"/>
                <w:szCs w:val="18"/>
              </w:rPr>
              <w:t>Posizione variabile</w:t>
            </w:r>
          </w:p>
        </w:tc>
        <w:tc>
          <w:tcPr>
            <w:tcW w:w="1248"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13754484" w14:textId="77777777">
            <w:pPr>
              <w:spacing w:after="120"/>
              <w:jc w:val="center"/>
              <w:rPr>
                <w:color w:val="FF0000"/>
              </w:rPr>
            </w:pPr>
            <w:r w:rsidRPr="0030378C">
              <w:rPr>
                <w:b/>
                <w:bCs/>
                <w:color w:val="FF0000"/>
                <w:sz w:val="18"/>
                <w:szCs w:val="18"/>
              </w:rPr>
              <w:t>Oneri e Irap su stipendio e posizione</w:t>
            </w:r>
          </w:p>
        </w:tc>
        <w:tc>
          <w:tcPr>
            <w:tcW w:w="980"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14D24A55" w14:textId="77777777">
            <w:pPr>
              <w:spacing w:after="120"/>
              <w:jc w:val="center"/>
              <w:rPr>
                <w:color w:val="FF0000"/>
              </w:rPr>
            </w:pPr>
            <w:r w:rsidRPr="0030378C">
              <w:rPr>
                <w:b/>
                <w:bCs/>
                <w:color w:val="FF0000"/>
                <w:sz w:val="18"/>
                <w:szCs w:val="18"/>
              </w:rPr>
              <w:t>Risultato minimo</w:t>
            </w:r>
          </w:p>
        </w:tc>
        <w:tc>
          <w:tcPr>
            <w:tcW w:w="977"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627A5234" w14:textId="77777777">
            <w:pPr>
              <w:spacing w:after="120"/>
              <w:jc w:val="center"/>
              <w:rPr>
                <w:color w:val="FF0000"/>
              </w:rPr>
            </w:pPr>
            <w:r w:rsidRPr="0030378C">
              <w:rPr>
                <w:b/>
                <w:bCs/>
                <w:color w:val="FF0000"/>
                <w:sz w:val="18"/>
                <w:szCs w:val="18"/>
              </w:rPr>
              <w:t>Oneri e Irap sul risultato</w:t>
            </w:r>
          </w:p>
        </w:tc>
        <w:tc>
          <w:tcPr>
            <w:tcW w:w="1135"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09B07EFE" w14:textId="77777777">
            <w:pPr>
              <w:spacing w:after="120"/>
              <w:jc w:val="center"/>
              <w:rPr>
                <w:color w:val="FF0000"/>
              </w:rPr>
            </w:pPr>
            <w:r w:rsidRPr="0030378C">
              <w:rPr>
                <w:b/>
                <w:bCs/>
                <w:color w:val="FF0000"/>
                <w:sz w:val="18"/>
                <w:szCs w:val="18"/>
              </w:rPr>
              <w:t>Totale complessivo</w:t>
            </w:r>
          </w:p>
        </w:tc>
      </w:tr>
      <w:tr w14:paraId="269FEB0C" w14:textId="77777777" w:rsidTr="004728A4">
        <w:tblPrEx>
          <w:tblW w:w="0" w:type="auto"/>
          <w:tblLook w:val="04A0"/>
        </w:tblPrEx>
        <w:trPr>
          <w:trHeight w:val="300"/>
        </w:trPr>
        <w:tc>
          <w:tcPr>
            <w:tcW w:w="829"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71504EF8" w14:textId="77777777">
            <w:pPr>
              <w:spacing w:after="120"/>
              <w:jc w:val="both"/>
              <w:rPr>
                <w:color w:val="FF0000"/>
              </w:rPr>
            </w:pPr>
            <w:r w:rsidRPr="0030378C">
              <w:rPr>
                <w:color w:val="FF0000"/>
                <w:sz w:val="18"/>
                <w:szCs w:val="18"/>
              </w:rPr>
              <w:t>UdM</w:t>
            </w:r>
          </w:p>
          <w:p w:rsidR="0030378C" w:rsidRPr="0030378C" w:rsidP="0030378C" w14:paraId="30F27941" w14:textId="77777777">
            <w:pPr>
              <w:spacing w:after="120"/>
              <w:jc w:val="both"/>
              <w:rPr>
                <w:color w:val="FF0000"/>
              </w:rPr>
            </w:pPr>
            <w:r w:rsidRPr="0030378C">
              <w:rPr>
                <w:color w:val="FF0000"/>
                <w:sz w:val="18"/>
                <w:szCs w:val="18"/>
              </w:rPr>
              <w:t>PNRR</w:t>
            </w:r>
          </w:p>
        </w:tc>
        <w:tc>
          <w:tcPr>
            <w:tcW w:w="840"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61228183" w14:textId="77777777">
            <w:pPr>
              <w:spacing w:after="120"/>
              <w:jc w:val="center"/>
              <w:rPr>
                <w:color w:val="FF0000"/>
              </w:rPr>
            </w:pPr>
            <w:r w:rsidRPr="0030378C">
              <w:rPr>
                <w:color w:val="FF0000"/>
                <w:sz w:val="18"/>
                <w:szCs w:val="18"/>
              </w:rPr>
              <w:t>1</w:t>
            </w:r>
          </w:p>
        </w:tc>
        <w:tc>
          <w:tcPr>
            <w:tcW w:w="1123"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03CF62B3" w14:textId="77777777">
            <w:pPr>
              <w:spacing w:after="120"/>
              <w:jc w:val="both"/>
              <w:rPr>
                <w:color w:val="FF0000"/>
              </w:rPr>
            </w:pPr>
            <w:r w:rsidRPr="0030378C">
              <w:rPr>
                <w:color w:val="FF0000"/>
                <w:sz w:val="18"/>
                <w:szCs w:val="18"/>
              </w:rPr>
              <w:t>50.005,77 €</w:t>
            </w:r>
          </w:p>
        </w:tc>
        <w:tc>
          <w:tcPr>
            <w:tcW w:w="1248"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460A13EA" w14:textId="77777777">
            <w:pPr>
              <w:spacing w:after="120"/>
              <w:jc w:val="both"/>
              <w:rPr>
                <w:color w:val="FF0000"/>
              </w:rPr>
            </w:pPr>
            <w:r w:rsidRPr="0030378C">
              <w:rPr>
                <w:color w:val="FF0000"/>
                <w:sz w:val="18"/>
                <w:szCs w:val="18"/>
              </w:rPr>
              <w:t>14.515,11 €</w:t>
            </w:r>
          </w:p>
        </w:tc>
        <w:tc>
          <w:tcPr>
            <w:tcW w:w="1248"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0BAADC44" w14:textId="77777777">
            <w:pPr>
              <w:spacing w:after="120"/>
              <w:jc w:val="both"/>
              <w:rPr>
                <w:color w:val="FF0000"/>
              </w:rPr>
            </w:pPr>
            <w:r w:rsidRPr="0030378C">
              <w:rPr>
                <w:color w:val="FF0000"/>
                <w:sz w:val="18"/>
                <w:szCs w:val="18"/>
              </w:rPr>
              <w:t>32.900,00 €</w:t>
            </w:r>
          </w:p>
        </w:tc>
        <w:tc>
          <w:tcPr>
            <w:tcW w:w="1248"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34D0D187" w14:textId="77777777">
            <w:pPr>
              <w:spacing w:after="120"/>
              <w:jc w:val="both"/>
              <w:rPr>
                <w:color w:val="FF0000"/>
              </w:rPr>
            </w:pPr>
            <w:r w:rsidRPr="0030378C">
              <w:rPr>
                <w:color w:val="FF0000"/>
                <w:sz w:val="18"/>
                <w:szCs w:val="18"/>
              </w:rPr>
              <w:t>37.390,13 €</w:t>
            </w:r>
          </w:p>
        </w:tc>
        <w:tc>
          <w:tcPr>
            <w:tcW w:w="980"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4A03040E" w14:textId="77777777">
            <w:pPr>
              <w:spacing w:after="120"/>
              <w:jc w:val="both"/>
              <w:rPr>
                <w:color w:val="FF0000"/>
              </w:rPr>
            </w:pPr>
            <w:r w:rsidRPr="0030378C">
              <w:rPr>
                <w:color w:val="FF0000"/>
                <w:sz w:val="18"/>
                <w:szCs w:val="18"/>
              </w:rPr>
              <w:t>9.483,02 €</w:t>
            </w:r>
          </w:p>
        </w:tc>
        <w:tc>
          <w:tcPr>
            <w:tcW w:w="977"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70BF6905" w14:textId="77777777">
            <w:pPr>
              <w:spacing w:after="120"/>
              <w:jc w:val="both"/>
              <w:rPr>
                <w:color w:val="FF0000"/>
              </w:rPr>
            </w:pPr>
            <w:r w:rsidRPr="0030378C">
              <w:rPr>
                <w:color w:val="FF0000"/>
                <w:sz w:val="18"/>
                <w:szCs w:val="18"/>
              </w:rPr>
              <w:t>3.100,95 €</w:t>
            </w:r>
          </w:p>
        </w:tc>
        <w:tc>
          <w:tcPr>
            <w:tcW w:w="1135"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7A2CE025" w14:textId="77777777">
            <w:pPr>
              <w:spacing w:after="120"/>
              <w:jc w:val="both"/>
              <w:rPr>
                <w:color w:val="FF0000"/>
              </w:rPr>
            </w:pPr>
            <w:r w:rsidRPr="0030378C">
              <w:rPr>
                <w:color w:val="FF0000"/>
                <w:sz w:val="18"/>
                <w:szCs w:val="18"/>
              </w:rPr>
              <w:t>147.394,98 €</w:t>
            </w:r>
          </w:p>
        </w:tc>
      </w:tr>
      <w:tr w14:paraId="4B5B9FAA" w14:textId="77777777" w:rsidTr="004728A4">
        <w:tblPrEx>
          <w:tblW w:w="0" w:type="auto"/>
          <w:tblLook w:val="04A0"/>
        </w:tblPrEx>
        <w:trPr>
          <w:trHeight w:val="300"/>
        </w:trPr>
        <w:tc>
          <w:tcPr>
            <w:tcW w:w="829"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6008EBB9" w14:textId="77777777">
            <w:pPr>
              <w:spacing w:after="120"/>
              <w:jc w:val="both"/>
              <w:rPr>
                <w:color w:val="FF0000"/>
              </w:rPr>
            </w:pPr>
            <w:r w:rsidRPr="0030378C">
              <w:rPr>
                <w:color w:val="FF0000"/>
                <w:sz w:val="18"/>
                <w:szCs w:val="18"/>
              </w:rPr>
              <w:t>UdM</w:t>
            </w:r>
          </w:p>
          <w:p w:rsidR="0030378C" w:rsidRPr="0030378C" w:rsidP="0030378C" w14:paraId="5147F32B" w14:textId="77777777">
            <w:pPr>
              <w:spacing w:after="120"/>
              <w:jc w:val="both"/>
              <w:rPr>
                <w:color w:val="FF0000"/>
              </w:rPr>
            </w:pPr>
            <w:r w:rsidRPr="0030378C">
              <w:rPr>
                <w:color w:val="FF0000"/>
                <w:sz w:val="18"/>
                <w:szCs w:val="18"/>
              </w:rPr>
              <w:t>PNRR</w:t>
            </w:r>
          </w:p>
        </w:tc>
        <w:tc>
          <w:tcPr>
            <w:tcW w:w="840"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5048A617" w14:textId="77777777">
            <w:pPr>
              <w:spacing w:after="120"/>
              <w:jc w:val="center"/>
              <w:rPr>
                <w:color w:val="FF0000"/>
              </w:rPr>
            </w:pPr>
            <w:r w:rsidRPr="0030378C">
              <w:rPr>
                <w:color w:val="FF0000"/>
                <w:sz w:val="18"/>
                <w:szCs w:val="18"/>
              </w:rPr>
              <w:t>1</w:t>
            </w:r>
          </w:p>
        </w:tc>
        <w:tc>
          <w:tcPr>
            <w:tcW w:w="1123"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0E18A8A9" w14:textId="77777777">
            <w:pPr>
              <w:spacing w:after="120"/>
              <w:jc w:val="both"/>
              <w:rPr>
                <w:color w:val="FF0000"/>
              </w:rPr>
            </w:pPr>
            <w:r w:rsidRPr="0030378C">
              <w:rPr>
                <w:color w:val="FF0000"/>
                <w:sz w:val="18"/>
                <w:szCs w:val="18"/>
              </w:rPr>
              <w:t>50.005,77 €</w:t>
            </w:r>
          </w:p>
        </w:tc>
        <w:tc>
          <w:tcPr>
            <w:tcW w:w="1248"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630B08E0" w14:textId="77777777">
            <w:pPr>
              <w:spacing w:after="120"/>
              <w:jc w:val="both"/>
              <w:rPr>
                <w:color w:val="FF0000"/>
              </w:rPr>
            </w:pPr>
            <w:r w:rsidRPr="0030378C">
              <w:rPr>
                <w:color w:val="FF0000"/>
                <w:sz w:val="18"/>
                <w:szCs w:val="18"/>
              </w:rPr>
              <w:t>14.515,11 €</w:t>
            </w:r>
          </w:p>
        </w:tc>
        <w:tc>
          <w:tcPr>
            <w:tcW w:w="1248"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39605D08" w14:textId="77777777">
            <w:pPr>
              <w:spacing w:after="120"/>
              <w:jc w:val="both"/>
              <w:rPr>
                <w:color w:val="FF0000"/>
              </w:rPr>
            </w:pPr>
            <w:r w:rsidRPr="0030378C">
              <w:rPr>
                <w:color w:val="FF0000"/>
                <w:sz w:val="18"/>
                <w:szCs w:val="18"/>
              </w:rPr>
              <w:t>32.900,00 €</w:t>
            </w:r>
          </w:p>
        </w:tc>
        <w:tc>
          <w:tcPr>
            <w:tcW w:w="1248"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40DDC5B6" w14:textId="77777777">
            <w:pPr>
              <w:spacing w:after="120"/>
              <w:jc w:val="both"/>
              <w:rPr>
                <w:color w:val="FF0000"/>
              </w:rPr>
            </w:pPr>
            <w:r w:rsidRPr="0030378C">
              <w:rPr>
                <w:color w:val="FF0000"/>
                <w:sz w:val="18"/>
                <w:szCs w:val="18"/>
              </w:rPr>
              <w:t>37.390,13 €</w:t>
            </w:r>
          </w:p>
        </w:tc>
        <w:tc>
          <w:tcPr>
            <w:tcW w:w="980"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16F6ADBD" w14:textId="77777777">
            <w:pPr>
              <w:spacing w:after="120"/>
              <w:jc w:val="both"/>
              <w:rPr>
                <w:color w:val="FF0000"/>
              </w:rPr>
            </w:pPr>
            <w:r w:rsidRPr="0030378C">
              <w:rPr>
                <w:color w:val="FF0000"/>
                <w:sz w:val="18"/>
                <w:szCs w:val="18"/>
              </w:rPr>
              <w:t>9.483,02 €</w:t>
            </w:r>
          </w:p>
        </w:tc>
        <w:tc>
          <w:tcPr>
            <w:tcW w:w="977"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1073DE3D" w14:textId="77777777">
            <w:pPr>
              <w:spacing w:after="120"/>
              <w:jc w:val="both"/>
              <w:rPr>
                <w:color w:val="FF0000"/>
              </w:rPr>
            </w:pPr>
            <w:r w:rsidRPr="0030378C">
              <w:rPr>
                <w:color w:val="FF0000"/>
                <w:sz w:val="18"/>
                <w:szCs w:val="18"/>
              </w:rPr>
              <w:t>3.100,95 €</w:t>
            </w:r>
          </w:p>
        </w:tc>
        <w:tc>
          <w:tcPr>
            <w:tcW w:w="1135"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482194F0" w14:textId="77777777">
            <w:pPr>
              <w:spacing w:after="120"/>
              <w:jc w:val="both"/>
              <w:rPr>
                <w:color w:val="FF0000"/>
              </w:rPr>
            </w:pPr>
            <w:r w:rsidRPr="0030378C">
              <w:rPr>
                <w:color w:val="FF0000"/>
                <w:sz w:val="18"/>
                <w:szCs w:val="18"/>
              </w:rPr>
              <w:t>147.394,98 €</w:t>
            </w:r>
          </w:p>
        </w:tc>
      </w:tr>
      <w:tr w14:paraId="623B0D7D" w14:textId="77777777" w:rsidTr="004728A4">
        <w:tblPrEx>
          <w:tblW w:w="0" w:type="auto"/>
          <w:tblLook w:val="04A0"/>
        </w:tblPrEx>
        <w:trPr>
          <w:trHeight w:val="315"/>
        </w:trPr>
        <w:tc>
          <w:tcPr>
            <w:tcW w:w="829"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15092CDA" w14:textId="77777777">
            <w:pPr>
              <w:spacing w:after="120"/>
              <w:jc w:val="both"/>
              <w:rPr>
                <w:color w:val="FF0000"/>
              </w:rPr>
            </w:pPr>
            <w:r w:rsidRPr="0030378C">
              <w:rPr>
                <w:color w:val="FF0000"/>
                <w:sz w:val="18"/>
                <w:szCs w:val="18"/>
              </w:rPr>
              <w:t>UdM</w:t>
            </w:r>
          </w:p>
          <w:p w:rsidR="0030378C" w:rsidRPr="0030378C" w:rsidP="0030378C" w14:paraId="1C0A76D9" w14:textId="77777777">
            <w:pPr>
              <w:spacing w:after="120"/>
              <w:jc w:val="both"/>
              <w:rPr>
                <w:color w:val="FF0000"/>
              </w:rPr>
            </w:pPr>
            <w:r w:rsidRPr="0030378C">
              <w:rPr>
                <w:color w:val="FF0000"/>
                <w:sz w:val="18"/>
                <w:szCs w:val="18"/>
              </w:rPr>
              <w:t>PNRR</w:t>
            </w:r>
          </w:p>
        </w:tc>
        <w:tc>
          <w:tcPr>
            <w:tcW w:w="840"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587E1987" w14:textId="77777777">
            <w:pPr>
              <w:spacing w:after="120"/>
              <w:jc w:val="center"/>
              <w:rPr>
                <w:color w:val="FF0000"/>
              </w:rPr>
            </w:pPr>
            <w:r w:rsidRPr="0030378C">
              <w:rPr>
                <w:color w:val="FF0000"/>
                <w:sz w:val="18"/>
                <w:szCs w:val="18"/>
              </w:rPr>
              <w:t>1</w:t>
            </w:r>
          </w:p>
        </w:tc>
        <w:tc>
          <w:tcPr>
            <w:tcW w:w="1123"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78A640CF" w14:textId="77777777">
            <w:pPr>
              <w:spacing w:after="120"/>
              <w:jc w:val="both"/>
              <w:rPr>
                <w:color w:val="FF0000"/>
              </w:rPr>
            </w:pPr>
            <w:r w:rsidRPr="0030378C">
              <w:rPr>
                <w:color w:val="FF0000"/>
                <w:sz w:val="18"/>
                <w:szCs w:val="18"/>
              </w:rPr>
              <w:t>50.005,77 €</w:t>
            </w:r>
          </w:p>
        </w:tc>
        <w:tc>
          <w:tcPr>
            <w:tcW w:w="1248"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1D112D34" w14:textId="77777777">
            <w:pPr>
              <w:spacing w:after="120"/>
              <w:jc w:val="both"/>
              <w:rPr>
                <w:color w:val="FF0000"/>
              </w:rPr>
            </w:pPr>
            <w:r w:rsidRPr="0030378C">
              <w:rPr>
                <w:color w:val="FF0000"/>
                <w:sz w:val="18"/>
                <w:szCs w:val="18"/>
              </w:rPr>
              <w:t>14.515,11 €</w:t>
            </w:r>
          </w:p>
        </w:tc>
        <w:tc>
          <w:tcPr>
            <w:tcW w:w="1248"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36FFDBDD" w14:textId="77777777">
            <w:pPr>
              <w:spacing w:after="120"/>
              <w:jc w:val="both"/>
              <w:rPr>
                <w:color w:val="FF0000"/>
              </w:rPr>
            </w:pPr>
            <w:r w:rsidRPr="0030378C">
              <w:rPr>
                <w:color w:val="FF0000"/>
                <w:sz w:val="18"/>
                <w:szCs w:val="18"/>
              </w:rPr>
              <w:t>32.900,00 €</w:t>
            </w:r>
          </w:p>
        </w:tc>
        <w:tc>
          <w:tcPr>
            <w:tcW w:w="1248"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10A27B10" w14:textId="77777777">
            <w:pPr>
              <w:spacing w:after="120"/>
              <w:jc w:val="both"/>
              <w:rPr>
                <w:color w:val="FF0000"/>
              </w:rPr>
            </w:pPr>
            <w:r w:rsidRPr="0030378C">
              <w:rPr>
                <w:color w:val="FF0000"/>
                <w:sz w:val="18"/>
                <w:szCs w:val="18"/>
              </w:rPr>
              <w:t>37.390,13 €</w:t>
            </w:r>
          </w:p>
        </w:tc>
        <w:tc>
          <w:tcPr>
            <w:tcW w:w="980"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4457DD1E" w14:textId="77777777">
            <w:pPr>
              <w:spacing w:after="120"/>
              <w:jc w:val="both"/>
              <w:rPr>
                <w:color w:val="FF0000"/>
              </w:rPr>
            </w:pPr>
            <w:r w:rsidRPr="0030378C">
              <w:rPr>
                <w:color w:val="FF0000"/>
                <w:sz w:val="18"/>
                <w:szCs w:val="18"/>
              </w:rPr>
              <w:t>9.483,02 €</w:t>
            </w:r>
          </w:p>
        </w:tc>
        <w:tc>
          <w:tcPr>
            <w:tcW w:w="977"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79CAAC99" w14:textId="77777777">
            <w:pPr>
              <w:spacing w:after="120"/>
              <w:jc w:val="both"/>
              <w:rPr>
                <w:color w:val="FF0000"/>
              </w:rPr>
            </w:pPr>
            <w:r w:rsidRPr="0030378C">
              <w:rPr>
                <w:color w:val="FF0000"/>
                <w:sz w:val="18"/>
                <w:szCs w:val="18"/>
              </w:rPr>
              <w:t>3.100,95 €</w:t>
            </w:r>
          </w:p>
        </w:tc>
        <w:tc>
          <w:tcPr>
            <w:tcW w:w="1135"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6F4C6E94" w14:textId="77777777">
            <w:pPr>
              <w:spacing w:after="120"/>
              <w:jc w:val="both"/>
              <w:rPr>
                <w:color w:val="FF0000"/>
              </w:rPr>
            </w:pPr>
            <w:r w:rsidRPr="0030378C">
              <w:rPr>
                <w:color w:val="FF0000"/>
                <w:sz w:val="18"/>
                <w:szCs w:val="18"/>
              </w:rPr>
              <w:t>147.394,98 €</w:t>
            </w:r>
          </w:p>
        </w:tc>
      </w:tr>
      <w:tr w14:paraId="4BAF1C81" w14:textId="77777777" w:rsidTr="004728A4">
        <w:tblPrEx>
          <w:tblW w:w="0" w:type="auto"/>
          <w:tblLook w:val="04A0"/>
        </w:tblPrEx>
        <w:trPr>
          <w:trHeight w:val="315"/>
        </w:trPr>
        <w:tc>
          <w:tcPr>
            <w:tcW w:w="8493" w:type="dxa"/>
            <w:gridSpan w:val="8"/>
            <w:tcBorders>
              <w:top w:val="single" w:sz="4" w:space="0" w:color="auto"/>
              <w:left w:val="single" w:sz="4" w:space="0" w:color="auto"/>
              <w:bottom w:val="single" w:sz="4" w:space="0" w:color="auto"/>
              <w:right w:val="single" w:sz="4" w:space="0" w:color="auto"/>
            </w:tcBorders>
            <w:tcMar>
              <w:left w:w="70" w:type="dxa"/>
              <w:right w:w="70" w:type="dxa"/>
            </w:tcMar>
            <w:vAlign w:val="center"/>
          </w:tcPr>
          <w:p w:rsidR="0030378C" w:rsidRPr="0030378C" w:rsidP="0030378C" w14:paraId="0E8159A4" w14:textId="77777777">
            <w:pPr>
              <w:spacing w:after="120"/>
              <w:jc w:val="both"/>
              <w:rPr>
                <w:color w:val="FF0000"/>
              </w:rPr>
            </w:pPr>
            <w:r w:rsidRPr="0030378C">
              <w:rPr>
                <w:b/>
                <w:bCs/>
                <w:color w:val="FF0000"/>
                <w:sz w:val="18"/>
                <w:szCs w:val="18"/>
              </w:rPr>
              <w:t>TOTALE FONDO DIRIGENTI NON GENERALI PNRR</w:t>
            </w:r>
          </w:p>
        </w:tc>
        <w:tc>
          <w:tcPr>
            <w:tcW w:w="1135" w:type="dxa"/>
            <w:tcBorders>
              <w:top w:val="single" w:sz="4" w:space="0" w:color="auto"/>
              <w:left w:val="nil"/>
              <w:bottom w:val="single" w:sz="4" w:space="0" w:color="auto"/>
              <w:right w:val="single" w:sz="4" w:space="0" w:color="auto"/>
            </w:tcBorders>
            <w:tcMar>
              <w:left w:w="70" w:type="dxa"/>
              <w:right w:w="70" w:type="dxa"/>
            </w:tcMar>
            <w:vAlign w:val="center"/>
          </w:tcPr>
          <w:p w:rsidR="0030378C" w:rsidRPr="0030378C" w:rsidP="0030378C" w14:paraId="1358AB44" w14:textId="77777777">
            <w:pPr>
              <w:spacing w:after="120"/>
              <w:jc w:val="both"/>
              <w:rPr>
                <w:color w:val="FF0000"/>
              </w:rPr>
            </w:pPr>
            <w:r w:rsidRPr="0030378C">
              <w:rPr>
                <w:b/>
                <w:bCs/>
                <w:color w:val="FF0000"/>
                <w:sz w:val="18"/>
                <w:szCs w:val="18"/>
              </w:rPr>
              <w:t>442.184,94 €</w:t>
            </w:r>
          </w:p>
        </w:tc>
      </w:tr>
    </w:tbl>
    <w:p w:rsidR="004728A4" w:rsidRPr="00762492" w:rsidP="007D20FA" w14:paraId="153192AD" w14:textId="531813AA">
      <w:pPr>
        <w:spacing w:before="200" w:after="120"/>
        <w:jc w:val="both"/>
      </w:pPr>
      <w:r w:rsidRPr="00762492">
        <w:t xml:space="preserve">Il </w:t>
      </w:r>
      <w:r w:rsidRPr="00702C70">
        <w:rPr>
          <w:b/>
          <w:bCs/>
          <w:u w:val="single"/>
        </w:rPr>
        <w:t>comma 8</w:t>
      </w:r>
      <w:r w:rsidRPr="00702C70">
        <w:t xml:space="preserve"> </w:t>
      </w:r>
      <w:r w:rsidRPr="00762492">
        <w:t xml:space="preserve">relativamente alla gestione delle risorse assegnate all’Unità di Missione PNRR presso il Ministero delle infrastrutture e dei trasporti, provvede ad estendere l’ambito delle spese autorizzate anche ad attività ulteriori rispetto a quelle attualmente previste. </w:t>
      </w:r>
    </w:p>
    <w:p w:rsidR="004728A4" w:rsidRPr="00762492" w:rsidP="004728A4" w14:paraId="26F5EC95" w14:textId="6C4886DA">
      <w:pPr>
        <w:spacing w:after="120"/>
        <w:jc w:val="both"/>
      </w:pPr>
      <w:r w:rsidRPr="00762492">
        <w:t>Tale disposizione introduce una modifica di carattere tecnico-funzionale, che non incide sul quadro complessivo delle risorse già stanziate, ma ne consente un impiego più razionale ed efficiente. L’obiettivo è assicurare che le risorse assegnate possano effettivamente sostenere tutte le attività funzionali al presidio e alla corretta attuazione del PNRR, ivi incluse quelle di tipo operativo, logistico, organizzativo, istituzionale e relazionale.</w:t>
      </w:r>
    </w:p>
    <w:p w:rsidR="004728A4" w:rsidRPr="00762492" w:rsidP="004728A4" w14:paraId="0A12D486" w14:textId="3A25F1E2">
      <w:pPr>
        <w:spacing w:after="120"/>
        <w:jc w:val="both"/>
        <w:rPr>
          <w:b/>
          <w:bCs/>
        </w:rPr>
      </w:pPr>
      <w:r w:rsidRPr="00762492">
        <w:rPr>
          <w:b/>
          <w:bCs/>
        </w:rPr>
        <w:t>Conseguentemente, le previsioni in rassegna non comportano nuovi o maggiori oneri per la finanza pubblica.</w:t>
      </w:r>
    </w:p>
    <w:p w:rsidR="004728A4" w:rsidRPr="00115646" w:rsidP="004728A4" w14:paraId="79599112" w14:textId="4924B91A">
      <w:pPr>
        <w:spacing w:after="120"/>
        <w:jc w:val="both"/>
      </w:pPr>
      <w:r w:rsidRPr="00115646">
        <w:t xml:space="preserve">Il </w:t>
      </w:r>
      <w:r w:rsidRPr="00115646">
        <w:rPr>
          <w:b/>
          <w:bCs/>
          <w:u w:val="single"/>
        </w:rPr>
        <w:t>comma 9</w:t>
      </w:r>
      <w:r w:rsidRPr="00115646">
        <w:rPr>
          <w:b/>
          <w:bCs/>
        </w:rPr>
        <w:t xml:space="preserve"> </w:t>
      </w:r>
      <w:r w:rsidRPr="00115646">
        <w:t>è volto ad assicurare il corretto e tempestivo svolgimento delle attività di verifica amministrativo-contabile, validazione delle rendicontazioni e monitoraggio procedurale degli interventi rientranti nella Missione 3, Componente 1 (Infrastrutture ferroviarie), del PNRR. Nello specifico, la norma autorizza la spesa di euro 700.000 per l’anno 2026 per potenziare le strutture preposte ai controlli di II livello e al monitoraggio fisico-finanziario degli investimenti.</w:t>
      </w:r>
    </w:p>
    <w:p w:rsidR="004728A4" w:rsidRPr="007D20FA" w:rsidP="004728A4" w14:paraId="6DBFE549" w14:textId="228DC0DB">
      <w:pPr>
        <w:spacing w:after="120"/>
        <w:jc w:val="both"/>
      </w:pPr>
      <w:r w:rsidRPr="007D20FA">
        <w:t>L’onere complessivo, quantificato in euro 700.000 per l’anno 2026, è stato determinato ipotizzando</w:t>
      </w:r>
      <w:r w:rsidRPr="00115646">
        <w:t xml:space="preserve"> </w:t>
      </w:r>
      <w:r w:rsidRPr="007D20FA">
        <w:t>l’acquisizione di servizi di supporto specialistico esterno necessari per far fronte al picco di attività di rendicontazione previsto nell’esercizio 2026 (fase conclusiva di numerosi interventi PNRR).</w:t>
      </w:r>
    </w:p>
    <w:p w:rsidR="009738AB" w:rsidRPr="007D20FA" w:rsidP="009738AB" w14:paraId="18C19804" w14:textId="1E5D02A2">
      <w:pPr>
        <w:spacing w:after="120"/>
        <w:jc w:val="both"/>
        <w:rPr>
          <w:color w:val="0070C0"/>
        </w:rPr>
      </w:pPr>
      <w:r w:rsidRPr="007D20FA">
        <w:rPr>
          <w:color w:val="0070C0"/>
        </w:rPr>
        <w:t>Si riportano di seguito gli elementi di dettaglio utili ai fini della verifica di congruità dell’autorizzazione di spesa di cui alla presente disposizione, sulla base di apposito preventivo di spesa richiesto a RAM S.p.A., specializzata nei servizi di supporto specialistico esterno:</w:t>
      </w:r>
    </w:p>
    <w:p w:rsidR="009738AB" w:rsidRPr="007D20FA" w:rsidP="009738AB" w14:paraId="55F1994F" w14:textId="77777777">
      <w:pPr>
        <w:spacing w:after="120"/>
        <w:jc w:val="both"/>
        <w:rPr>
          <w:color w:val="0070C0"/>
        </w:rPr>
      </w:pPr>
      <w:r w:rsidRPr="007D20FA">
        <w:rPr>
          <w:color w:val="0070C0"/>
        </w:rPr>
        <w:t>- il costo totale per la realizzazione delle attività previste per l'assistenza tecnica della misura M3C1 del PNRR fino al 31 dicembre 2026, risulta pari a € 700.463,00 (IVA inclusa) arrotondato per difetto a € 700.000,00 IVA inclusa, come dal seguente prospetto:</w:t>
      </w:r>
    </w:p>
    <w:p w:rsidR="00E258CA" w:rsidP="004E12AF" w14:paraId="0D96752A" w14:textId="2DBBB19E">
      <w:pPr>
        <w:spacing w:after="160" w:line="276" w:lineRule="auto"/>
        <w:jc w:val="center"/>
        <w:rPr>
          <w:color w:val="000000" w:themeColor="text1"/>
        </w:rPr>
      </w:pPr>
      <w:r>
        <w:rPr>
          <w:noProof/>
        </w:rPr>
        <w:drawing>
          <wp:inline distT="0" distB="0" distL="0" distR="0">
            <wp:extent cx="4118458" cy="1347358"/>
            <wp:effectExtent l="0" t="0" r="0" b="5715"/>
            <wp:docPr id="127606874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068748" name="Picture 2"/>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143649" cy="1355599"/>
                    </a:xfrm>
                    <a:prstGeom prst="rect">
                      <a:avLst/>
                    </a:prstGeom>
                    <a:noFill/>
                  </pic:spPr>
                </pic:pic>
              </a:graphicData>
            </a:graphic>
          </wp:inline>
        </w:drawing>
      </w:r>
    </w:p>
    <w:p w:rsidR="00E258CA" w:rsidRPr="007D20FA" w:rsidP="007D20FA" w14:paraId="4B51F779" w14:textId="7B11512F">
      <w:pPr>
        <w:spacing w:after="160"/>
        <w:jc w:val="both"/>
        <w:rPr>
          <w:color w:val="0070C0"/>
        </w:rPr>
      </w:pPr>
      <w:r w:rsidRPr="007D20FA">
        <w:rPr>
          <w:color w:val="0070C0"/>
        </w:rPr>
        <w:t xml:space="preserve">- per lo svolgimento delle suddette attività, per la durata complessiva di 11 mesi (dal mese di febbraio 2026 fino al 31 dicembre 2026) sono previsti costi di personale </w:t>
      </w:r>
      <w:r w:rsidRPr="007D20FA">
        <w:rPr>
          <w:color w:val="0070C0"/>
        </w:rPr>
        <w:t xml:space="preserve">per  </w:t>
      </w:r>
      <w:r w:rsidR="007C53C8">
        <w:rPr>
          <w:color w:val="0070C0"/>
        </w:rPr>
        <w:t>euro</w:t>
      </w:r>
      <w:r w:rsidR="007C53C8">
        <w:rPr>
          <w:color w:val="0070C0"/>
        </w:rPr>
        <w:t xml:space="preserve"> </w:t>
      </w:r>
      <w:r w:rsidRPr="007D20FA">
        <w:rPr>
          <w:color w:val="0070C0"/>
        </w:rPr>
        <w:t>434.150,00, come dal prospetto che segue, ove è indicata la stima complessiva dell'utilizzo delle risorse per profilo professionale:</w:t>
      </w:r>
    </w:p>
    <w:p w:rsidR="00E258CA" w:rsidP="007D20FA" w14:paraId="7C8D16FD" w14:textId="34FCDA19">
      <w:pPr>
        <w:spacing w:after="160"/>
        <w:jc w:val="center"/>
        <w:rPr>
          <w:color w:val="000000" w:themeColor="text1"/>
        </w:rPr>
      </w:pPr>
      <w:r>
        <w:rPr>
          <w:noProof/>
        </w:rPr>
        <w:drawing>
          <wp:inline distT="0" distB="0" distL="0" distR="0">
            <wp:extent cx="4438015" cy="1286510"/>
            <wp:effectExtent l="0" t="0" r="635" b="8890"/>
            <wp:docPr id="17531064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10641" name="Picture 3"/>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4438015" cy="1286510"/>
                    </a:xfrm>
                    <a:prstGeom prst="rect">
                      <a:avLst/>
                    </a:prstGeom>
                    <a:noFill/>
                  </pic:spPr>
                </pic:pic>
              </a:graphicData>
            </a:graphic>
          </wp:inline>
        </w:drawing>
      </w:r>
    </w:p>
    <w:p w:rsidR="00051363" w:rsidRPr="00051363" w:rsidP="007D20FA" w14:paraId="1E0A4302" w14:textId="67B56E4F">
      <w:pPr>
        <w:spacing w:after="160"/>
        <w:jc w:val="both"/>
        <w:rPr>
          <w:color w:val="0070C0"/>
        </w:rPr>
      </w:pPr>
      <w:r w:rsidRPr="00051363">
        <w:rPr>
          <w:color w:val="0070C0"/>
        </w:rPr>
        <w:t>- per lo svolgimento delle suddette attività, è prevista la spesa di € 140.000 (cfr. voce “Altri costi”) che afferiscono, a titolo esemplificativo, alle spese sostenute in relazione a: costi per materiali di cancelleria; costi per visure camerali e altri approfondimenti collegati alle attività di istruttoria affidate; costi per attività di comunicazione o spese legali; altri costi di produzione, affidamento esterno di servizi per consulenze necessari per il supporto specialistico.</w:t>
      </w:r>
    </w:p>
    <w:p w:rsidR="00051363" w:rsidRPr="00051363" w:rsidP="007D20FA" w14:paraId="0AB95E66" w14:textId="0F709DEA">
      <w:pPr>
        <w:spacing w:after="160"/>
        <w:jc w:val="both"/>
        <w:rPr>
          <w:color w:val="0070C0"/>
        </w:rPr>
      </w:pPr>
      <w:r w:rsidRPr="00051363">
        <w:rPr>
          <w:color w:val="0070C0"/>
        </w:rPr>
        <w:t>Si fornisce, di seguito, il cronoprogramma delle attività ipotizzato:</w:t>
      </w:r>
    </w:p>
    <w:p w:rsidR="00B00F26" w:rsidP="0053464C" w14:paraId="5C35E93A" w14:textId="05F79F14">
      <w:pPr>
        <w:spacing w:after="160" w:line="276" w:lineRule="auto"/>
        <w:rPr>
          <w:color w:val="000000" w:themeColor="text1"/>
        </w:rPr>
      </w:pPr>
      <w:r>
        <w:rPr>
          <w:noProof/>
        </w:rPr>
        <w:drawing>
          <wp:inline distT="0" distB="0" distL="0" distR="0">
            <wp:extent cx="6120765" cy="1975104"/>
            <wp:effectExtent l="0" t="0" r="0" b="6350"/>
            <wp:docPr id="157267275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72758" name="Picture 4"/>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7739" cy="1977354"/>
                    </a:xfrm>
                    <a:prstGeom prst="rect">
                      <a:avLst/>
                    </a:prstGeom>
                    <a:noFill/>
                  </pic:spPr>
                </pic:pic>
              </a:graphicData>
            </a:graphic>
          </wp:inline>
        </w:drawing>
      </w:r>
    </w:p>
    <w:p w:rsidR="00B00F26" w:rsidP="007D20FA" w14:paraId="6FA4D5AB" w14:textId="5966C891">
      <w:pPr>
        <w:spacing w:after="160"/>
        <w:jc w:val="both"/>
        <w:rPr>
          <w:color w:val="000000" w:themeColor="text1"/>
        </w:rPr>
      </w:pPr>
      <w:r w:rsidRPr="007D20FA">
        <w:rPr>
          <w:color w:val="000000" w:themeColor="text1"/>
        </w:rPr>
        <w:t xml:space="preserve">Agli oneri derivanti dalla presente disposizione, pari a euro 700.000 per l’anno 2026, si provvede mediante corrispondente riduzione dell'accantonamento del fondo speciale di parte corrente (Tabella A), relativo al Ministero delle infrastrutture e dei trasporti, iscritto nel bilancio triennale 2026-2028. Il </w:t>
      </w:r>
      <w:r w:rsidRPr="007D20FA">
        <w:rPr>
          <w:color w:val="000000" w:themeColor="text1"/>
        </w:rPr>
        <w:t>predetto</w:t>
      </w:r>
      <w:r w:rsidRPr="007D20FA">
        <w:rPr>
          <w:color w:val="000000" w:themeColor="text1"/>
        </w:rPr>
        <w:t xml:space="preserve"> accantonamento reca le necessarie disponibilità e la copertura non pregiudica la realizzazione di altri interventi già programmati a valere sulle medesime risorse.</w:t>
      </w:r>
    </w:p>
    <w:p w:rsidR="00C945CB" w:rsidRPr="00987C41" w:rsidP="00974E6B" w14:paraId="5DC5A81F" w14:textId="1DB34EF9">
      <w:pPr>
        <w:spacing w:after="160"/>
        <w:jc w:val="both"/>
      </w:pPr>
      <w:r w:rsidRPr="209E2A2E">
        <w:rPr>
          <w:color w:val="000000" w:themeColor="text1"/>
        </w:rPr>
        <w:t xml:space="preserve">Il </w:t>
      </w:r>
      <w:r w:rsidRPr="209E2A2E">
        <w:rPr>
          <w:b/>
          <w:bCs/>
          <w:color w:val="000000" w:themeColor="text1"/>
          <w:u w:val="single"/>
        </w:rPr>
        <w:t>comma</w:t>
      </w:r>
      <w:r w:rsidRPr="001D5A25">
        <w:rPr>
          <w:b/>
          <w:bCs/>
          <w:u w:val="single"/>
        </w:rPr>
        <w:t xml:space="preserve"> 10</w:t>
      </w:r>
      <w:r w:rsidRPr="001D5A25">
        <w:t xml:space="preserve"> </w:t>
      </w:r>
      <w:r w:rsidRPr="209E2A2E">
        <w:rPr>
          <w:color w:val="000000" w:themeColor="text1"/>
        </w:rPr>
        <w:t xml:space="preserve">al fine di assicurare continuità nell’erogazione di adeguato supporto tecnico-operativo nella fase di gestione e rendicontazione degli obiettivi e dei traguardi inclusi nel Piano, proroga fino all'aggiudicazione delle nuove procedure di gara e, comunque, non oltre il termine di conclusione delle attività di rendicontazione e chiusura del PNRR, tutti i vigenti accordi quadro, convenzioni e i contratti quadro relativi all’affidamento di servizi applicativi in cloud, di servizi di Demand e di PMO </w:t>
      </w:r>
      <w:r w:rsidRPr="0EE09E5A" w:rsidR="0E4C0EFE">
        <w:rPr>
          <w:color w:val="000000" w:themeColor="text1"/>
        </w:rPr>
        <w:t>ovvero di servizi specialistici di supporto alla trasformazione digitale,</w:t>
      </w:r>
      <w:r w:rsidRPr="0EE09E5A" w:rsidR="7613C6E1">
        <w:rPr>
          <w:color w:val="000000" w:themeColor="text1"/>
        </w:rPr>
        <w:t xml:space="preserve"> </w:t>
      </w:r>
      <w:r w:rsidRPr="209E2A2E">
        <w:rPr>
          <w:color w:val="000000" w:themeColor="text1"/>
        </w:rPr>
        <w:t xml:space="preserve"> da erogare in favore delle Amministrazioni centrali titolari di programmi o interventi finanziati con le risorse del PNRR ovvero con altre risorse europee, che siano in corso alla data di entrata in vigore del presente decreto. La proroga avviene alle medesime condizioni materiali e finanziarie già oggetto dell’iniziale aggiudicazione, pur nel limite massimo del 50% del valore iniziale della convenzione o dell'accordo quadro. </w:t>
      </w:r>
    </w:p>
    <w:p w:rsidR="00C945CB" w:rsidRPr="00987C41" w:rsidP="00C945CB" w14:paraId="6AA3D487" w14:textId="22188F94">
      <w:pPr>
        <w:spacing w:after="120"/>
        <w:jc w:val="both"/>
      </w:pPr>
      <w:r w:rsidRPr="209E2A2E">
        <w:rPr>
          <w:b/>
          <w:bCs/>
          <w:color w:val="000000" w:themeColor="text1"/>
        </w:rPr>
        <w:t xml:space="preserve">In termini finanziari, si segnala che l’estensione del 50% del </w:t>
      </w:r>
      <w:r w:rsidRPr="209E2A2E">
        <w:rPr>
          <w:b/>
          <w:bCs/>
          <w:i/>
          <w:iCs/>
          <w:color w:val="000000" w:themeColor="text1"/>
        </w:rPr>
        <w:t>plafond</w:t>
      </w:r>
      <w:r w:rsidRPr="209E2A2E">
        <w:rPr>
          <w:b/>
          <w:bCs/>
          <w:color w:val="000000" w:themeColor="text1"/>
        </w:rPr>
        <w:t xml:space="preserve"> degli strumenti Consip non determina nuovi o maggiori oneri a carico della finanza pubblica, tenuto conto che i corrispondenti oneri finanziari saranno posti a carico, nei limiti della relativa disponibilità, dei quadri economici riferibili ai singoli accordi, convenzioni o contratti quadro oggetto di proroga.</w:t>
      </w:r>
    </w:p>
    <w:p w:rsidR="00C945CB" w:rsidRPr="00DE2BDA" w:rsidP="00C945CB" w14:paraId="6A1C820D" w14:textId="1C3CDEB3">
      <w:pPr>
        <w:spacing w:after="120"/>
        <w:jc w:val="both"/>
      </w:pPr>
      <w:r w:rsidRPr="209E2A2E">
        <w:rPr>
          <w:color w:val="000000" w:themeColor="text1"/>
        </w:rPr>
        <w:t xml:space="preserve">Il </w:t>
      </w:r>
      <w:r w:rsidRPr="00207E8C">
        <w:rPr>
          <w:b/>
          <w:bCs/>
          <w:u w:val="single"/>
        </w:rPr>
        <w:t>comma 11</w:t>
      </w:r>
      <w:r w:rsidRPr="00207E8C">
        <w:t xml:space="preserve">, </w:t>
      </w:r>
      <w:r w:rsidRPr="209E2A2E">
        <w:rPr>
          <w:color w:val="000000" w:themeColor="text1"/>
        </w:rPr>
        <w:t xml:space="preserve">poi, </w:t>
      </w:r>
      <w:r w:rsidRPr="00DE2BDA">
        <w:t xml:space="preserve">demanda ad un decreto del Ministro per la pubblica Amministrazione, di concerto con il Ministro per gli affari europei, il PNRR e le politiche di coesione e il Ministro dell'economia e delle finanze l’individuazione, entro il limite di 100 milioni di euro complessivi, di iniziative di supporto da attivare per assicurare l’attuazione e rendicontazione degli obiettivi e dei traguardi del PNRR, con particolare riguardo ai quelli inseriti a seguito della decisione di esecuzione del Consiglio del 27 novembre 2025, e per dare attuazione alle finalità di cui al comma precedente. Tra tali iniziative, è espressamente contemplata l’indizione, ad opera di Consip S.p.A., di nuove procedure di gara per la sottoscrizione di accordi quadro, di convenzioni e di contratti quadro finalizzati all’affidamento, da parte delle Amministrazioni centrali titolari di programmi o interventi finanziati con le risorse del PNRR, dei servizi applicativi in cloud, </w:t>
      </w:r>
      <w:r w:rsidRPr="00DE2BDA" w:rsidR="51D58A31">
        <w:t xml:space="preserve">servizi di </w:t>
      </w:r>
      <w:r w:rsidRPr="00DE2BDA" w:rsidR="7613C6E1">
        <w:t>Demand e PMO</w:t>
      </w:r>
      <w:r w:rsidRPr="00DE2BDA" w:rsidR="7E0D2CDE">
        <w:t xml:space="preserve">, </w:t>
      </w:r>
      <w:r w:rsidRPr="00DE2BDA" w:rsidR="376F110F">
        <w:t xml:space="preserve">e dei servizi specialistici </w:t>
      </w:r>
      <w:r w:rsidRPr="00DE2BDA" w:rsidR="7E0D2CDE">
        <w:t>in materia di supporto alla trasformazione digitale</w:t>
      </w:r>
      <w:r w:rsidRPr="00DE2BDA" w:rsidR="7613C6E1">
        <w:t>.</w:t>
      </w:r>
    </w:p>
    <w:p w:rsidR="00C945CB" w:rsidP="00C945CB" w14:paraId="648B3DAD" w14:textId="614AEBB7">
      <w:pPr>
        <w:spacing w:after="120"/>
        <w:jc w:val="both"/>
        <w:rPr>
          <w:rFonts w:eastAsiaTheme="minorEastAsia"/>
          <w:b/>
        </w:rPr>
      </w:pPr>
      <w:r w:rsidRPr="209E2A2E">
        <w:rPr>
          <w:b/>
          <w:bCs/>
          <w:color w:val="000000" w:themeColor="text1"/>
        </w:rPr>
        <w:t xml:space="preserve">In termini finanziari, gli oneri derivanti dall’applicazione del presente comma sono individuabili nei costi conseguenti alla conclusione di accordi, convenzioni e contratti quadro da parte di Consip S.p.A., che la stessa norma fissa nel limite massimo di 100.000.000,00 euro.  Tale importo sarà coperto a valere sulle risorse riferibili all’Investimento 1.9 della Missione 1, Componente 1, del PNRR, </w:t>
      </w:r>
      <w:r w:rsidRPr="209E2A2E">
        <w:rPr>
          <w:b/>
          <w:bCs/>
        </w:rPr>
        <w:t>“</w:t>
      </w:r>
      <w:r w:rsidRPr="209E2A2E">
        <w:rPr>
          <w:b/>
          <w:bCs/>
          <w:i/>
          <w:iCs/>
        </w:rPr>
        <w:t>Fornire assistenza tecnica e rafforzare la creazione di capacità per l’attuazione del PNRR</w:t>
      </w:r>
      <w:r w:rsidRPr="209E2A2E">
        <w:rPr>
          <w:b/>
          <w:bCs/>
        </w:rPr>
        <w:t xml:space="preserve">”, finanziata dal Fondo Next Generation EU-Italia, che presenta, ai sopra riferiti fini, idonea disponibilità. </w:t>
      </w:r>
    </w:p>
    <w:p w:rsidR="00186260" w:rsidRPr="002A33F5" w:rsidP="00186260" w14:paraId="1C0B8597" w14:textId="19809D2A">
      <w:pPr>
        <w:spacing w:after="120"/>
        <w:jc w:val="both"/>
        <w:rPr>
          <w:rStyle w:val="eop"/>
          <w:rFonts w:eastAsiaTheme="majorEastAsia"/>
          <w:color w:val="FF0000"/>
          <w:shd w:val="clear" w:color="auto" w:fill="FFFFFF"/>
        </w:rPr>
      </w:pPr>
      <w:r w:rsidRPr="002A33F5">
        <w:rPr>
          <w:rStyle w:val="normaltextrun"/>
          <w:rFonts w:eastAsiaTheme="majorEastAsia"/>
          <w:color w:val="FF0000"/>
          <w:shd w:val="clear" w:color="auto" w:fill="FFFFFF"/>
        </w:rPr>
        <w:t>Al </w:t>
      </w:r>
      <w:r w:rsidRPr="002A33F5">
        <w:rPr>
          <w:rStyle w:val="normaltextrun"/>
          <w:rFonts w:eastAsiaTheme="majorEastAsia"/>
          <w:b/>
          <w:bCs/>
          <w:color w:val="FF0000"/>
          <w:u w:val="single"/>
          <w:shd w:val="clear" w:color="auto" w:fill="FFFFFF"/>
        </w:rPr>
        <w:t>comma 12</w:t>
      </w:r>
      <w:r w:rsidRPr="002A33F5">
        <w:rPr>
          <w:rStyle w:val="normaltextrun"/>
          <w:rFonts w:eastAsiaTheme="majorEastAsia"/>
          <w:b/>
          <w:bCs/>
          <w:color w:val="FF0000"/>
          <w:shd w:val="clear" w:color="auto" w:fill="FFFFFF"/>
        </w:rPr>
        <w:t> </w:t>
      </w:r>
      <w:r w:rsidRPr="002A33F5">
        <w:rPr>
          <w:rStyle w:val="normaltextrun"/>
          <w:rFonts w:eastAsiaTheme="majorEastAsia"/>
          <w:color w:val="FF0000"/>
          <w:shd w:val="clear" w:color="auto" w:fill="FFFFFF"/>
        </w:rPr>
        <w:t>si istituisce una posizione dirigenziale generale di consulenza, studio e ricerca presso il Dipartimento delle finanze del Ministero dell’economia e delle finanze, con funzioni di monitoraggio delle misure attuative della Riforma 1.12 del PNRR. </w:t>
      </w:r>
      <w:r w:rsidRPr="002A33F5">
        <w:rPr>
          <w:rStyle w:val="normaltextrun"/>
          <w:rFonts w:eastAsiaTheme="majorEastAsia"/>
          <w:b/>
          <w:bCs/>
          <w:color w:val="FF0000"/>
          <w:shd w:val="clear" w:color="auto" w:fill="FFFFFF"/>
        </w:rPr>
        <w:t>Dal punto di vista finanziario, la presente disposizione non determina nuovi o maggiori oneri a carico della finanza pubblica, atteso che la copertura finanziaria dei costi legati all’operatività della nuova figura dirigenziale di livello generale sarà garantita dalle risorse liberate a seguito della contestuale soppressione, nell’ambito della dotazione organica del medesimo Dipartimento, di un numero di posizioni dirigenziali di livello non generale equivalente sul piano finanziario.</w:t>
      </w:r>
      <w:r w:rsidRPr="002A33F5">
        <w:rPr>
          <w:rStyle w:val="eop"/>
          <w:rFonts w:eastAsiaTheme="majorEastAsia"/>
          <w:color w:val="FF0000"/>
          <w:shd w:val="clear" w:color="auto" w:fill="FFFFFF"/>
        </w:rPr>
        <w:t> </w:t>
      </w:r>
    </w:p>
    <w:p w:rsidR="00186260" w:rsidRPr="002A33F5" w:rsidP="00186260" w14:paraId="2405A80C" w14:textId="091B2CD3">
      <w:pPr>
        <w:spacing w:after="120"/>
        <w:jc w:val="both"/>
        <w:rPr>
          <w:rFonts w:eastAsiaTheme="majorEastAsia"/>
          <w:color w:val="FF0000"/>
          <w:shd w:val="clear" w:color="auto" w:fill="FFFFFF"/>
        </w:rPr>
      </w:pPr>
      <w:r w:rsidRPr="002A33F5">
        <w:rPr>
          <w:rFonts w:eastAsiaTheme="majorEastAsia"/>
          <w:color w:val="FF0000"/>
          <w:shd w:val="clear" w:color="auto" w:fill="FFFFFF"/>
        </w:rPr>
        <w:t xml:space="preserve">Il </w:t>
      </w:r>
      <w:r w:rsidRPr="002A33F5">
        <w:rPr>
          <w:rFonts w:eastAsiaTheme="majorEastAsia"/>
          <w:b/>
          <w:bCs/>
          <w:color w:val="FF0000"/>
          <w:u w:val="single"/>
          <w:shd w:val="clear" w:color="auto" w:fill="FFFFFF"/>
        </w:rPr>
        <w:t>comma 13</w:t>
      </w:r>
      <w:r w:rsidRPr="002A33F5">
        <w:rPr>
          <w:rFonts w:eastAsiaTheme="majorEastAsia"/>
          <w:color w:val="FF0000"/>
          <w:shd w:val="clear" w:color="auto" w:fill="FFFFFF"/>
        </w:rPr>
        <w:t xml:space="preserve"> novella l’articolo 10, comma 7-</w:t>
      </w:r>
      <w:r w:rsidRPr="002A33F5">
        <w:rPr>
          <w:rFonts w:eastAsiaTheme="majorEastAsia"/>
          <w:i/>
          <w:iCs/>
          <w:color w:val="FF0000"/>
          <w:shd w:val="clear" w:color="auto" w:fill="FFFFFF"/>
        </w:rPr>
        <w:t>novies</w:t>
      </w:r>
      <w:r w:rsidRPr="002A33F5">
        <w:rPr>
          <w:rFonts w:eastAsiaTheme="majorEastAsia"/>
          <w:color w:val="FF0000"/>
          <w:shd w:val="clear" w:color="auto" w:fill="FFFFFF"/>
        </w:rPr>
        <w:t xml:space="preserve">, del decreto-legge n. </w:t>
      </w:r>
      <w:r w:rsidRPr="002A33F5" w:rsidR="00DA104A">
        <w:rPr>
          <w:rFonts w:eastAsiaTheme="majorEastAsia"/>
          <w:color w:val="FF0000"/>
          <w:shd w:val="clear" w:color="auto" w:fill="FFFFFF"/>
        </w:rPr>
        <w:t>121</w:t>
      </w:r>
      <w:r w:rsidR="00A41792">
        <w:rPr>
          <w:rFonts w:eastAsiaTheme="majorEastAsia"/>
          <w:color w:val="FF0000"/>
          <w:shd w:val="clear" w:color="auto" w:fill="FFFFFF"/>
        </w:rPr>
        <w:t xml:space="preserve"> </w:t>
      </w:r>
      <w:r w:rsidRPr="002A33F5" w:rsidR="00DA104A">
        <w:rPr>
          <w:rFonts w:eastAsiaTheme="majorEastAsia"/>
          <w:color w:val="FF0000"/>
          <w:shd w:val="clear" w:color="auto" w:fill="FFFFFF"/>
        </w:rPr>
        <w:t>del</w:t>
      </w:r>
      <w:r w:rsidRPr="002A33F5">
        <w:rPr>
          <w:rFonts w:eastAsiaTheme="majorEastAsia"/>
          <w:color w:val="FF0000"/>
          <w:shd w:val="clear" w:color="auto" w:fill="FFFFFF"/>
        </w:rPr>
        <w:t xml:space="preserve"> 2021 al fine di ampliare l’ambito oggettivo dell’assistenza tecnica di Cassa depositi e prestiti S.p.A., estendendolo a tutti i piani e strumenti di programmazione pubblica, non solo quelli di matrice europea ma anche nazionale, regionale o locale, potendo realizzare sinergie tra diverse programmazioni e fonti di finanziamento.</w:t>
      </w:r>
    </w:p>
    <w:p w:rsidR="00186260" w:rsidRPr="00D44879" w:rsidP="00186260" w14:paraId="7BE24CDB" w14:textId="77777777">
      <w:pPr>
        <w:spacing w:after="160" w:line="278" w:lineRule="auto"/>
        <w:jc w:val="both"/>
        <w:rPr>
          <w:rFonts w:ascii="Book Antiqua" w:hAnsi="Book Antiqua" w:eastAsiaTheme="minorHAnsi" w:cstheme="minorBidi"/>
          <w:b/>
          <w:bCs/>
          <w:noProof/>
          <w:color w:val="FF0000"/>
          <w:kern w:val="2"/>
          <w:lang w:eastAsia="en-US"/>
          <w14:ligatures w14:val="standardContextual"/>
        </w:rPr>
      </w:pPr>
      <w:r w:rsidRPr="002A33F5">
        <w:rPr>
          <w:rFonts w:eastAsiaTheme="majorEastAsia"/>
          <w:b/>
          <w:bCs/>
          <w:color w:val="FF0000"/>
          <w:shd w:val="clear" w:color="auto" w:fill="FFFFFF"/>
        </w:rPr>
        <w:t xml:space="preserve">La disposizione in esame non determina nuovi o maggiori oneri a carico della finanza </w:t>
      </w:r>
      <w:r w:rsidRPr="00D44879">
        <w:rPr>
          <w:rFonts w:eastAsiaTheme="majorEastAsia"/>
          <w:b/>
          <w:bCs/>
          <w:color w:val="FF0000"/>
          <w:shd w:val="clear" w:color="auto" w:fill="FFFFFF"/>
        </w:rPr>
        <w:t xml:space="preserve">pubblica. </w:t>
      </w:r>
    </w:p>
    <w:p w:rsidR="00186260" w:rsidRPr="00D44879" w:rsidP="00186260" w14:paraId="6B7AF3EB" w14:textId="70EF2E6D">
      <w:pPr>
        <w:spacing w:after="120"/>
        <w:jc w:val="both"/>
        <w:rPr>
          <w:rFonts w:eastAsiaTheme="majorEastAsia"/>
          <w:color w:val="FF0000"/>
          <w:shd w:val="clear" w:color="auto" w:fill="FFFFFF"/>
        </w:rPr>
      </w:pPr>
      <w:r w:rsidRPr="00D44879">
        <w:rPr>
          <w:rStyle w:val="eop"/>
          <w:rFonts w:eastAsiaTheme="majorEastAsia"/>
          <w:color w:val="FF0000"/>
          <w:shd w:val="clear" w:color="auto" w:fill="FFFFFF"/>
        </w:rPr>
        <w:t xml:space="preserve">Il </w:t>
      </w:r>
      <w:r w:rsidRPr="00D44879">
        <w:rPr>
          <w:rStyle w:val="eop"/>
          <w:rFonts w:eastAsiaTheme="majorEastAsia"/>
          <w:b/>
          <w:bCs/>
          <w:color w:val="FF0000"/>
          <w:u w:val="single"/>
          <w:shd w:val="clear" w:color="auto" w:fill="FFFFFF"/>
        </w:rPr>
        <w:t>comma 14</w:t>
      </w:r>
      <w:r w:rsidRPr="00D44879">
        <w:rPr>
          <w:rStyle w:val="eop"/>
          <w:rFonts w:eastAsiaTheme="majorEastAsia"/>
          <w:color w:val="FF0000"/>
          <w:shd w:val="clear" w:color="auto" w:fill="FFFFFF"/>
        </w:rPr>
        <w:t xml:space="preserve"> incrementa </w:t>
      </w:r>
      <w:r w:rsidRPr="00D44879">
        <w:rPr>
          <w:rFonts w:eastAsiaTheme="majorEastAsia"/>
          <w:color w:val="FF0000"/>
          <w:shd w:val="clear" w:color="auto" w:fill="FFFFFF"/>
        </w:rPr>
        <w:t>la dotazione del fondo istituito dall’articolo 6, comma 3, del decreto-legge n. 25 del 2025 nello stato di previsione del Ministero dell’interno, per l’emanazione di provvedimenti normativi relativi al personale permanente e volontario del Corpo nazionale dei Vigili del fuoco, con l’obiettivo di agevolare la definizione del nuovo percorso di carriera del personale appartenente a tutti i ruoli del Corpo.</w:t>
      </w:r>
    </w:p>
    <w:p w:rsidR="00186260" w:rsidRPr="009E2B2D" w:rsidP="00186260" w14:paraId="1835A71E" w14:textId="4E6B6554">
      <w:pPr>
        <w:spacing w:after="120"/>
        <w:jc w:val="both"/>
        <w:rPr>
          <w:rFonts w:eastAsia="Calibri"/>
          <w:color w:val="FF0000"/>
        </w:rPr>
      </w:pPr>
      <w:r w:rsidRPr="00536478">
        <w:rPr>
          <w:rFonts w:eastAsia="Calibri"/>
          <w:b/>
          <w:bCs/>
          <w:color w:val="FF0000"/>
        </w:rPr>
        <w:t xml:space="preserve">Il PNRR </w:t>
      </w:r>
      <w:r w:rsidRPr="009E2B2D">
        <w:rPr>
          <w:rFonts w:eastAsia="Calibri"/>
          <w:color w:val="FF0000"/>
        </w:rPr>
        <w:t>(Piano Nazionale di Ripresa e Resilienza), sebbene non finanzi direttamente il riordino delle carriere, affronta il tema, occupandosi più</w:t>
      </w:r>
      <w:r w:rsidRPr="00D44879">
        <w:rPr>
          <w:rFonts w:eastAsia="Calibri"/>
          <w:color w:val="FF0000"/>
        </w:rPr>
        <w:t xml:space="preserve"> in generale della riforma della pubblica amministrazione, nell'ambito della </w:t>
      </w:r>
      <w:r w:rsidRPr="00D44879">
        <w:rPr>
          <w:rFonts w:eastAsia="Calibri"/>
          <w:b/>
          <w:bCs/>
          <w:color w:val="FF0000"/>
        </w:rPr>
        <w:t>Riforma 2.3: Competenze e carriere</w:t>
      </w:r>
      <w:r w:rsidRPr="00D44879">
        <w:rPr>
          <w:rFonts w:eastAsia="Calibri"/>
          <w:color w:val="FF0000"/>
        </w:rPr>
        <w:t xml:space="preserve">, con l'obiettivo di modernizzare la gestione del personale pubblico. In linea con tale indirizzo, per quanto concerne il Corpo nazionale dei Vigili del fuoco, sono state avviate le attività di natura normativa, sia ordinamentale che retributiva, tese a definire il nuovo percorso di carriera del personale appartenente a tutti i ruoli del Corpo nazione dei vigili del fuoco, nel rispetto rigoroso dei principi contenuti all’articolo 12 della legge </w:t>
      </w:r>
      <w:r w:rsidRPr="00D44879" w:rsidR="00383C9A">
        <w:rPr>
          <w:rFonts w:eastAsia="Calibri"/>
          <w:color w:val="FF0000"/>
        </w:rPr>
        <w:t>n. 42</w:t>
      </w:r>
      <w:r w:rsidR="00A41792">
        <w:rPr>
          <w:rFonts w:eastAsia="Calibri"/>
          <w:color w:val="FF0000"/>
        </w:rPr>
        <w:t xml:space="preserve"> del 2025,</w:t>
      </w:r>
      <w:r w:rsidRPr="00D44879">
        <w:rPr>
          <w:rFonts w:eastAsia="Calibri"/>
          <w:color w:val="FF0000"/>
        </w:rPr>
        <w:t xml:space="preserve"> che prevede una delega al Governo per la disciplina in materia di funzioni, compiti e  rapporto di impiego del personale del Corpo nazionale dei vigili del fuoco e all’articolo 6, comma 3, del decreto-legge </w:t>
      </w:r>
      <w:r w:rsidRPr="00D44879" w:rsidR="00383C9A">
        <w:rPr>
          <w:rFonts w:eastAsia="Calibri"/>
          <w:color w:val="FF0000"/>
        </w:rPr>
        <w:t>n. 25</w:t>
      </w:r>
      <w:r w:rsidR="00A32F8E">
        <w:rPr>
          <w:rFonts w:eastAsia="Calibri"/>
          <w:color w:val="FF0000"/>
        </w:rPr>
        <w:t xml:space="preserve"> del 2025</w:t>
      </w:r>
      <w:r w:rsidRPr="00D44879" w:rsidR="00383C9A">
        <w:rPr>
          <w:rFonts w:eastAsia="Calibri"/>
          <w:color w:val="FF0000"/>
        </w:rPr>
        <w:t>,</w:t>
      </w:r>
      <w:r w:rsidRPr="00D44879">
        <w:rPr>
          <w:rFonts w:eastAsia="Calibri"/>
          <w:color w:val="FF0000"/>
        </w:rPr>
        <w:t xml:space="preserve"> che istituisce nello stato di previsione del </w:t>
      </w:r>
      <w:r w:rsidRPr="009E2B2D">
        <w:rPr>
          <w:rFonts w:eastAsia="Calibri"/>
          <w:color w:val="FF0000"/>
        </w:rPr>
        <w:t xml:space="preserve">Ministero dell’interno un fondo, con una dotazione finanziaria pari a euro 28.000.000 per il 2025, a euro 28.000.000 per il 2026 e a euro 34.000.000 annui a decorrere dal 2027, finalizzato, attraverso l’adozione di provvedimenti normativi diretti a ottimizzare le funzioni e i compiti del personale permanente e volontario del Corpo nazionale dei vigili del fuoco, con modifica, alla revisione e semplificazione del decreto legislativo </w:t>
      </w:r>
      <w:r w:rsidRPr="009E2B2D" w:rsidR="00383C9A">
        <w:rPr>
          <w:rFonts w:eastAsia="Calibri"/>
          <w:color w:val="FF0000"/>
        </w:rPr>
        <w:t>n. 139</w:t>
      </w:r>
      <w:r w:rsidR="003776F1">
        <w:rPr>
          <w:rFonts w:eastAsia="Calibri"/>
          <w:color w:val="FF0000"/>
        </w:rPr>
        <w:t xml:space="preserve"> del 2006</w:t>
      </w:r>
      <w:r w:rsidRPr="009E2B2D" w:rsidR="00383C9A">
        <w:rPr>
          <w:rFonts w:eastAsia="Calibri"/>
          <w:color w:val="FF0000"/>
        </w:rPr>
        <w:t xml:space="preserve"> </w:t>
      </w:r>
      <w:r w:rsidRPr="009E2B2D">
        <w:rPr>
          <w:rFonts w:eastAsia="Calibri"/>
          <w:color w:val="FF0000"/>
        </w:rPr>
        <w:t>e del decreto legislativo n. 217</w:t>
      </w:r>
      <w:r w:rsidR="003776F1">
        <w:rPr>
          <w:rFonts w:eastAsia="Calibri"/>
          <w:color w:val="FF0000"/>
        </w:rPr>
        <w:t xml:space="preserve"> del 2005</w:t>
      </w:r>
      <w:r w:rsidRPr="009E2B2D" w:rsidR="00383C9A">
        <w:rPr>
          <w:rFonts w:eastAsia="Calibri"/>
          <w:color w:val="FF0000"/>
        </w:rPr>
        <w:t>.</w:t>
      </w:r>
      <w:r w:rsidRPr="009E2B2D">
        <w:rPr>
          <w:rFonts w:eastAsia="Calibri"/>
          <w:color w:val="FF0000"/>
        </w:rPr>
        <w:t xml:space="preserve"> La revisione ordinamentale volta ad attuare la suddetta delega determina ha come precipuo vincolo, sul piano retributivo, quello di non determinare sperequazioni retributive tra il personale del citato Corpo e quello delle Forze di polizia, in modo da non dar luogo, nelle diverse qualifiche, alla corresponsione di un trattamento economico di maggior favore. </w:t>
      </w:r>
    </w:p>
    <w:p w:rsidR="00186260" w:rsidRPr="009E2B2D" w:rsidP="00186260" w14:paraId="5D58DE46" w14:textId="77777777">
      <w:pPr>
        <w:spacing w:after="120"/>
        <w:jc w:val="both"/>
        <w:rPr>
          <w:rFonts w:eastAsia="Calibri"/>
          <w:color w:val="FF0000"/>
        </w:rPr>
      </w:pPr>
      <w:r w:rsidRPr="009E2B2D">
        <w:rPr>
          <w:rFonts w:eastAsia="Calibri"/>
          <w:color w:val="FF0000"/>
        </w:rPr>
        <w:t>Senza esporre nel dettaglio l’ipotizzato nuovo percorso delle carriere del C.N.VV.F., si riportano qui di seguito le tabelle che evidenziano gli oneri derivanti dagli interventi che si ritiene di adottare per il personale non direttivo e non dirigente ordinario, per quello non direttivo e non dirigente specialista, per il personale direttivo sia ordinario che specialista e, infine, per quello dirigente (per quest’ultimo è anche previsto un potenziamento di organico, del quale si darà dimostrazione in seguito con tabelle a parte):</w:t>
      </w:r>
    </w:p>
    <w:tbl>
      <w:tblPr>
        <w:tblW w:w="5000" w:type="pct"/>
        <w:tblCellMar>
          <w:left w:w="70" w:type="dxa"/>
          <w:right w:w="70" w:type="dxa"/>
        </w:tblCellMar>
        <w:tblLook w:val="04A0"/>
      </w:tblPr>
      <w:tblGrid>
        <w:gridCol w:w="449"/>
        <w:gridCol w:w="477"/>
        <w:gridCol w:w="792"/>
        <w:gridCol w:w="792"/>
        <w:gridCol w:w="792"/>
        <w:gridCol w:w="792"/>
        <w:gridCol w:w="792"/>
        <w:gridCol w:w="792"/>
        <w:gridCol w:w="792"/>
        <w:gridCol w:w="792"/>
        <w:gridCol w:w="792"/>
        <w:gridCol w:w="792"/>
        <w:gridCol w:w="792"/>
      </w:tblGrid>
      <w:tr w14:paraId="2A08A928" w14:textId="77777777">
        <w:tblPrEx>
          <w:tblW w:w="5000" w:type="pct"/>
          <w:tblLook w:val="04A0"/>
        </w:tblPrEx>
        <w:trPr>
          <w:trHeight w:val="645"/>
        </w:trPr>
        <w:tc>
          <w:tcPr>
            <w:tcW w:w="5000" w:type="pct"/>
            <w:gridSpan w:val="13"/>
            <w:tcBorders>
              <w:top w:val="nil"/>
              <w:left w:val="nil"/>
              <w:bottom w:val="nil"/>
              <w:right w:val="nil"/>
            </w:tcBorders>
            <w:shd w:val="clear" w:color="000000" w:fill="FFFFFF"/>
            <w:vAlign w:val="center"/>
            <w:hideMark/>
          </w:tcPr>
          <w:p w:rsidR="00CB126E" w:rsidRPr="00CB126E" w:rsidP="00CB126E" w14:paraId="25DCFDFD" w14:textId="77777777">
            <w:pPr>
              <w:jc w:val="center"/>
              <w:rPr>
                <w:rFonts w:ascii="Calibri" w:hAnsi="Calibri" w:cs="Calibri"/>
                <w:b/>
                <w:bCs/>
                <w:color w:val="000000"/>
                <w:sz w:val="16"/>
                <w:szCs w:val="16"/>
              </w:rPr>
            </w:pPr>
            <w:r w:rsidRPr="00CB126E">
              <w:rPr>
                <w:rFonts w:ascii="Calibri" w:hAnsi="Calibri" w:cs="Calibri"/>
                <w:b/>
                <w:bCs/>
                <w:color w:val="000000"/>
                <w:sz w:val="22"/>
                <w:szCs w:val="22"/>
              </w:rPr>
              <w:t>ONERE PROPOSTA MODIFICA D.LGS. 127/2018</w:t>
            </w:r>
          </w:p>
        </w:tc>
      </w:tr>
      <w:tr w14:paraId="0029DE3D" w14:textId="77777777" w:rsidTr="00F4620E">
        <w:tblPrEx>
          <w:tblW w:w="5000" w:type="pct"/>
          <w:tblLook w:val="04A0"/>
        </w:tblPrEx>
        <w:trPr>
          <w:trHeight w:val="300"/>
        </w:trPr>
        <w:tc>
          <w:tcPr>
            <w:tcW w:w="233" w:type="pct"/>
            <w:tcBorders>
              <w:top w:val="nil"/>
              <w:left w:val="nil"/>
              <w:bottom w:val="nil"/>
              <w:right w:val="nil"/>
            </w:tcBorders>
            <w:noWrap/>
            <w:vAlign w:val="bottom"/>
            <w:hideMark/>
          </w:tcPr>
          <w:p w:rsidR="00CB126E" w:rsidRPr="00CB126E" w:rsidP="00CB126E" w14:paraId="294E2522" w14:textId="77777777">
            <w:pPr>
              <w:rPr>
                <w:sz w:val="16"/>
                <w:szCs w:val="16"/>
              </w:rPr>
            </w:pPr>
          </w:p>
        </w:tc>
        <w:tc>
          <w:tcPr>
            <w:tcW w:w="282" w:type="pct"/>
            <w:tcBorders>
              <w:top w:val="nil"/>
              <w:left w:val="nil"/>
              <w:bottom w:val="nil"/>
              <w:right w:val="nil"/>
            </w:tcBorders>
            <w:vAlign w:val="bottom"/>
            <w:hideMark/>
          </w:tcPr>
          <w:p w:rsidR="00CB126E" w:rsidRPr="00CB126E" w:rsidP="00CB126E" w14:paraId="35F35105" w14:textId="77777777">
            <w:pPr>
              <w:rPr>
                <w:sz w:val="16"/>
                <w:szCs w:val="16"/>
              </w:rPr>
            </w:pPr>
          </w:p>
        </w:tc>
        <w:tc>
          <w:tcPr>
            <w:tcW w:w="376" w:type="pct"/>
            <w:tcBorders>
              <w:top w:val="single" w:sz="8" w:space="0" w:color="auto"/>
              <w:left w:val="single" w:sz="8" w:space="0" w:color="auto"/>
              <w:bottom w:val="nil"/>
              <w:right w:val="single" w:sz="8" w:space="0" w:color="auto"/>
            </w:tcBorders>
            <w:shd w:val="clear" w:color="000000" w:fill="EDEDED"/>
            <w:vAlign w:val="center"/>
            <w:hideMark/>
          </w:tcPr>
          <w:p w:rsidR="00CB126E" w:rsidRPr="00CB126E" w:rsidP="00CB126E" w14:paraId="52780FD5" w14:textId="77777777">
            <w:pPr>
              <w:jc w:val="center"/>
              <w:rPr>
                <w:rFonts w:ascii="Calibri" w:hAnsi="Calibri" w:cs="Calibri"/>
                <w:b/>
                <w:bCs/>
                <w:sz w:val="12"/>
                <w:szCs w:val="12"/>
              </w:rPr>
            </w:pPr>
            <w:r w:rsidRPr="00CB126E">
              <w:rPr>
                <w:rFonts w:ascii="Calibri" w:hAnsi="Calibri" w:cs="Calibri"/>
                <w:b/>
                <w:bCs/>
                <w:sz w:val="12"/>
                <w:szCs w:val="12"/>
              </w:rPr>
              <w:t>2026</w:t>
            </w:r>
          </w:p>
        </w:tc>
        <w:tc>
          <w:tcPr>
            <w:tcW w:w="411" w:type="pct"/>
            <w:tcBorders>
              <w:top w:val="single" w:sz="8" w:space="0" w:color="auto"/>
              <w:left w:val="nil"/>
              <w:bottom w:val="nil"/>
              <w:right w:val="single" w:sz="8" w:space="0" w:color="auto"/>
            </w:tcBorders>
            <w:shd w:val="clear" w:color="000000" w:fill="EDEDED"/>
            <w:vAlign w:val="center"/>
            <w:hideMark/>
          </w:tcPr>
          <w:p w:rsidR="00CB126E" w:rsidRPr="00CB126E" w:rsidP="00CB126E" w14:paraId="63044CD2" w14:textId="77777777">
            <w:pPr>
              <w:jc w:val="center"/>
              <w:rPr>
                <w:rFonts w:ascii="Calibri" w:hAnsi="Calibri" w:cs="Calibri"/>
                <w:b/>
                <w:bCs/>
                <w:sz w:val="12"/>
                <w:szCs w:val="12"/>
              </w:rPr>
            </w:pPr>
            <w:r w:rsidRPr="00CB126E">
              <w:rPr>
                <w:rFonts w:ascii="Calibri" w:hAnsi="Calibri" w:cs="Calibri"/>
                <w:b/>
                <w:bCs/>
                <w:sz w:val="12"/>
                <w:szCs w:val="12"/>
              </w:rPr>
              <w:t>2027</w:t>
            </w:r>
          </w:p>
        </w:tc>
        <w:tc>
          <w:tcPr>
            <w:tcW w:w="411" w:type="pct"/>
            <w:tcBorders>
              <w:top w:val="single" w:sz="8" w:space="0" w:color="auto"/>
              <w:left w:val="nil"/>
              <w:bottom w:val="nil"/>
              <w:right w:val="single" w:sz="8" w:space="0" w:color="auto"/>
            </w:tcBorders>
            <w:shd w:val="clear" w:color="000000" w:fill="EDEDED"/>
            <w:vAlign w:val="center"/>
            <w:hideMark/>
          </w:tcPr>
          <w:p w:rsidR="00CB126E" w:rsidRPr="00CB126E" w:rsidP="00CB126E" w14:paraId="37040A74" w14:textId="77777777">
            <w:pPr>
              <w:jc w:val="center"/>
              <w:rPr>
                <w:rFonts w:ascii="Calibri" w:hAnsi="Calibri" w:cs="Calibri"/>
                <w:b/>
                <w:bCs/>
                <w:sz w:val="12"/>
                <w:szCs w:val="12"/>
              </w:rPr>
            </w:pPr>
            <w:r w:rsidRPr="00CB126E">
              <w:rPr>
                <w:rFonts w:ascii="Calibri" w:hAnsi="Calibri" w:cs="Calibri"/>
                <w:b/>
                <w:bCs/>
                <w:sz w:val="12"/>
                <w:szCs w:val="12"/>
              </w:rPr>
              <w:t>2028</w:t>
            </w:r>
          </w:p>
        </w:tc>
        <w:tc>
          <w:tcPr>
            <w:tcW w:w="411" w:type="pct"/>
            <w:tcBorders>
              <w:top w:val="single" w:sz="8" w:space="0" w:color="auto"/>
              <w:left w:val="nil"/>
              <w:bottom w:val="nil"/>
              <w:right w:val="single" w:sz="8" w:space="0" w:color="auto"/>
            </w:tcBorders>
            <w:shd w:val="clear" w:color="000000" w:fill="EDEDED"/>
            <w:vAlign w:val="center"/>
            <w:hideMark/>
          </w:tcPr>
          <w:p w:rsidR="00CB126E" w:rsidRPr="00CB126E" w:rsidP="00CB126E" w14:paraId="3111C8C7" w14:textId="77777777">
            <w:pPr>
              <w:jc w:val="center"/>
              <w:rPr>
                <w:rFonts w:ascii="Calibri" w:hAnsi="Calibri" w:cs="Calibri"/>
                <w:b/>
                <w:bCs/>
                <w:sz w:val="12"/>
                <w:szCs w:val="12"/>
              </w:rPr>
            </w:pPr>
            <w:r w:rsidRPr="00CB126E">
              <w:rPr>
                <w:rFonts w:ascii="Calibri" w:hAnsi="Calibri" w:cs="Calibri"/>
                <w:b/>
                <w:bCs/>
                <w:sz w:val="12"/>
                <w:szCs w:val="12"/>
              </w:rPr>
              <w:t>2029</w:t>
            </w:r>
          </w:p>
        </w:tc>
        <w:tc>
          <w:tcPr>
            <w:tcW w:w="411" w:type="pct"/>
            <w:tcBorders>
              <w:top w:val="single" w:sz="8" w:space="0" w:color="auto"/>
              <w:left w:val="nil"/>
              <w:bottom w:val="nil"/>
              <w:right w:val="single" w:sz="8" w:space="0" w:color="auto"/>
            </w:tcBorders>
            <w:shd w:val="clear" w:color="000000" w:fill="EDEDED"/>
            <w:vAlign w:val="center"/>
            <w:hideMark/>
          </w:tcPr>
          <w:p w:rsidR="00CB126E" w:rsidRPr="00CB126E" w:rsidP="00CB126E" w14:paraId="12503C75" w14:textId="77777777">
            <w:pPr>
              <w:jc w:val="center"/>
              <w:rPr>
                <w:rFonts w:ascii="Calibri" w:hAnsi="Calibri" w:cs="Calibri"/>
                <w:b/>
                <w:bCs/>
                <w:sz w:val="12"/>
                <w:szCs w:val="12"/>
              </w:rPr>
            </w:pPr>
            <w:r w:rsidRPr="00CB126E">
              <w:rPr>
                <w:rFonts w:ascii="Calibri" w:hAnsi="Calibri" w:cs="Calibri"/>
                <w:b/>
                <w:bCs/>
                <w:sz w:val="12"/>
                <w:szCs w:val="12"/>
              </w:rPr>
              <w:t>2030</w:t>
            </w:r>
          </w:p>
        </w:tc>
        <w:tc>
          <w:tcPr>
            <w:tcW w:w="411" w:type="pct"/>
            <w:tcBorders>
              <w:top w:val="single" w:sz="8" w:space="0" w:color="auto"/>
              <w:left w:val="nil"/>
              <w:bottom w:val="nil"/>
              <w:right w:val="single" w:sz="8" w:space="0" w:color="auto"/>
            </w:tcBorders>
            <w:shd w:val="clear" w:color="000000" w:fill="EDEDED"/>
            <w:vAlign w:val="center"/>
            <w:hideMark/>
          </w:tcPr>
          <w:p w:rsidR="00CB126E" w:rsidRPr="00CB126E" w:rsidP="00CB126E" w14:paraId="2B2C16E4" w14:textId="77777777">
            <w:pPr>
              <w:jc w:val="center"/>
              <w:rPr>
                <w:rFonts w:ascii="Calibri" w:hAnsi="Calibri" w:cs="Calibri"/>
                <w:b/>
                <w:bCs/>
                <w:sz w:val="12"/>
                <w:szCs w:val="12"/>
              </w:rPr>
            </w:pPr>
            <w:r w:rsidRPr="00CB126E">
              <w:rPr>
                <w:rFonts w:ascii="Calibri" w:hAnsi="Calibri" w:cs="Calibri"/>
                <w:b/>
                <w:bCs/>
                <w:sz w:val="12"/>
                <w:szCs w:val="12"/>
              </w:rPr>
              <w:t>2031</w:t>
            </w:r>
          </w:p>
        </w:tc>
        <w:tc>
          <w:tcPr>
            <w:tcW w:w="411" w:type="pct"/>
            <w:tcBorders>
              <w:top w:val="single" w:sz="8" w:space="0" w:color="auto"/>
              <w:left w:val="nil"/>
              <w:bottom w:val="nil"/>
              <w:right w:val="single" w:sz="8" w:space="0" w:color="auto"/>
            </w:tcBorders>
            <w:shd w:val="clear" w:color="000000" w:fill="EDEDED"/>
            <w:vAlign w:val="center"/>
            <w:hideMark/>
          </w:tcPr>
          <w:p w:rsidR="00CB126E" w:rsidRPr="00CB126E" w:rsidP="00CB126E" w14:paraId="5577001E" w14:textId="77777777">
            <w:pPr>
              <w:jc w:val="center"/>
              <w:rPr>
                <w:rFonts w:ascii="Calibri" w:hAnsi="Calibri" w:cs="Calibri"/>
                <w:b/>
                <w:bCs/>
                <w:sz w:val="12"/>
                <w:szCs w:val="12"/>
              </w:rPr>
            </w:pPr>
            <w:r w:rsidRPr="00CB126E">
              <w:rPr>
                <w:rFonts w:ascii="Calibri" w:hAnsi="Calibri" w:cs="Calibri"/>
                <w:b/>
                <w:bCs/>
                <w:sz w:val="12"/>
                <w:szCs w:val="12"/>
              </w:rPr>
              <w:t>2032</w:t>
            </w:r>
          </w:p>
        </w:tc>
        <w:tc>
          <w:tcPr>
            <w:tcW w:w="411" w:type="pct"/>
            <w:tcBorders>
              <w:top w:val="single" w:sz="8" w:space="0" w:color="auto"/>
              <w:left w:val="nil"/>
              <w:bottom w:val="nil"/>
              <w:right w:val="single" w:sz="8" w:space="0" w:color="auto"/>
            </w:tcBorders>
            <w:shd w:val="clear" w:color="000000" w:fill="EDEDED"/>
            <w:vAlign w:val="center"/>
            <w:hideMark/>
          </w:tcPr>
          <w:p w:rsidR="00CB126E" w:rsidRPr="00CB126E" w:rsidP="00CB126E" w14:paraId="514C7030" w14:textId="77777777">
            <w:pPr>
              <w:jc w:val="center"/>
              <w:rPr>
                <w:rFonts w:ascii="Calibri" w:hAnsi="Calibri" w:cs="Calibri"/>
                <w:b/>
                <w:bCs/>
                <w:sz w:val="12"/>
                <w:szCs w:val="12"/>
              </w:rPr>
            </w:pPr>
            <w:r w:rsidRPr="00CB126E">
              <w:rPr>
                <w:rFonts w:ascii="Calibri" w:hAnsi="Calibri" w:cs="Calibri"/>
                <w:b/>
                <w:bCs/>
                <w:sz w:val="12"/>
                <w:szCs w:val="12"/>
              </w:rPr>
              <w:t>2033</w:t>
            </w:r>
          </w:p>
        </w:tc>
        <w:tc>
          <w:tcPr>
            <w:tcW w:w="411" w:type="pct"/>
            <w:tcBorders>
              <w:top w:val="single" w:sz="8" w:space="0" w:color="auto"/>
              <w:left w:val="nil"/>
              <w:bottom w:val="nil"/>
              <w:right w:val="single" w:sz="8" w:space="0" w:color="auto"/>
            </w:tcBorders>
            <w:shd w:val="clear" w:color="000000" w:fill="EDEDED"/>
            <w:vAlign w:val="center"/>
            <w:hideMark/>
          </w:tcPr>
          <w:p w:rsidR="00CB126E" w:rsidRPr="00CB126E" w:rsidP="00CB126E" w14:paraId="7C78D3DA" w14:textId="77777777">
            <w:pPr>
              <w:jc w:val="center"/>
              <w:rPr>
                <w:rFonts w:ascii="Calibri" w:hAnsi="Calibri" w:cs="Calibri"/>
                <w:b/>
                <w:bCs/>
                <w:sz w:val="12"/>
                <w:szCs w:val="12"/>
              </w:rPr>
            </w:pPr>
            <w:r w:rsidRPr="00CB126E">
              <w:rPr>
                <w:rFonts w:ascii="Calibri" w:hAnsi="Calibri" w:cs="Calibri"/>
                <w:b/>
                <w:bCs/>
                <w:sz w:val="12"/>
                <w:szCs w:val="12"/>
              </w:rPr>
              <w:t>2034</w:t>
            </w:r>
          </w:p>
        </w:tc>
        <w:tc>
          <w:tcPr>
            <w:tcW w:w="411" w:type="pct"/>
            <w:tcBorders>
              <w:top w:val="single" w:sz="8" w:space="0" w:color="auto"/>
              <w:left w:val="nil"/>
              <w:bottom w:val="nil"/>
              <w:right w:val="single" w:sz="8" w:space="0" w:color="auto"/>
            </w:tcBorders>
            <w:shd w:val="clear" w:color="000000" w:fill="EDEDED"/>
            <w:vAlign w:val="center"/>
            <w:hideMark/>
          </w:tcPr>
          <w:p w:rsidR="00CB126E" w:rsidRPr="00CB126E" w:rsidP="00CB126E" w14:paraId="42643A0C" w14:textId="77777777">
            <w:pPr>
              <w:jc w:val="center"/>
              <w:rPr>
                <w:rFonts w:ascii="Calibri" w:hAnsi="Calibri" w:cs="Calibri"/>
                <w:b/>
                <w:bCs/>
                <w:sz w:val="12"/>
                <w:szCs w:val="12"/>
              </w:rPr>
            </w:pPr>
            <w:r w:rsidRPr="00CB126E">
              <w:rPr>
                <w:rFonts w:ascii="Calibri" w:hAnsi="Calibri" w:cs="Calibri"/>
                <w:b/>
                <w:bCs/>
                <w:sz w:val="12"/>
                <w:szCs w:val="12"/>
              </w:rPr>
              <w:t>2035</w:t>
            </w:r>
          </w:p>
        </w:tc>
        <w:tc>
          <w:tcPr>
            <w:tcW w:w="411" w:type="pct"/>
            <w:tcBorders>
              <w:top w:val="single" w:sz="8" w:space="0" w:color="auto"/>
              <w:left w:val="nil"/>
              <w:bottom w:val="nil"/>
              <w:right w:val="single" w:sz="8" w:space="0" w:color="auto"/>
            </w:tcBorders>
            <w:shd w:val="clear" w:color="000000" w:fill="EDEDED"/>
            <w:vAlign w:val="center"/>
            <w:hideMark/>
          </w:tcPr>
          <w:p w:rsidR="00CB126E" w:rsidRPr="00CB126E" w:rsidP="00CB126E" w14:paraId="1A13AEE9" w14:textId="77777777">
            <w:pPr>
              <w:jc w:val="center"/>
              <w:rPr>
                <w:rFonts w:ascii="Calibri" w:hAnsi="Calibri" w:cs="Calibri"/>
                <w:b/>
                <w:bCs/>
                <w:sz w:val="12"/>
                <w:szCs w:val="12"/>
              </w:rPr>
            </w:pPr>
            <w:r w:rsidRPr="00CB126E">
              <w:rPr>
                <w:rFonts w:ascii="Calibri" w:hAnsi="Calibri" w:cs="Calibri"/>
                <w:b/>
                <w:bCs/>
                <w:sz w:val="12"/>
                <w:szCs w:val="12"/>
              </w:rPr>
              <w:t>2036</w:t>
            </w:r>
          </w:p>
        </w:tc>
      </w:tr>
      <w:tr w14:paraId="1C2BD92E" w14:textId="77777777" w:rsidTr="00F4620E">
        <w:tblPrEx>
          <w:tblW w:w="5000" w:type="pct"/>
          <w:tblLook w:val="04A0"/>
        </w:tblPrEx>
        <w:trPr>
          <w:trHeight w:hRule="exact" w:val="909"/>
        </w:trPr>
        <w:tc>
          <w:tcPr>
            <w:tcW w:w="233" w:type="pct"/>
            <w:vMerge w:val="restart"/>
            <w:tcBorders>
              <w:top w:val="single" w:sz="8" w:space="0" w:color="auto"/>
              <w:left w:val="single" w:sz="8" w:space="0" w:color="auto"/>
              <w:bottom w:val="single" w:sz="8" w:space="0" w:color="000000"/>
              <w:right w:val="nil"/>
            </w:tcBorders>
            <w:textDirection w:val="btLr"/>
            <w:vAlign w:val="center"/>
            <w:hideMark/>
          </w:tcPr>
          <w:p w:rsidR="00CB126E" w:rsidRPr="00CB126E" w:rsidP="00CB126E" w14:paraId="613F8979" w14:textId="77777777">
            <w:pPr>
              <w:jc w:val="center"/>
              <w:rPr>
                <w:rFonts w:ascii="Calibri" w:hAnsi="Calibri" w:cs="Calibri"/>
                <w:color w:val="000000"/>
                <w:sz w:val="16"/>
                <w:szCs w:val="16"/>
              </w:rPr>
            </w:pPr>
            <w:r w:rsidRPr="00CB126E">
              <w:rPr>
                <w:rFonts w:ascii="Calibri" w:hAnsi="Calibri" w:cs="Calibri"/>
                <w:color w:val="000000"/>
                <w:sz w:val="16"/>
                <w:szCs w:val="16"/>
              </w:rPr>
              <w:t>Legislazione</w:t>
            </w:r>
            <w:r w:rsidRPr="00CB126E">
              <w:rPr>
                <w:rFonts w:ascii="Calibri" w:hAnsi="Calibri" w:cs="Calibri"/>
                <w:color w:val="000000"/>
                <w:sz w:val="16"/>
                <w:szCs w:val="16"/>
              </w:rPr>
              <w:br/>
              <w:t xml:space="preserve"> vigente</w:t>
            </w:r>
          </w:p>
        </w:tc>
        <w:tc>
          <w:tcPr>
            <w:tcW w:w="282" w:type="pct"/>
            <w:tcBorders>
              <w:top w:val="single" w:sz="8" w:space="0" w:color="auto"/>
              <w:left w:val="single" w:sz="8" w:space="0" w:color="auto"/>
              <w:bottom w:val="single" w:sz="4" w:space="0" w:color="auto"/>
              <w:right w:val="single" w:sz="8" w:space="0" w:color="auto"/>
            </w:tcBorders>
            <w:vAlign w:val="center"/>
            <w:hideMark/>
          </w:tcPr>
          <w:p w:rsidR="00CB126E" w:rsidRPr="00CB126E" w:rsidP="00CB126E" w14:paraId="5D89D374" w14:textId="77777777">
            <w:pPr>
              <w:rPr>
                <w:rFonts w:ascii="Calibri" w:hAnsi="Calibri" w:cs="Calibri"/>
                <w:sz w:val="8"/>
                <w:szCs w:val="8"/>
              </w:rPr>
            </w:pPr>
            <w:r w:rsidRPr="00CB126E">
              <w:rPr>
                <w:rFonts w:ascii="Calibri" w:hAnsi="Calibri" w:cs="Calibri"/>
                <w:sz w:val="8"/>
                <w:szCs w:val="8"/>
              </w:rPr>
              <w:t>Personale non direttivo e non dirigente ordinario</w:t>
            </w:r>
          </w:p>
        </w:tc>
        <w:tc>
          <w:tcPr>
            <w:tcW w:w="376" w:type="pct"/>
            <w:tcBorders>
              <w:top w:val="single" w:sz="8" w:space="0" w:color="auto"/>
              <w:left w:val="single" w:sz="4" w:space="0" w:color="auto"/>
              <w:bottom w:val="single" w:sz="4" w:space="0" w:color="auto"/>
              <w:right w:val="single" w:sz="4" w:space="0" w:color="auto"/>
            </w:tcBorders>
            <w:noWrap/>
            <w:vAlign w:val="center"/>
            <w:hideMark/>
          </w:tcPr>
          <w:p w:rsidR="00CB126E" w:rsidRPr="00CB126E" w:rsidP="00CB126E" w14:paraId="0B81F1F8" w14:textId="77777777">
            <w:pPr>
              <w:jc w:val="right"/>
              <w:rPr>
                <w:rFonts w:ascii="Calibri" w:hAnsi="Calibri" w:cs="Calibri"/>
                <w:sz w:val="12"/>
                <w:szCs w:val="12"/>
              </w:rPr>
            </w:pPr>
            <w:r w:rsidRPr="00CB126E">
              <w:rPr>
                <w:rFonts w:ascii="Calibri" w:hAnsi="Calibri" w:cs="Calibri"/>
                <w:sz w:val="12"/>
                <w:szCs w:val="12"/>
              </w:rPr>
              <w:t>1.948.857.621,86</w:t>
            </w:r>
          </w:p>
        </w:tc>
        <w:tc>
          <w:tcPr>
            <w:tcW w:w="411" w:type="pct"/>
            <w:tcBorders>
              <w:top w:val="single" w:sz="8" w:space="0" w:color="auto"/>
              <w:left w:val="nil"/>
              <w:bottom w:val="single" w:sz="4" w:space="0" w:color="auto"/>
              <w:right w:val="single" w:sz="4" w:space="0" w:color="auto"/>
            </w:tcBorders>
            <w:noWrap/>
            <w:vAlign w:val="center"/>
            <w:hideMark/>
          </w:tcPr>
          <w:p w:rsidR="00CB126E" w:rsidRPr="00CB126E" w:rsidP="00CB126E" w14:paraId="132C6EFE" w14:textId="77777777">
            <w:pPr>
              <w:jc w:val="right"/>
              <w:rPr>
                <w:rFonts w:ascii="Calibri" w:hAnsi="Calibri" w:cs="Calibri"/>
                <w:sz w:val="12"/>
                <w:szCs w:val="12"/>
              </w:rPr>
            </w:pPr>
            <w:r w:rsidRPr="00CB126E">
              <w:rPr>
                <w:rFonts w:ascii="Calibri" w:hAnsi="Calibri" w:cs="Calibri"/>
                <w:sz w:val="12"/>
                <w:szCs w:val="12"/>
              </w:rPr>
              <w:t>1.945.719.734,45</w:t>
            </w:r>
          </w:p>
        </w:tc>
        <w:tc>
          <w:tcPr>
            <w:tcW w:w="411" w:type="pct"/>
            <w:tcBorders>
              <w:top w:val="single" w:sz="8" w:space="0" w:color="auto"/>
              <w:left w:val="nil"/>
              <w:bottom w:val="single" w:sz="4" w:space="0" w:color="auto"/>
              <w:right w:val="single" w:sz="4" w:space="0" w:color="auto"/>
            </w:tcBorders>
            <w:noWrap/>
            <w:vAlign w:val="center"/>
            <w:hideMark/>
          </w:tcPr>
          <w:p w:rsidR="00CB126E" w:rsidRPr="00CB126E" w:rsidP="00CB126E" w14:paraId="2AAACD15" w14:textId="77777777">
            <w:pPr>
              <w:jc w:val="right"/>
              <w:rPr>
                <w:rFonts w:ascii="Calibri" w:hAnsi="Calibri" w:cs="Calibri"/>
                <w:sz w:val="12"/>
                <w:szCs w:val="12"/>
              </w:rPr>
            </w:pPr>
            <w:r w:rsidRPr="00CB126E">
              <w:rPr>
                <w:rFonts w:ascii="Calibri" w:hAnsi="Calibri" w:cs="Calibri"/>
                <w:sz w:val="12"/>
                <w:szCs w:val="12"/>
              </w:rPr>
              <w:t>1.924.629.265,94</w:t>
            </w:r>
          </w:p>
        </w:tc>
        <w:tc>
          <w:tcPr>
            <w:tcW w:w="411" w:type="pct"/>
            <w:tcBorders>
              <w:top w:val="single" w:sz="8" w:space="0" w:color="auto"/>
              <w:left w:val="nil"/>
              <w:bottom w:val="single" w:sz="4" w:space="0" w:color="auto"/>
              <w:right w:val="single" w:sz="4" w:space="0" w:color="auto"/>
            </w:tcBorders>
            <w:noWrap/>
            <w:vAlign w:val="center"/>
            <w:hideMark/>
          </w:tcPr>
          <w:p w:rsidR="00CB126E" w:rsidRPr="00CB126E" w:rsidP="00CB126E" w14:paraId="758A6B0E" w14:textId="77777777">
            <w:pPr>
              <w:jc w:val="right"/>
              <w:rPr>
                <w:rFonts w:ascii="Calibri" w:hAnsi="Calibri" w:cs="Calibri"/>
                <w:sz w:val="12"/>
                <w:szCs w:val="12"/>
              </w:rPr>
            </w:pPr>
            <w:r w:rsidRPr="00CB126E">
              <w:rPr>
                <w:rFonts w:ascii="Calibri" w:hAnsi="Calibri" w:cs="Calibri"/>
                <w:sz w:val="12"/>
                <w:szCs w:val="12"/>
              </w:rPr>
              <w:t>1.932.376.486,61</w:t>
            </w:r>
          </w:p>
        </w:tc>
        <w:tc>
          <w:tcPr>
            <w:tcW w:w="411" w:type="pct"/>
            <w:tcBorders>
              <w:top w:val="single" w:sz="8" w:space="0" w:color="auto"/>
              <w:left w:val="nil"/>
              <w:bottom w:val="single" w:sz="4" w:space="0" w:color="auto"/>
              <w:right w:val="single" w:sz="4" w:space="0" w:color="auto"/>
            </w:tcBorders>
            <w:noWrap/>
            <w:vAlign w:val="center"/>
            <w:hideMark/>
          </w:tcPr>
          <w:p w:rsidR="00CB126E" w:rsidRPr="00CB126E" w:rsidP="00CB126E" w14:paraId="5A39DC6A" w14:textId="77777777">
            <w:pPr>
              <w:jc w:val="right"/>
              <w:rPr>
                <w:rFonts w:ascii="Calibri" w:hAnsi="Calibri" w:cs="Calibri"/>
                <w:sz w:val="12"/>
                <w:szCs w:val="12"/>
              </w:rPr>
            </w:pPr>
            <w:r w:rsidRPr="00CB126E">
              <w:rPr>
                <w:rFonts w:ascii="Calibri" w:hAnsi="Calibri" w:cs="Calibri"/>
                <w:sz w:val="12"/>
                <w:szCs w:val="12"/>
              </w:rPr>
              <w:t>1.940.002.863,22</w:t>
            </w:r>
          </w:p>
        </w:tc>
        <w:tc>
          <w:tcPr>
            <w:tcW w:w="411" w:type="pct"/>
            <w:tcBorders>
              <w:top w:val="single" w:sz="8" w:space="0" w:color="auto"/>
              <w:left w:val="nil"/>
              <w:bottom w:val="single" w:sz="4" w:space="0" w:color="auto"/>
              <w:right w:val="single" w:sz="4" w:space="0" w:color="auto"/>
            </w:tcBorders>
            <w:noWrap/>
            <w:vAlign w:val="center"/>
            <w:hideMark/>
          </w:tcPr>
          <w:p w:rsidR="00CB126E" w:rsidRPr="00CB126E" w:rsidP="00CB126E" w14:paraId="78C9B0BC" w14:textId="77777777">
            <w:pPr>
              <w:jc w:val="right"/>
              <w:rPr>
                <w:rFonts w:ascii="Calibri" w:hAnsi="Calibri" w:cs="Calibri"/>
                <w:sz w:val="12"/>
                <w:szCs w:val="12"/>
              </w:rPr>
            </w:pPr>
            <w:r w:rsidRPr="00CB126E">
              <w:rPr>
                <w:rFonts w:ascii="Calibri" w:hAnsi="Calibri" w:cs="Calibri"/>
                <w:sz w:val="12"/>
                <w:szCs w:val="12"/>
              </w:rPr>
              <w:t>1.944.944.420,98</w:t>
            </w:r>
          </w:p>
        </w:tc>
        <w:tc>
          <w:tcPr>
            <w:tcW w:w="411" w:type="pct"/>
            <w:tcBorders>
              <w:top w:val="single" w:sz="8" w:space="0" w:color="auto"/>
              <w:left w:val="nil"/>
              <w:bottom w:val="single" w:sz="4" w:space="0" w:color="auto"/>
              <w:right w:val="single" w:sz="4" w:space="0" w:color="auto"/>
            </w:tcBorders>
            <w:noWrap/>
            <w:vAlign w:val="center"/>
            <w:hideMark/>
          </w:tcPr>
          <w:p w:rsidR="00CB126E" w:rsidRPr="00CB126E" w:rsidP="00CB126E" w14:paraId="6C8E2184" w14:textId="77777777">
            <w:pPr>
              <w:jc w:val="right"/>
              <w:rPr>
                <w:rFonts w:ascii="Calibri" w:hAnsi="Calibri" w:cs="Calibri"/>
                <w:sz w:val="12"/>
                <w:szCs w:val="12"/>
              </w:rPr>
            </w:pPr>
            <w:r w:rsidRPr="00CB126E">
              <w:rPr>
                <w:rFonts w:ascii="Calibri" w:hAnsi="Calibri" w:cs="Calibri"/>
                <w:sz w:val="12"/>
                <w:szCs w:val="12"/>
              </w:rPr>
              <w:t>1.951.833.411,27</w:t>
            </w:r>
          </w:p>
        </w:tc>
        <w:tc>
          <w:tcPr>
            <w:tcW w:w="411" w:type="pct"/>
            <w:tcBorders>
              <w:top w:val="single" w:sz="8" w:space="0" w:color="auto"/>
              <w:left w:val="nil"/>
              <w:bottom w:val="single" w:sz="4" w:space="0" w:color="auto"/>
              <w:right w:val="single" w:sz="4" w:space="0" w:color="auto"/>
            </w:tcBorders>
            <w:noWrap/>
            <w:vAlign w:val="center"/>
            <w:hideMark/>
          </w:tcPr>
          <w:p w:rsidR="00CB126E" w:rsidRPr="00CB126E" w:rsidP="00CB126E" w14:paraId="23A8C3A9" w14:textId="77777777">
            <w:pPr>
              <w:jc w:val="right"/>
              <w:rPr>
                <w:rFonts w:ascii="Calibri" w:hAnsi="Calibri" w:cs="Calibri"/>
                <w:sz w:val="12"/>
                <w:szCs w:val="12"/>
              </w:rPr>
            </w:pPr>
            <w:r w:rsidRPr="00CB126E">
              <w:rPr>
                <w:rFonts w:ascii="Calibri" w:hAnsi="Calibri" w:cs="Calibri"/>
                <w:sz w:val="12"/>
                <w:szCs w:val="12"/>
              </w:rPr>
              <w:t>1.961.537.310,52</w:t>
            </w:r>
          </w:p>
        </w:tc>
        <w:tc>
          <w:tcPr>
            <w:tcW w:w="411" w:type="pct"/>
            <w:tcBorders>
              <w:top w:val="single" w:sz="8" w:space="0" w:color="auto"/>
              <w:left w:val="nil"/>
              <w:bottom w:val="single" w:sz="4" w:space="0" w:color="auto"/>
              <w:right w:val="single" w:sz="4" w:space="0" w:color="auto"/>
            </w:tcBorders>
            <w:noWrap/>
            <w:vAlign w:val="center"/>
            <w:hideMark/>
          </w:tcPr>
          <w:p w:rsidR="00CB126E" w:rsidRPr="00CB126E" w:rsidP="00CB126E" w14:paraId="1C66E3DE" w14:textId="77777777">
            <w:pPr>
              <w:jc w:val="right"/>
              <w:rPr>
                <w:rFonts w:ascii="Calibri" w:hAnsi="Calibri" w:cs="Calibri"/>
                <w:sz w:val="12"/>
                <w:szCs w:val="12"/>
              </w:rPr>
            </w:pPr>
            <w:r w:rsidRPr="00CB126E">
              <w:rPr>
                <w:rFonts w:ascii="Calibri" w:hAnsi="Calibri" w:cs="Calibri"/>
                <w:sz w:val="12"/>
                <w:szCs w:val="12"/>
              </w:rPr>
              <w:t>1.971.044.395,68</w:t>
            </w:r>
          </w:p>
        </w:tc>
        <w:tc>
          <w:tcPr>
            <w:tcW w:w="411" w:type="pct"/>
            <w:tcBorders>
              <w:top w:val="single" w:sz="8" w:space="0" w:color="auto"/>
              <w:left w:val="nil"/>
              <w:bottom w:val="single" w:sz="4" w:space="0" w:color="auto"/>
              <w:right w:val="single" w:sz="4" w:space="0" w:color="auto"/>
            </w:tcBorders>
            <w:noWrap/>
            <w:vAlign w:val="center"/>
            <w:hideMark/>
          </w:tcPr>
          <w:p w:rsidR="00CB126E" w:rsidRPr="00CB126E" w:rsidP="00CB126E" w14:paraId="32407B57" w14:textId="77777777">
            <w:pPr>
              <w:jc w:val="right"/>
              <w:rPr>
                <w:rFonts w:ascii="Calibri" w:hAnsi="Calibri" w:cs="Calibri"/>
                <w:sz w:val="12"/>
                <w:szCs w:val="12"/>
              </w:rPr>
            </w:pPr>
            <w:r w:rsidRPr="00CB126E">
              <w:rPr>
                <w:rFonts w:ascii="Calibri" w:hAnsi="Calibri" w:cs="Calibri"/>
                <w:sz w:val="12"/>
                <w:szCs w:val="12"/>
              </w:rPr>
              <w:t>1.980.081.841,63</w:t>
            </w:r>
          </w:p>
        </w:tc>
        <w:tc>
          <w:tcPr>
            <w:tcW w:w="411" w:type="pct"/>
            <w:tcBorders>
              <w:top w:val="single" w:sz="8" w:space="0" w:color="auto"/>
              <w:left w:val="nil"/>
              <w:bottom w:val="single" w:sz="4" w:space="0" w:color="auto"/>
              <w:right w:val="single" w:sz="8" w:space="0" w:color="auto"/>
            </w:tcBorders>
            <w:noWrap/>
            <w:vAlign w:val="center"/>
            <w:hideMark/>
          </w:tcPr>
          <w:p w:rsidR="00CB126E" w:rsidRPr="00CB126E" w:rsidP="00CB126E" w14:paraId="6EC87B37" w14:textId="77777777">
            <w:pPr>
              <w:jc w:val="right"/>
              <w:rPr>
                <w:rFonts w:ascii="Calibri" w:hAnsi="Calibri" w:cs="Calibri"/>
                <w:sz w:val="12"/>
                <w:szCs w:val="12"/>
              </w:rPr>
            </w:pPr>
            <w:r w:rsidRPr="00CB126E">
              <w:rPr>
                <w:rFonts w:ascii="Calibri" w:hAnsi="Calibri" w:cs="Calibri"/>
                <w:sz w:val="12"/>
                <w:szCs w:val="12"/>
              </w:rPr>
              <w:t>1.980.108.730,66</w:t>
            </w:r>
          </w:p>
        </w:tc>
      </w:tr>
      <w:tr w14:paraId="5C1596A4" w14:textId="77777777" w:rsidTr="00F4620E">
        <w:tblPrEx>
          <w:tblW w:w="5000" w:type="pct"/>
          <w:tblLook w:val="04A0"/>
        </w:tblPrEx>
        <w:trPr>
          <w:trHeight w:hRule="exact" w:val="1182"/>
        </w:trPr>
        <w:tc>
          <w:tcPr>
            <w:tcW w:w="233" w:type="pct"/>
            <w:vMerge/>
            <w:tcBorders>
              <w:top w:val="single" w:sz="8" w:space="0" w:color="auto"/>
              <w:left w:val="single" w:sz="8" w:space="0" w:color="auto"/>
              <w:bottom w:val="single" w:sz="8" w:space="0" w:color="000000"/>
              <w:right w:val="nil"/>
            </w:tcBorders>
            <w:vAlign w:val="center"/>
            <w:hideMark/>
          </w:tcPr>
          <w:p w:rsidR="00CB126E" w:rsidRPr="00CB126E" w:rsidP="00CB126E" w14:paraId="59377846" w14:textId="77777777">
            <w:pPr>
              <w:rPr>
                <w:rFonts w:ascii="Calibri" w:hAnsi="Calibri" w:cs="Calibri"/>
                <w:color w:val="000000"/>
                <w:sz w:val="16"/>
                <w:szCs w:val="16"/>
              </w:rPr>
            </w:pPr>
          </w:p>
        </w:tc>
        <w:tc>
          <w:tcPr>
            <w:tcW w:w="282" w:type="pct"/>
            <w:tcBorders>
              <w:top w:val="nil"/>
              <w:left w:val="single" w:sz="8" w:space="0" w:color="auto"/>
              <w:bottom w:val="single" w:sz="4" w:space="0" w:color="auto"/>
              <w:right w:val="single" w:sz="8" w:space="0" w:color="auto"/>
            </w:tcBorders>
            <w:vAlign w:val="center"/>
            <w:hideMark/>
          </w:tcPr>
          <w:p w:rsidR="00CB126E" w:rsidRPr="00CB126E" w:rsidP="00CB126E" w14:paraId="400E08F8" w14:textId="77777777">
            <w:pPr>
              <w:rPr>
                <w:rFonts w:ascii="Calibri" w:hAnsi="Calibri" w:cs="Calibri"/>
                <w:sz w:val="8"/>
                <w:szCs w:val="8"/>
              </w:rPr>
            </w:pPr>
            <w:r w:rsidRPr="00CB126E">
              <w:rPr>
                <w:rFonts w:ascii="Calibri" w:hAnsi="Calibri" w:cs="Calibri"/>
                <w:sz w:val="8"/>
                <w:szCs w:val="8"/>
              </w:rPr>
              <w:t>Personale non direttivo e non dirigente specialista</w:t>
            </w:r>
          </w:p>
        </w:tc>
        <w:tc>
          <w:tcPr>
            <w:tcW w:w="376" w:type="pct"/>
            <w:tcBorders>
              <w:top w:val="nil"/>
              <w:left w:val="single" w:sz="4" w:space="0" w:color="auto"/>
              <w:bottom w:val="single" w:sz="4" w:space="0" w:color="auto"/>
              <w:right w:val="single" w:sz="4" w:space="0" w:color="auto"/>
            </w:tcBorders>
            <w:noWrap/>
            <w:vAlign w:val="center"/>
            <w:hideMark/>
          </w:tcPr>
          <w:p w:rsidR="00CB126E" w:rsidRPr="00CB126E" w:rsidP="00CB126E" w14:paraId="757AEF60" w14:textId="77777777">
            <w:pPr>
              <w:jc w:val="right"/>
              <w:rPr>
                <w:rFonts w:ascii="Calibri" w:hAnsi="Calibri" w:cs="Calibri"/>
                <w:sz w:val="12"/>
                <w:szCs w:val="12"/>
              </w:rPr>
            </w:pPr>
            <w:r w:rsidRPr="00CB126E">
              <w:rPr>
                <w:rFonts w:ascii="Calibri" w:hAnsi="Calibri" w:cs="Calibri"/>
                <w:sz w:val="12"/>
                <w:szCs w:val="12"/>
              </w:rPr>
              <w:t>109.280.868,85</w:t>
            </w:r>
          </w:p>
        </w:tc>
        <w:tc>
          <w:tcPr>
            <w:tcW w:w="411" w:type="pct"/>
            <w:tcBorders>
              <w:top w:val="nil"/>
              <w:left w:val="nil"/>
              <w:bottom w:val="single" w:sz="4" w:space="0" w:color="auto"/>
              <w:right w:val="single" w:sz="4" w:space="0" w:color="auto"/>
            </w:tcBorders>
            <w:noWrap/>
            <w:vAlign w:val="center"/>
            <w:hideMark/>
          </w:tcPr>
          <w:p w:rsidR="00CB126E" w:rsidRPr="00CB126E" w:rsidP="00CB126E" w14:paraId="083E3B8D" w14:textId="77777777">
            <w:pPr>
              <w:jc w:val="right"/>
              <w:rPr>
                <w:rFonts w:ascii="Calibri" w:hAnsi="Calibri" w:cs="Calibri"/>
                <w:sz w:val="12"/>
                <w:szCs w:val="12"/>
              </w:rPr>
            </w:pPr>
            <w:r w:rsidRPr="00CB126E">
              <w:rPr>
                <w:rFonts w:ascii="Calibri" w:hAnsi="Calibri" w:cs="Calibri"/>
                <w:sz w:val="12"/>
                <w:szCs w:val="12"/>
              </w:rPr>
              <w:t>113.662.305,51</w:t>
            </w:r>
          </w:p>
        </w:tc>
        <w:tc>
          <w:tcPr>
            <w:tcW w:w="411" w:type="pct"/>
            <w:tcBorders>
              <w:top w:val="nil"/>
              <w:left w:val="nil"/>
              <w:bottom w:val="single" w:sz="4" w:space="0" w:color="auto"/>
              <w:right w:val="single" w:sz="4" w:space="0" w:color="auto"/>
            </w:tcBorders>
            <w:noWrap/>
            <w:vAlign w:val="center"/>
            <w:hideMark/>
          </w:tcPr>
          <w:p w:rsidR="00CB126E" w:rsidRPr="00CB126E" w:rsidP="00CB126E" w14:paraId="567F457F" w14:textId="77777777">
            <w:pPr>
              <w:jc w:val="right"/>
              <w:rPr>
                <w:rFonts w:ascii="Calibri" w:hAnsi="Calibri" w:cs="Calibri"/>
                <w:sz w:val="12"/>
                <w:szCs w:val="12"/>
              </w:rPr>
            </w:pPr>
            <w:r w:rsidRPr="00CB126E">
              <w:rPr>
                <w:rFonts w:ascii="Calibri" w:hAnsi="Calibri" w:cs="Calibri"/>
                <w:sz w:val="12"/>
                <w:szCs w:val="12"/>
              </w:rPr>
              <w:t>110.427.910,35</w:t>
            </w:r>
          </w:p>
        </w:tc>
        <w:tc>
          <w:tcPr>
            <w:tcW w:w="411" w:type="pct"/>
            <w:tcBorders>
              <w:top w:val="nil"/>
              <w:left w:val="nil"/>
              <w:bottom w:val="single" w:sz="4" w:space="0" w:color="auto"/>
              <w:right w:val="single" w:sz="4" w:space="0" w:color="auto"/>
            </w:tcBorders>
            <w:noWrap/>
            <w:vAlign w:val="center"/>
            <w:hideMark/>
          </w:tcPr>
          <w:p w:rsidR="00CB126E" w:rsidRPr="00CB126E" w:rsidP="00CB126E" w14:paraId="6B99F898" w14:textId="77777777">
            <w:pPr>
              <w:jc w:val="right"/>
              <w:rPr>
                <w:rFonts w:ascii="Calibri" w:hAnsi="Calibri" w:cs="Calibri"/>
                <w:sz w:val="12"/>
                <w:szCs w:val="12"/>
              </w:rPr>
            </w:pPr>
            <w:r w:rsidRPr="00CB126E">
              <w:rPr>
                <w:rFonts w:ascii="Calibri" w:hAnsi="Calibri" w:cs="Calibri"/>
                <w:sz w:val="12"/>
                <w:szCs w:val="12"/>
              </w:rPr>
              <w:t>109.623.975,80</w:t>
            </w:r>
          </w:p>
        </w:tc>
        <w:tc>
          <w:tcPr>
            <w:tcW w:w="411" w:type="pct"/>
            <w:tcBorders>
              <w:top w:val="nil"/>
              <w:left w:val="nil"/>
              <w:bottom w:val="single" w:sz="4" w:space="0" w:color="auto"/>
              <w:right w:val="single" w:sz="4" w:space="0" w:color="auto"/>
            </w:tcBorders>
            <w:noWrap/>
            <w:vAlign w:val="center"/>
            <w:hideMark/>
          </w:tcPr>
          <w:p w:rsidR="00CB126E" w:rsidRPr="00CB126E" w:rsidP="00CB126E" w14:paraId="0CE2C8CC" w14:textId="77777777">
            <w:pPr>
              <w:jc w:val="right"/>
              <w:rPr>
                <w:rFonts w:ascii="Calibri" w:hAnsi="Calibri" w:cs="Calibri"/>
                <w:sz w:val="12"/>
                <w:szCs w:val="12"/>
              </w:rPr>
            </w:pPr>
            <w:r w:rsidRPr="00CB126E">
              <w:rPr>
                <w:rFonts w:ascii="Calibri" w:hAnsi="Calibri" w:cs="Calibri"/>
                <w:sz w:val="12"/>
                <w:szCs w:val="12"/>
              </w:rPr>
              <w:t>107.840.848,63</w:t>
            </w:r>
          </w:p>
        </w:tc>
        <w:tc>
          <w:tcPr>
            <w:tcW w:w="411" w:type="pct"/>
            <w:tcBorders>
              <w:top w:val="nil"/>
              <w:left w:val="nil"/>
              <w:bottom w:val="single" w:sz="4" w:space="0" w:color="auto"/>
              <w:right w:val="single" w:sz="4" w:space="0" w:color="auto"/>
            </w:tcBorders>
            <w:noWrap/>
            <w:vAlign w:val="center"/>
            <w:hideMark/>
          </w:tcPr>
          <w:p w:rsidR="00CB126E" w:rsidRPr="00CB126E" w:rsidP="00CB126E" w14:paraId="733DEB09" w14:textId="77777777">
            <w:pPr>
              <w:jc w:val="right"/>
              <w:rPr>
                <w:rFonts w:ascii="Calibri" w:hAnsi="Calibri" w:cs="Calibri"/>
                <w:sz w:val="12"/>
                <w:szCs w:val="12"/>
              </w:rPr>
            </w:pPr>
            <w:r w:rsidRPr="00CB126E">
              <w:rPr>
                <w:rFonts w:ascii="Calibri" w:hAnsi="Calibri" w:cs="Calibri"/>
                <w:sz w:val="12"/>
                <w:szCs w:val="12"/>
              </w:rPr>
              <w:t>104.788.620,65</w:t>
            </w:r>
          </w:p>
        </w:tc>
        <w:tc>
          <w:tcPr>
            <w:tcW w:w="411" w:type="pct"/>
            <w:tcBorders>
              <w:top w:val="nil"/>
              <w:left w:val="nil"/>
              <w:bottom w:val="single" w:sz="4" w:space="0" w:color="auto"/>
              <w:right w:val="single" w:sz="4" w:space="0" w:color="auto"/>
            </w:tcBorders>
            <w:noWrap/>
            <w:vAlign w:val="center"/>
            <w:hideMark/>
          </w:tcPr>
          <w:p w:rsidR="00CB126E" w:rsidRPr="00CB126E" w:rsidP="00CB126E" w14:paraId="296EA990" w14:textId="77777777">
            <w:pPr>
              <w:jc w:val="right"/>
              <w:rPr>
                <w:rFonts w:ascii="Calibri" w:hAnsi="Calibri" w:cs="Calibri"/>
                <w:sz w:val="12"/>
                <w:szCs w:val="12"/>
              </w:rPr>
            </w:pPr>
            <w:r w:rsidRPr="00CB126E">
              <w:rPr>
                <w:rFonts w:ascii="Calibri" w:hAnsi="Calibri" w:cs="Calibri"/>
                <w:sz w:val="12"/>
                <w:szCs w:val="12"/>
              </w:rPr>
              <w:t>102.273.968,73</w:t>
            </w:r>
          </w:p>
        </w:tc>
        <w:tc>
          <w:tcPr>
            <w:tcW w:w="411" w:type="pct"/>
            <w:tcBorders>
              <w:top w:val="nil"/>
              <w:left w:val="nil"/>
              <w:bottom w:val="single" w:sz="4" w:space="0" w:color="auto"/>
              <w:right w:val="single" w:sz="4" w:space="0" w:color="auto"/>
            </w:tcBorders>
            <w:noWrap/>
            <w:vAlign w:val="center"/>
            <w:hideMark/>
          </w:tcPr>
          <w:p w:rsidR="00CB126E" w:rsidRPr="00CB126E" w:rsidP="00CB126E" w14:paraId="156BC55E" w14:textId="77777777">
            <w:pPr>
              <w:jc w:val="right"/>
              <w:rPr>
                <w:rFonts w:ascii="Calibri" w:hAnsi="Calibri" w:cs="Calibri"/>
                <w:sz w:val="12"/>
                <w:szCs w:val="12"/>
              </w:rPr>
            </w:pPr>
            <w:r w:rsidRPr="00CB126E">
              <w:rPr>
                <w:rFonts w:ascii="Calibri" w:hAnsi="Calibri" w:cs="Calibri"/>
                <w:sz w:val="12"/>
                <w:szCs w:val="12"/>
              </w:rPr>
              <w:t>100.669.682,12</w:t>
            </w:r>
          </w:p>
        </w:tc>
        <w:tc>
          <w:tcPr>
            <w:tcW w:w="411" w:type="pct"/>
            <w:tcBorders>
              <w:top w:val="nil"/>
              <w:left w:val="nil"/>
              <w:bottom w:val="single" w:sz="4" w:space="0" w:color="auto"/>
              <w:right w:val="single" w:sz="4" w:space="0" w:color="auto"/>
            </w:tcBorders>
            <w:noWrap/>
            <w:vAlign w:val="center"/>
            <w:hideMark/>
          </w:tcPr>
          <w:p w:rsidR="00CB126E" w:rsidRPr="00CB126E" w:rsidP="00CB126E" w14:paraId="627F68A2" w14:textId="77777777">
            <w:pPr>
              <w:jc w:val="right"/>
              <w:rPr>
                <w:rFonts w:ascii="Calibri" w:hAnsi="Calibri" w:cs="Calibri"/>
                <w:sz w:val="12"/>
                <w:szCs w:val="12"/>
              </w:rPr>
            </w:pPr>
            <w:r w:rsidRPr="00CB126E">
              <w:rPr>
                <w:rFonts w:ascii="Calibri" w:hAnsi="Calibri" w:cs="Calibri"/>
                <w:sz w:val="12"/>
                <w:szCs w:val="12"/>
              </w:rPr>
              <w:t>98.130.661,73</w:t>
            </w:r>
          </w:p>
        </w:tc>
        <w:tc>
          <w:tcPr>
            <w:tcW w:w="411" w:type="pct"/>
            <w:tcBorders>
              <w:top w:val="nil"/>
              <w:left w:val="nil"/>
              <w:bottom w:val="single" w:sz="4" w:space="0" w:color="auto"/>
              <w:right w:val="single" w:sz="4" w:space="0" w:color="auto"/>
            </w:tcBorders>
            <w:noWrap/>
            <w:vAlign w:val="center"/>
            <w:hideMark/>
          </w:tcPr>
          <w:p w:rsidR="00CB126E" w:rsidRPr="00CB126E" w:rsidP="00CB126E" w14:paraId="4CDE059D" w14:textId="77777777">
            <w:pPr>
              <w:jc w:val="right"/>
              <w:rPr>
                <w:rFonts w:ascii="Calibri" w:hAnsi="Calibri" w:cs="Calibri"/>
                <w:sz w:val="12"/>
                <w:szCs w:val="12"/>
              </w:rPr>
            </w:pPr>
            <w:r w:rsidRPr="00CB126E">
              <w:rPr>
                <w:rFonts w:ascii="Calibri" w:hAnsi="Calibri" w:cs="Calibri"/>
                <w:sz w:val="12"/>
                <w:szCs w:val="12"/>
              </w:rPr>
              <w:t>96.423.989,64</w:t>
            </w:r>
          </w:p>
        </w:tc>
        <w:tc>
          <w:tcPr>
            <w:tcW w:w="411" w:type="pct"/>
            <w:tcBorders>
              <w:top w:val="nil"/>
              <w:left w:val="nil"/>
              <w:bottom w:val="single" w:sz="4" w:space="0" w:color="auto"/>
              <w:right w:val="single" w:sz="8" w:space="0" w:color="auto"/>
            </w:tcBorders>
            <w:noWrap/>
            <w:vAlign w:val="center"/>
            <w:hideMark/>
          </w:tcPr>
          <w:p w:rsidR="00CB126E" w:rsidRPr="00CB126E" w:rsidP="00CB126E" w14:paraId="7C8A2E0D" w14:textId="77777777">
            <w:pPr>
              <w:jc w:val="right"/>
              <w:rPr>
                <w:rFonts w:ascii="Calibri" w:hAnsi="Calibri" w:cs="Calibri"/>
                <w:sz w:val="12"/>
                <w:szCs w:val="12"/>
              </w:rPr>
            </w:pPr>
            <w:r w:rsidRPr="00CB126E">
              <w:rPr>
                <w:rFonts w:ascii="Calibri" w:hAnsi="Calibri" w:cs="Calibri"/>
                <w:sz w:val="12"/>
                <w:szCs w:val="12"/>
              </w:rPr>
              <w:t>109.687.581,47</w:t>
            </w:r>
          </w:p>
        </w:tc>
      </w:tr>
      <w:tr w14:paraId="03A239A0" w14:textId="77777777" w:rsidTr="00F4620E">
        <w:tblPrEx>
          <w:tblW w:w="5000" w:type="pct"/>
          <w:tblLook w:val="04A0"/>
        </w:tblPrEx>
        <w:trPr>
          <w:trHeight w:hRule="exact" w:val="1049"/>
        </w:trPr>
        <w:tc>
          <w:tcPr>
            <w:tcW w:w="233" w:type="pct"/>
            <w:vMerge/>
            <w:tcBorders>
              <w:top w:val="single" w:sz="8" w:space="0" w:color="auto"/>
              <w:left w:val="single" w:sz="8" w:space="0" w:color="auto"/>
              <w:bottom w:val="single" w:sz="8" w:space="0" w:color="000000"/>
              <w:right w:val="nil"/>
            </w:tcBorders>
            <w:vAlign w:val="center"/>
            <w:hideMark/>
          </w:tcPr>
          <w:p w:rsidR="00CB126E" w:rsidRPr="00CB126E" w:rsidP="00CB126E" w14:paraId="4340FD66" w14:textId="77777777">
            <w:pPr>
              <w:rPr>
                <w:rFonts w:ascii="Calibri" w:hAnsi="Calibri" w:cs="Calibri"/>
                <w:color w:val="000000"/>
                <w:sz w:val="16"/>
                <w:szCs w:val="16"/>
              </w:rPr>
            </w:pPr>
          </w:p>
        </w:tc>
        <w:tc>
          <w:tcPr>
            <w:tcW w:w="282" w:type="pct"/>
            <w:tcBorders>
              <w:top w:val="nil"/>
              <w:left w:val="single" w:sz="8" w:space="0" w:color="auto"/>
              <w:bottom w:val="single" w:sz="4" w:space="0" w:color="auto"/>
              <w:right w:val="single" w:sz="8" w:space="0" w:color="auto"/>
            </w:tcBorders>
            <w:vAlign w:val="center"/>
            <w:hideMark/>
          </w:tcPr>
          <w:p w:rsidR="00CB126E" w:rsidRPr="00CB126E" w:rsidP="00CB126E" w14:paraId="2F461A82" w14:textId="77777777">
            <w:pPr>
              <w:rPr>
                <w:rFonts w:ascii="Calibri" w:hAnsi="Calibri" w:cs="Calibri"/>
                <w:sz w:val="10"/>
                <w:szCs w:val="10"/>
              </w:rPr>
            </w:pPr>
            <w:r w:rsidRPr="00CB126E">
              <w:rPr>
                <w:rFonts w:ascii="Calibri" w:hAnsi="Calibri" w:cs="Calibri"/>
                <w:sz w:val="10"/>
                <w:szCs w:val="10"/>
              </w:rPr>
              <w:t>Personale direttivo ordinario e specialista</w:t>
            </w:r>
          </w:p>
        </w:tc>
        <w:tc>
          <w:tcPr>
            <w:tcW w:w="376" w:type="pct"/>
            <w:tcBorders>
              <w:top w:val="nil"/>
              <w:left w:val="single" w:sz="4" w:space="0" w:color="auto"/>
              <w:bottom w:val="single" w:sz="4" w:space="0" w:color="auto"/>
              <w:right w:val="single" w:sz="4" w:space="0" w:color="auto"/>
            </w:tcBorders>
            <w:noWrap/>
            <w:vAlign w:val="center"/>
            <w:hideMark/>
          </w:tcPr>
          <w:p w:rsidR="00CB126E" w:rsidRPr="00CB126E" w:rsidP="00CB126E" w14:paraId="2F73A8A5" w14:textId="77777777">
            <w:pPr>
              <w:jc w:val="right"/>
              <w:rPr>
                <w:rFonts w:ascii="Calibri" w:hAnsi="Calibri" w:cs="Calibri"/>
                <w:sz w:val="12"/>
                <w:szCs w:val="12"/>
              </w:rPr>
            </w:pPr>
            <w:r w:rsidRPr="00CB126E">
              <w:rPr>
                <w:rFonts w:ascii="Calibri" w:hAnsi="Calibri" w:cs="Calibri"/>
                <w:sz w:val="12"/>
                <w:szCs w:val="12"/>
              </w:rPr>
              <w:t>112.823.980,82</w:t>
            </w:r>
          </w:p>
        </w:tc>
        <w:tc>
          <w:tcPr>
            <w:tcW w:w="411" w:type="pct"/>
            <w:tcBorders>
              <w:top w:val="nil"/>
              <w:left w:val="nil"/>
              <w:bottom w:val="single" w:sz="4" w:space="0" w:color="auto"/>
              <w:right w:val="single" w:sz="4" w:space="0" w:color="auto"/>
            </w:tcBorders>
            <w:noWrap/>
            <w:vAlign w:val="center"/>
            <w:hideMark/>
          </w:tcPr>
          <w:p w:rsidR="00CB126E" w:rsidRPr="00CB126E" w:rsidP="00CB126E" w14:paraId="03199D5C" w14:textId="77777777">
            <w:pPr>
              <w:jc w:val="right"/>
              <w:rPr>
                <w:rFonts w:ascii="Calibri" w:hAnsi="Calibri" w:cs="Calibri"/>
                <w:sz w:val="12"/>
                <w:szCs w:val="12"/>
              </w:rPr>
            </w:pPr>
            <w:r w:rsidRPr="00CB126E">
              <w:rPr>
                <w:rFonts w:ascii="Calibri" w:hAnsi="Calibri" w:cs="Calibri"/>
                <w:sz w:val="12"/>
                <w:szCs w:val="12"/>
              </w:rPr>
              <w:t>112.645.496,05</w:t>
            </w:r>
          </w:p>
        </w:tc>
        <w:tc>
          <w:tcPr>
            <w:tcW w:w="411" w:type="pct"/>
            <w:tcBorders>
              <w:top w:val="nil"/>
              <w:left w:val="nil"/>
              <w:bottom w:val="single" w:sz="4" w:space="0" w:color="auto"/>
              <w:right w:val="single" w:sz="4" w:space="0" w:color="auto"/>
            </w:tcBorders>
            <w:noWrap/>
            <w:vAlign w:val="center"/>
            <w:hideMark/>
          </w:tcPr>
          <w:p w:rsidR="00CB126E" w:rsidRPr="00CB126E" w:rsidP="00CB126E" w14:paraId="08B6769E" w14:textId="77777777">
            <w:pPr>
              <w:jc w:val="right"/>
              <w:rPr>
                <w:rFonts w:ascii="Calibri" w:hAnsi="Calibri" w:cs="Calibri"/>
                <w:sz w:val="12"/>
                <w:szCs w:val="12"/>
              </w:rPr>
            </w:pPr>
            <w:r w:rsidRPr="00CB126E">
              <w:rPr>
                <w:rFonts w:ascii="Calibri" w:hAnsi="Calibri" w:cs="Calibri"/>
                <w:sz w:val="12"/>
                <w:szCs w:val="12"/>
              </w:rPr>
              <w:t>110.264.824,46</w:t>
            </w:r>
          </w:p>
        </w:tc>
        <w:tc>
          <w:tcPr>
            <w:tcW w:w="411" w:type="pct"/>
            <w:tcBorders>
              <w:top w:val="nil"/>
              <w:left w:val="nil"/>
              <w:bottom w:val="single" w:sz="4" w:space="0" w:color="auto"/>
              <w:right w:val="single" w:sz="4" w:space="0" w:color="auto"/>
            </w:tcBorders>
            <w:noWrap/>
            <w:vAlign w:val="center"/>
            <w:hideMark/>
          </w:tcPr>
          <w:p w:rsidR="00CB126E" w:rsidRPr="00CB126E" w:rsidP="00CB126E" w14:paraId="5AF1349C" w14:textId="77777777">
            <w:pPr>
              <w:jc w:val="right"/>
              <w:rPr>
                <w:rFonts w:ascii="Calibri" w:hAnsi="Calibri" w:cs="Calibri"/>
                <w:sz w:val="12"/>
                <w:szCs w:val="12"/>
              </w:rPr>
            </w:pPr>
            <w:r w:rsidRPr="00CB126E">
              <w:rPr>
                <w:rFonts w:ascii="Calibri" w:hAnsi="Calibri" w:cs="Calibri"/>
                <w:sz w:val="12"/>
                <w:szCs w:val="12"/>
              </w:rPr>
              <w:t>109.098.617,49</w:t>
            </w:r>
          </w:p>
        </w:tc>
        <w:tc>
          <w:tcPr>
            <w:tcW w:w="411" w:type="pct"/>
            <w:tcBorders>
              <w:top w:val="nil"/>
              <w:left w:val="nil"/>
              <w:bottom w:val="single" w:sz="4" w:space="0" w:color="auto"/>
              <w:right w:val="single" w:sz="4" w:space="0" w:color="auto"/>
            </w:tcBorders>
            <w:noWrap/>
            <w:vAlign w:val="center"/>
            <w:hideMark/>
          </w:tcPr>
          <w:p w:rsidR="00CB126E" w:rsidRPr="00CB126E" w:rsidP="00CB126E" w14:paraId="727C31C1" w14:textId="77777777">
            <w:pPr>
              <w:jc w:val="right"/>
              <w:rPr>
                <w:rFonts w:ascii="Calibri" w:hAnsi="Calibri" w:cs="Calibri"/>
                <w:sz w:val="12"/>
                <w:szCs w:val="12"/>
              </w:rPr>
            </w:pPr>
            <w:r w:rsidRPr="00CB126E">
              <w:rPr>
                <w:rFonts w:ascii="Calibri" w:hAnsi="Calibri" w:cs="Calibri"/>
                <w:sz w:val="12"/>
                <w:szCs w:val="12"/>
              </w:rPr>
              <w:t>104.854.155,84</w:t>
            </w:r>
          </w:p>
        </w:tc>
        <w:tc>
          <w:tcPr>
            <w:tcW w:w="411" w:type="pct"/>
            <w:tcBorders>
              <w:top w:val="nil"/>
              <w:left w:val="nil"/>
              <w:bottom w:val="single" w:sz="4" w:space="0" w:color="auto"/>
              <w:right w:val="single" w:sz="4" w:space="0" w:color="auto"/>
            </w:tcBorders>
            <w:noWrap/>
            <w:vAlign w:val="center"/>
            <w:hideMark/>
          </w:tcPr>
          <w:p w:rsidR="00CB126E" w:rsidRPr="00CB126E" w:rsidP="00CB126E" w14:paraId="218DBC04" w14:textId="77777777">
            <w:pPr>
              <w:jc w:val="right"/>
              <w:rPr>
                <w:rFonts w:ascii="Calibri" w:hAnsi="Calibri" w:cs="Calibri"/>
                <w:sz w:val="12"/>
                <w:szCs w:val="12"/>
              </w:rPr>
            </w:pPr>
            <w:r w:rsidRPr="00CB126E">
              <w:rPr>
                <w:rFonts w:ascii="Calibri" w:hAnsi="Calibri" w:cs="Calibri"/>
                <w:sz w:val="12"/>
                <w:szCs w:val="12"/>
              </w:rPr>
              <w:t>101.801.108,27</w:t>
            </w:r>
          </w:p>
        </w:tc>
        <w:tc>
          <w:tcPr>
            <w:tcW w:w="411" w:type="pct"/>
            <w:tcBorders>
              <w:top w:val="nil"/>
              <w:left w:val="nil"/>
              <w:bottom w:val="single" w:sz="4" w:space="0" w:color="auto"/>
              <w:right w:val="single" w:sz="4" w:space="0" w:color="auto"/>
            </w:tcBorders>
            <w:noWrap/>
            <w:vAlign w:val="center"/>
            <w:hideMark/>
          </w:tcPr>
          <w:p w:rsidR="00CB126E" w:rsidRPr="00CB126E" w:rsidP="00CB126E" w14:paraId="5572A584" w14:textId="77777777">
            <w:pPr>
              <w:jc w:val="right"/>
              <w:rPr>
                <w:rFonts w:ascii="Calibri" w:hAnsi="Calibri" w:cs="Calibri"/>
                <w:sz w:val="12"/>
                <w:szCs w:val="12"/>
              </w:rPr>
            </w:pPr>
            <w:r w:rsidRPr="00CB126E">
              <w:rPr>
                <w:rFonts w:ascii="Calibri" w:hAnsi="Calibri" w:cs="Calibri"/>
                <w:sz w:val="12"/>
                <w:szCs w:val="12"/>
              </w:rPr>
              <w:t>97.731.066,03</w:t>
            </w:r>
          </w:p>
        </w:tc>
        <w:tc>
          <w:tcPr>
            <w:tcW w:w="411" w:type="pct"/>
            <w:tcBorders>
              <w:top w:val="nil"/>
              <w:left w:val="nil"/>
              <w:bottom w:val="single" w:sz="4" w:space="0" w:color="auto"/>
              <w:right w:val="single" w:sz="4" w:space="0" w:color="auto"/>
            </w:tcBorders>
            <w:noWrap/>
            <w:vAlign w:val="center"/>
            <w:hideMark/>
          </w:tcPr>
          <w:p w:rsidR="00CB126E" w:rsidRPr="00CB126E" w:rsidP="00CB126E" w14:paraId="2A449E68" w14:textId="77777777">
            <w:pPr>
              <w:jc w:val="right"/>
              <w:rPr>
                <w:rFonts w:ascii="Calibri" w:hAnsi="Calibri" w:cs="Calibri"/>
                <w:sz w:val="12"/>
                <w:szCs w:val="12"/>
              </w:rPr>
            </w:pPr>
            <w:r w:rsidRPr="00CB126E">
              <w:rPr>
                <w:rFonts w:ascii="Calibri" w:hAnsi="Calibri" w:cs="Calibri"/>
                <w:sz w:val="12"/>
                <w:szCs w:val="12"/>
              </w:rPr>
              <w:t>95.954.496,18</w:t>
            </w:r>
          </w:p>
        </w:tc>
        <w:tc>
          <w:tcPr>
            <w:tcW w:w="411" w:type="pct"/>
            <w:tcBorders>
              <w:top w:val="nil"/>
              <w:left w:val="nil"/>
              <w:bottom w:val="single" w:sz="4" w:space="0" w:color="auto"/>
              <w:right w:val="single" w:sz="4" w:space="0" w:color="auto"/>
            </w:tcBorders>
            <w:noWrap/>
            <w:vAlign w:val="center"/>
            <w:hideMark/>
          </w:tcPr>
          <w:p w:rsidR="00CB126E" w:rsidRPr="00CB126E" w:rsidP="00CB126E" w14:paraId="257DD360" w14:textId="77777777">
            <w:pPr>
              <w:jc w:val="right"/>
              <w:rPr>
                <w:rFonts w:ascii="Calibri" w:hAnsi="Calibri" w:cs="Calibri"/>
                <w:sz w:val="12"/>
                <w:szCs w:val="12"/>
              </w:rPr>
            </w:pPr>
            <w:r w:rsidRPr="00CB126E">
              <w:rPr>
                <w:rFonts w:ascii="Calibri" w:hAnsi="Calibri" w:cs="Calibri"/>
                <w:sz w:val="12"/>
                <w:szCs w:val="12"/>
              </w:rPr>
              <w:t>93.305.118,04</w:t>
            </w:r>
          </w:p>
        </w:tc>
        <w:tc>
          <w:tcPr>
            <w:tcW w:w="411" w:type="pct"/>
            <w:tcBorders>
              <w:top w:val="nil"/>
              <w:left w:val="nil"/>
              <w:bottom w:val="single" w:sz="4" w:space="0" w:color="auto"/>
              <w:right w:val="single" w:sz="4" w:space="0" w:color="auto"/>
            </w:tcBorders>
            <w:noWrap/>
            <w:vAlign w:val="center"/>
            <w:hideMark/>
          </w:tcPr>
          <w:p w:rsidR="00CB126E" w:rsidRPr="00CB126E" w:rsidP="00CB126E" w14:paraId="6722CA50" w14:textId="77777777">
            <w:pPr>
              <w:jc w:val="right"/>
              <w:rPr>
                <w:rFonts w:ascii="Calibri" w:hAnsi="Calibri" w:cs="Calibri"/>
                <w:sz w:val="12"/>
                <w:szCs w:val="12"/>
              </w:rPr>
            </w:pPr>
            <w:r w:rsidRPr="00CB126E">
              <w:rPr>
                <w:rFonts w:ascii="Calibri" w:hAnsi="Calibri" w:cs="Calibri"/>
                <w:sz w:val="12"/>
                <w:szCs w:val="12"/>
              </w:rPr>
              <w:t>88.613.832,55</w:t>
            </w:r>
          </w:p>
        </w:tc>
        <w:tc>
          <w:tcPr>
            <w:tcW w:w="411" w:type="pct"/>
            <w:tcBorders>
              <w:top w:val="nil"/>
              <w:left w:val="nil"/>
              <w:bottom w:val="single" w:sz="4" w:space="0" w:color="auto"/>
              <w:right w:val="single" w:sz="8" w:space="0" w:color="auto"/>
            </w:tcBorders>
            <w:noWrap/>
            <w:vAlign w:val="center"/>
            <w:hideMark/>
          </w:tcPr>
          <w:p w:rsidR="00CB126E" w:rsidRPr="00CB126E" w:rsidP="00CB126E" w14:paraId="3CB840FF" w14:textId="77777777">
            <w:pPr>
              <w:jc w:val="right"/>
              <w:rPr>
                <w:rFonts w:ascii="Calibri" w:hAnsi="Calibri" w:cs="Calibri"/>
                <w:sz w:val="12"/>
                <w:szCs w:val="12"/>
              </w:rPr>
            </w:pPr>
            <w:r w:rsidRPr="00CB126E">
              <w:rPr>
                <w:rFonts w:ascii="Calibri" w:hAnsi="Calibri" w:cs="Calibri"/>
                <w:sz w:val="12"/>
                <w:szCs w:val="12"/>
              </w:rPr>
              <w:t>84.731.616,13</w:t>
            </w:r>
          </w:p>
        </w:tc>
      </w:tr>
      <w:tr w14:paraId="71900CC7" w14:textId="77777777" w:rsidTr="00F4620E">
        <w:tblPrEx>
          <w:tblW w:w="5000" w:type="pct"/>
          <w:tblLook w:val="04A0"/>
        </w:tblPrEx>
        <w:trPr>
          <w:trHeight w:hRule="exact" w:val="901"/>
        </w:trPr>
        <w:tc>
          <w:tcPr>
            <w:tcW w:w="233" w:type="pct"/>
            <w:vMerge/>
            <w:tcBorders>
              <w:top w:val="single" w:sz="8" w:space="0" w:color="auto"/>
              <w:left w:val="single" w:sz="8" w:space="0" w:color="auto"/>
              <w:bottom w:val="single" w:sz="8" w:space="0" w:color="000000"/>
              <w:right w:val="nil"/>
            </w:tcBorders>
            <w:vAlign w:val="center"/>
            <w:hideMark/>
          </w:tcPr>
          <w:p w:rsidR="00CB126E" w:rsidRPr="00CB126E" w:rsidP="00CB126E" w14:paraId="01897171" w14:textId="77777777">
            <w:pPr>
              <w:rPr>
                <w:rFonts w:ascii="Calibri" w:hAnsi="Calibri" w:cs="Calibri"/>
                <w:color w:val="000000"/>
                <w:sz w:val="16"/>
                <w:szCs w:val="16"/>
              </w:rPr>
            </w:pPr>
          </w:p>
        </w:tc>
        <w:tc>
          <w:tcPr>
            <w:tcW w:w="282" w:type="pct"/>
            <w:tcBorders>
              <w:top w:val="nil"/>
              <w:left w:val="single" w:sz="8" w:space="0" w:color="auto"/>
              <w:bottom w:val="single" w:sz="8" w:space="0" w:color="auto"/>
              <w:right w:val="single" w:sz="8" w:space="0" w:color="auto"/>
            </w:tcBorders>
            <w:vAlign w:val="center"/>
            <w:hideMark/>
          </w:tcPr>
          <w:p w:rsidR="00CB126E" w:rsidRPr="00CB126E" w:rsidP="00CB126E" w14:paraId="10D1A604" w14:textId="77777777">
            <w:pPr>
              <w:rPr>
                <w:rFonts w:ascii="Calibri" w:hAnsi="Calibri" w:cs="Calibri"/>
                <w:sz w:val="10"/>
                <w:szCs w:val="10"/>
              </w:rPr>
            </w:pPr>
            <w:r w:rsidRPr="00CB126E">
              <w:rPr>
                <w:rFonts w:ascii="Calibri" w:hAnsi="Calibri" w:cs="Calibri"/>
                <w:sz w:val="10"/>
                <w:szCs w:val="10"/>
              </w:rPr>
              <w:t>Personale dirigente</w:t>
            </w:r>
          </w:p>
        </w:tc>
        <w:tc>
          <w:tcPr>
            <w:tcW w:w="376" w:type="pct"/>
            <w:tcBorders>
              <w:top w:val="nil"/>
              <w:left w:val="single" w:sz="4" w:space="0" w:color="auto"/>
              <w:bottom w:val="single" w:sz="8" w:space="0" w:color="auto"/>
              <w:right w:val="single" w:sz="4" w:space="0" w:color="auto"/>
            </w:tcBorders>
            <w:noWrap/>
            <w:vAlign w:val="center"/>
            <w:hideMark/>
          </w:tcPr>
          <w:p w:rsidR="00CB126E" w:rsidRPr="00CB126E" w:rsidP="00E50B55" w14:paraId="55DA9024" w14:textId="77777777">
            <w:pPr>
              <w:jc w:val="right"/>
              <w:rPr>
                <w:rFonts w:ascii="Calibri" w:hAnsi="Calibri" w:cs="Calibri"/>
                <w:sz w:val="12"/>
                <w:szCs w:val="12"/>
              </w:rPr>
            </w:pPr>
            <w:r w:rsidRPr="00CB126E">
              <w:rPr>
                <w:rFonts w:ascii="Calibri" w:hAnsi="Calibri" w:cs="Calibri"/>
                <w:sz w:val="12"/>
                <w:szCs w:val="12"/>
              </w:rPr>
              <w:t>37.416.640,78</w:t>
            </w:r>
          </w:p>
        </w:tc>
        <w:tc>
          <w:tcPr>
            <w:tcW w:w="411" w:type="pct"/>
            <w:tcBorders>
              <w:top w:val="nil"/>
              <w:left w:val="nil"/>
              <w:bottom w:val="single" w:sz="8" w:space="0" w:color="auto"/>
              <w:right w:val="single" w:sz="4" w:space="0" w:color="auto"/>
            </w:tcBorders>
            <w:noWrap/>
            <w:vAlign w:val="center"/>
            <w:hideMark/>
          </w:tcPr>
          <w:p w:rsidR="00CB126E" w:rsidRPr="00CB126E" w:rsidP="00CB126E" w14:paraId="3CD88C42" w14:textId="77777777">
            <w:pPr>
              <w:jc w:val="right"/>
              <w:rPr>
                <w:rFonts w:ascii="Calibri" w:hAnsi="Calibri" w:cs="Calibri"/>
                <w:sz w:val="12"/>
                <w:szCs w:val="12"/>
              </w:rPr>
            </w:pPr>
            <w:r w:rsidRPr="00CB126E">
              <w:rPr>
                <w:rFonts w:ascii="Calibri" w:hAnsi="Calibri" w:cs="Calibri"/>
                <w:sz w:val="12"/>
                <w:szCs w:val="12"/>
              </w:rPr>
              <w:t>36.493.347,18</w:t>
            </w:r>
          </w:p>
        </w:tc>
        <w:tc>
          <w:tcPr>
            <w:tcW w:w="411" w:type="pct"/>
            <w:tcBorders>
              <w:top w:val="nil"/>
              <w:left w:val="nil"/>
              <w:bottom w:val="single" w:sz="8" w:space="0" w:color="auto"/>
              <w:right w:val="single" w:sz="4" w:space="0" w:color="auto"/>
            </w:tcBorders>
            <w:noWrap/>
            <w:vAlign w:val="center"/>
            <w:hideMark/>
          </w:tcPr>
          <w:p w:rsidR="00CB126E" w:rsidRPr="00CB126E" w:rsidP="00CB126E" w14:paraId="5A899398" w14:textId="77777777">
            <w:pPr>
              <w:jc w:val="right"/>
              <w:rPr>
                <w:rFonts w:ascii="Calibri" w:hAnsi="Calibri" w:cs="Calibri"/>
                <w:sz w:val="12"/>
                <w:szCs w:val="12"/>
              </w:rPr>
            </w:pPr>
            <w:r w:rsidRPr="00CB126E">
              <w:rPr>
                <w:rFonts w:ascii="Calibri" w:hAnsi="Calibri" w:cs="Calibri"/>
                <w:sz w:val="12"/>
                <w:szCs w:val="12"/>
              </w:rPr>
              <w:t>36.950.633,41</w:t>
            </w:r>
          </w:p>
        </w:tc>
        <w:tc>
          <w:tcPr>
            <w:tcW w:w="411" w:type="pct"/>
            <w:tcBorders>
              <w:top w:val="nil"/>
              <w:left w:val="nil"/>
              <w:bottom w:val="single" w:sz="8" w:space="0" w:color="auto"/>
              <w:right w:val="single" w:sz="4" w:space="0" w:color="auto"/>
            </w:tcBorders>
            <w:noWrap/>
            <w:vAlign w:val="center"/>
            <w:hideMark/>
          </w:tcPr>
          <w:p w:rsidR="00CB126E" w:rsidRPr="00CB126E" w:rsidP="00CB126E" w14:paraId="6AF02354" w14:textId="77777777">
            <w:pPr>
              <w:jc w:val="right"/>
              <w:rPr>
                <w:rFonts w:ascii="Calibri" w:hAnsi="Calibri" w:cs="Calibri"/>
                <w:sz w:val="12"/>
                <w:szCs w:val="12"/>
              </w:rPr>
            </w:pPr>
            <w:r w:rsidRPr="00CB126E">
              <w:rPr>
                <w:rFonts w:ascii="Calibri" w:hAnsi="Calibri" w:cs="Calibri"/>
                <w:sz w:val="12"/>
                <w:szCs w:val="12"/>
              </w:rPr>
              <w:t>32.877.723,31</w:t>
            </w:r>
          </w:p>
        </w:tc>
        <w:tc>
          <w:tcPr>
            <w:tcW w:w="411" w:type="pct"/>
            <w:tcBorders>
              <w:top w:val="nil"/>
              <w:left w:val="nil"/>
              <w:bottom w:val="single" w:sz="8" w:space="0" w:color="auto"/>
              <w:right w:val="single" w:sz="4" w:space="0" w:color="auto"/>
            </w:tcBorders>
            <w:noWrap/>
            <w:vAlign w:val="center"/>
            <w:hideMark/>
          </w:tcPr>
          <w:p w:rsidR="00CB126E" w:rsidRPr="00CB126E" w:rsidP="00CB126E" w14:paraId="19884A0D" w14:textId="77777777">
            <w:pPr>
              <w:jc w:val="right"/>
              <w:rPr>
                <w:rFonts w:ascii="Calibri" w:hAnsi="Calibri" w:cs="Calibri"/>
                <w:sz w:val="12"/>
                <w:szCs w:val="12"/>
              </w:rPr>
            </w:pPr>
            <w:r w:rsidRPr="00CB126E">
              <w:rPr>
                <w:rFonts w:ascii="Calibri" w:hAnsi="Calibri" w:cs="Calibri"/>
                <w:sz w:val="12"/>
                <w:szCs w:val="12"/>
              </w:rPr>
              <w:t>35.334.306,66</w:t>
            </w:r>
          </w:p>
        </w:tc>
        <w:tc>
          <w:tcPr>
            <w:tcW w:w="411" w:type="pct"/>
            <w:tcBorders>
              <w:top w:val="nil"/>
              <w:left w:val="nil"/>
              <w:bottom w:val="single" w:sz="8" w:space="0" w:color="auto"/>
              <w:right w:val="single" w:sz="4" w:space="0" w:color="auto"/>
            </w:tcBorders>
            <w:noWrap/>
            <w:vAlign w:val="center"/>
            <w:hideMark/>
          </w:tcPr>
          <w:p w:rsidR="00CB126E" w:rsidRPr="00CB126E" w:rsidP="00CB126E" w14:paraId="1C8D8401" w14:textId="77777777">
            <w:pPr>
              <w:jc w:val="right"/>
              <w:rPr>
                <w:rFonts w:ascii="Calibri" w:hAnsi="Calibri" w:cs="Calibri"/>
                <w:sz w:val="12"/>
                <w:szCs w:val="12"/>
              </w:rPr>
            </w:pPr>
            <w:r w:rsidRPr="00CB126E">
              <w:rPr>
                <w:rFonts w:ascii="Calibri" w:hAnsi="Calibri" w:cs="Calibri"/>
                <w:sz w:val="12"/>
                <w:szCs w:val="12"/>
              </w:rPr>
              <w:t>34.940.766,73</w:t>
            </w:r>
          </w:p>
        </w:tc>
        <w:tc>
          <w:tcPr>
            <w:tcW w:w="411" w:type="pct"/>
            <w:tcBorders>
              <w:top w:val="nil"/>
              <w:left w:val="nil"/>
              <w:bottom w:val="single" w:sz="8" w:space="0" w:color="auto"/>
              <w:right w:val="single" w:sz="4" w:space="0" w:color="auto"/>
            </w:tcBorders>
            <w:noWrap/>
            <w:vAlign w:val="center"/>
            <w:hideMark/>
          </w:tcPr>
          <w:p w:rsidR="00CB126E" w:rsidRPr="00CB126E" w:rsidP="00CB126E" w14:paraId="7C0DE570" w14:textId="77777777">
            <w:pPr>
              <w:jc w:val="right"/>
              <w:rPr>
                <w:rFonts w:ascii="Calibri" w:hAnsi="Calibri" w:cs="Calibri"/>
                <w:sz w:val="12"/>
                <w:szCs w:val="12"/>
              </w:rPr>
            </w:pPr>
            <w:r w:rsidRPr="00CB126E">
              <w:rPr>
                <w:rFonts w:ascii="Calibri" w:hAnsi="Calibri" w:cs="Calibri"/>
                <w:sz w:val="12"/>
                <w:szCs w:val="12"/>
              </w:rPr>
              <w:t>35.330.143,16</w:t>
            </w:r>
          </w:p>
        </w:tc>
        <w:tc>
          <w:tcPr>
            <w:tcW w:w="411" w:type="pct"/>
            <w:tcBorders>
              <w:top w:val="nil"/>
              <w:left w:val="nil"/>
              <w:bottom w:val="single" w:sz="8" w:space="0" w:color="auto"/>
              <w:right w:val="single" w:sz="4" w:space="0" w:color="auto"/>
            </w:tcBorders>
            <w:noWrap/>
            <w:vAlign w:val="center"/>
            <w:hideMark/>
          </w:tcPr>
          <w:p w:rsidR="00CB126E" w:rsidRPr="00CB126E" w:rsidP="00CB126E" w14:paraId="3C27FA0A" w14:textId="77777777">
            <w:pPr>
              <w:jc w:val="right"/>
              <w:rPr>
                <w:rFonts w:ascii="Calibri" w:hAnsi="Calibri" w:cs="Calibri"/>
                <w:sz w:val="12"/>
                <w:szCs w:val="12"/>
              </w:rPr>
            </w:pPr>
            <w:r w:rsidRPr="00CB126E">
              <w:rPr>
                <w:rFonts w:ascii="Calibri" w:hAnsi="Calibri" w:cs="Calibri"/>
                <w:sz w:val="12"/>
                <w:szCs w:val="12"/>
              </w:rPr>
              <w:t>35.263.018,99</w:t>
            </w:r>
          </w:p>
        </w:tc>
        <w:tc>
          <w:tcPr>
            <w:tcW w:w="411" w:type="pct"/>
            <w:tcBorders>
              <w:top w:val="nil"/>
              <w:left w:val="nil"/>
              <w:bottom w:val="single" w:sz="8" w:space="0" w:color="auto"/>
              <w:right w:val="single" w:sz="4" w:space="0" w:color="auto"/>
            </w:tcBorders>
            <w:noWrap/>
            <w:vAlign w:val="center"/>
            <w:hideMark/>
          </w:tcPr>
          <w:p w:rsidR="00CB126E" w:rsidRPr="00CB126E" w:rsidP="00CB126E" w14:paraId="64B03150" w14:textId="77777777">
            <w:pPr>
              <w:jc w:val="right"/>
              <w:rPr>
                <w:rFonts w:ascii="Calibri" w:hAnsi="Calibri" w:cs="Calibri"/>
                <w:sz w:val="12"/>
                <w:szCs w:val="12"/>
              </w:rPr>
            </w:pPr>
            <w:r w:rsidRPr="00CB126E">
              <w:rPr>
                <w:rFonts w:ascii="Calibri" w:hAnsi="Calibri" w:cs="Calibri"/>
                <w:sz w:val="12"/>
                <w:szCs w:val="12"/>
              </w:rPr>
              <w:t>35.898.717,89</w:t>
            </w:r>
          </w:p>
        </w:tc>
        <w:tc>
          <w:tcPr>
            <w:tcW w:w="411" w:type="pct"/>
            <w:tcBorders>
              <w:top w:val="nil"/>
              <w:left w:val="nil"/>
              <w:bottom w:val="single" w:sz="8" w:space="0" w:color="auto"/>
              <w:right w:val="single" w:sz="4" w:space="0" w:color="auto"/>
            </w:tcBorders>
            <w:noWrap/>
            <w:vAlign w:val="center"/>
            <w:hideMark/>
          </w:tcPr>
          <w:p w:rsidR="00CB126E" w:rsidRPr="00CB126E" w:rsidP="00CB126E" w14:paraId="5660C88A" w14:textId="77777777">
            <w:pPr>
              <w:jc w:val="right"/>
              <w:rPr>
                <w:rFonts w:ascii="Calibri" w:hAnsi="Calibri" w:cs="Calibri"/>
                <w:sz w:val="12"/>
                <w:szCs w:val="12"/>
              </w:rPr>
            </w:pPr>
            <w:r w:rsidRPr="00CB126E">
              <w:rPr>
                <w:rFonts w:ascii="Calibri" w:hAnsi="Calibri" w:cs="Calibri"/>
                <w:sz w:val="12"/>
                <w:szCs w:val="12"/>
              </w:rPr>
              <w:t>36.518.490,77</w:t>
            </w:r>
          </w:p>
        </w:tc>
        <w:tc>
          <w:tcPr>
            <w:tcW w:w="411" w:type="pct"/>
            <w:tcBorders>
              <w:top w:val="nil"/>
              <w:left w:val="nil"/>
              <w:bottom w:val="single" w:sz="8" w:space="0" w:color="auto"/>
              <w:right w:val="single" w:sz="8" w:space="0" w:color="auto"/>
            </w:tcBorders>
            <w:noWrap/>
            <w:vAlign w:val="center"/>
            <w:hideMark/>
          </w:tcPr>
          <w:p w:rsidR="00CB126E" w:rsidRPr="00CB126E" w:rsidP="00CB126E" w14:paraId="59FA4759" w14:textId="77777777">
            <w:pPr>
              <w:jc w:val="right"/>
              <w:rPr>
                <w:rFonts w:ascii="Calibri" w:hAnsi="Calibri" w:cs="Calibri"/>
                <w:sz w:val="12"/>
                <w:szCs w:val="12"/>
              </w:rPr>
            </w:pPr>
            <w:r w:rsidRPr="00CB126E">
              <w:rPr>
                <w:rFonts w:ascii="Calibri" w:hAnsi="Calibri" w:cs="Calibri"/>
                <w:sz w:val="12"/>
                <w:szCs w:val="12"/>
              </w:rPr>
              <w:t>37.495.294,28</w:t>
            </w:r>
          </w:p>
        </w:tc>
      </w:tr>
      <w:tr w14:paraId="16B90322" w14:textId="77777777" w:rsidTr="00F4620E">
        <w:tblPrEx>
          <w:tblW w:w="5000" w:type="pct"/>
          <w:tblLook w:val="04A0"/>
        </w:tblPrEx>
        <w:trPr>
          <w:trHeight w:hRule="exact" w:val="1029"/>
        </w:trPr>
        <w:tc>
          <w:tcPr>
            <w:tcW w:w="233" w:type="pct"/>
            <w:vMerge/>
            <w:tcBorders>
              <w:top w:val="single" w:sz="8" w:space="0" w:color="auto"/>
              <w:left w:val="single" w:sz="8" w:space="0" w:color="auto"/>
              <w:bottom w:val="single" w:sz="8" w:space="0" w:color="000000"/>
              <w:right w:val="nil"/>
            </w:tcBorders>
            <w:vAlign w:val="center"/>
            <w:hideMark/>
          </w:tcPr>
          <w:p w:rsidR="00CB126E" w:rsidRPr="00CB126E" w:rsidP="00CB126E" w14:paraId="3E471A44" w14:textId="77777777">
            <w:pPr>
              <w:rPr>
                <w:rFonts w:ascii="Calibri" w:hAnsi="Calibri" w:cs="Calibri"/>
                <w:color w:val="000000"/>
                <w:sz w:val="16"/>
                <w:szCs w:val="16"/>
              </w:rPr>
            </w:pPr>
          </w:p>
        </w:tc>
        <w:tc>
          <w:tcPr>
            <w:tcW w:w="282" w:type="pct"/>
            <w:tcBorders>
              <w:top w:val="nil"/>
              <w:left w:val="single" w:sz="8" w:space="0" w:color="auto"/>
              <w:bottom w:val="single" w:sz="8" w:space="0" w:color="auto"/>
              <w:right w:val="single" w:sz="8" w:space="0" w:color="auto"/>
            </w:tcBorders>
            <w:vAlign w:val="center"/>
            <w:hideMark/>
          </w:tcPr>
          <w:p w:rsidR="00CB126E" w:rsidRPr="00CB126E" w:rsidP="00CB126E" w14:paraId="48C772CD" w14:textId="77777777">
            <w:pPr>
              <w:rPr>
                <w:rFonts w:ascii="Calibri" w:hAnsi="Calibri" w:cs="Calibri"/>
                <w:b/>
                <w:bCs/>
                <w:color w:val="000000"/>
                <w:sz w:val="10"/>
                <w:szCs w:val="10"/>
              </w:rPr>
            </w:pPr>
            <w:r w:rsidRPr="00CB126E">
              <w:rPr>
                <w:rFonts w:ascii="Calibri" w:hAnsi="Calibri" w:cs="Calibri"/>
                <w:b/>
                <w:bCs/>
                <w:color w:val="000000"/>
                <w:sz w:val="10"/>
                <w:szCs w:val="10"/>
              </w:rPr>
              <w:t xml:space="preserve">Totale spesa retributiva </w:t>
            </w:r>
            <w:r w:rsidRPr="00CB126E">
              <w:rPr>
                <w:rFonts w:ascii="Calibri" w:hAnsi="Calibri" w:cs="Calibri"/>
                <w:b/>
                <w:bCs/>
                <w:color w:val="000000"/>
                <w:sz w:val="10"/>
                <w:szCs w:val="10"/>
              </w:rPr>
              <w:t>l.S</w:t>
            </w:r>
            <w:r w:rsidRPr="00CB126E">
              <w:rPr>
                <w:rFonts w:ascii="Calibri" w:hAnsi="Calibri" w:cs="Calibri"/>
                <w:b/>
                <w:bCs/>
                <w:color w:val="000000"/>
                <w:sz w:val="10"/>
                <w:szCs w:val="10"/>
              </w:rPr>
              <w:t>.</w:t>
            </w:r>
          </w:p>
        </w:tc>
        <w:tc>
          <w:tcPr>
            <w:tcW w:w="376" w:type="pct"/>
            <w:tcBorders>
              <w:top w:val="nil"/>
              <w:left w:val="single" w:sz="4" w:space="0" w:color="auto"/>
              <w:bottom w:val="single" w:sz="8" w:space="0" w:color="auto"/>
              <w:right w:val="single" w:sz="4" w:space="0" w:color="auto"/>
            </w:tcBorders>
            <w:noWrap/>
            <w:vAlign w:val="center"/>
            <w:hideMark/>
          </w:tcPr>
          <w:p w:rsidR="00CB126E" w:rsidRPr="00CB126E" w:rsidP="00CB126E" w14:paraId="268C02FB" w14:textId="77777777">
            <w:pPr>
              <w:jc w:val="right"/>
              <w:rPr>
                <w:rFonts w:ascii="Calibri" w:hAnsi="Calibri" w:cs="Calibri"/>
                <w:b/>
                <w:bCs/>
                <w:sz w:val="12"/>
                <w:szCs w:val="12"/>
              </w:rPr>
            </w:pPr>
            <w:r w:rsidRPr="00CB126E">
              <w:rPr>
                <w:rFonts w:ascii="Calibri" w:hAnsi="Calibri" w:cs="Calibri"/>
                <w:b/>
                <w:bCs/>
                <w:sz w:val="12"/>
                <w:szCs w:val="12"/>
              </w:rPr>
              <w:t>2.208.379.112,32</w:t>
            </w:r>
          </w:p>
        </w:tc>
        <w:tc>
          <w:tcPr>
            <w:tcW w:w="411" w:type="pct"/>
            <w:tcBorders>
              <w:top w:val="nil"/>
              <w:left w:val="nil"/>
              <w:bottom w:val="single" w:sz="8" w:space="0" w:color="auto"/>
              <w:right w:val="single" w:sz="4" w:space="0" w:color="auto"/>
            </w:tcBorders>
            <w:noWrap/>
            <w:vAlign w:val="center"/>
            <w:hideMark/>
          </w:tcPr>
          <w:p w:rsidR="00CB126E" w:rsidRPr="00CB126E" w:rsidP="00CB126E" w14:paraId="645B2F39" w14:textId="77777777">
            <w:pPr>
              <w:jc w:val="right"/>
              <w:rPr>
                <w:rFonts w:ascii="Calibri" w:hAnsi="Calibri" w:cs="Calibri"/>
                <w:b/>
                <w:bCs/>
                <w:sz w:val="12"/>
                <w:szCs w:val="12"/>
              </w:rPr>
            </w:pPr>
            <w:r w:rsidRPr="00CB126E">
              <w:rPr>
                <w:rFonts w:ascii="Calibri" w:hAnsi="Calibri" w:cs="Calibri"/>
                <w:b/>
                <w:bCs/>
                <w:sz w:val="12"/>
                <w:szCs w:val="12"/>
              </w:rPr>
              <w:t>2.208.520.883,19</w:t>
            </w:r>
          </w:p>
        </w:tc>
        <w:tc>
          <w:tcPr>
            <w:tcW w:w="411" w:type="pct"/>
            <w:tcBorders>
              <w:top w:val="nil"/>
              <w:left w:val="nil"/>
              <w:bottom w:val="single" w:sz="8" w:space="0" w:color="auto"/>
              <w:right w:val="single" w:sz="4" w:space="0" w:color="auto"/>
            </w:tcBorders>
            <w:noWrap/>
            <w:vAlign w:val="center"/>
            <w:hideMark/>
          </w:tcPr>
          <w:p w:rsidR="00CB126E" w:rsidRPr="00CB126E" w:rsidP="00CB126E" w14:paraId="192F87F5" w14:textId="77777777">
            <w:pPr>
              <w:jc w:val="right"/>
              <w:rPr>
                <w:rFonts w:ascii="Calibri" w:hAnsi="Calibri" w:cs="Calibri"/>
                <w:b/>
                <w:bCs/>
                <w:sz w:val="12"/>
                <w:szCs w:val="12"/>
              </w:rPr>
            </w:pPr>
            <w:r w:rsidRPr="00CB126E">
              <w:rPr>
                <w:rFonts w:ascii="Calibri" w:hAnsi="Calibri" w:cs="Calibri"/>
                <w:b/>
                <w:bCs/>
                <w:sz w:val="12"/>
                <w:szCs w:val="12"/>
              </w:rPr>
              <w:t>2.182.272.634,16</w:t>
            </w:r>
          </w:p>
        </w:tc>
        <w:tc>
          <w:tcPr>
            <w:tcW w:w="411" w:type="pct"/>
            <w:tcBorders>
              <w:top w:val="nil"/>
              <w:left w:val="nil"/>
              <w:bottom w:val="single" w:sz="8" w:space="0" w:color="auto"/>
              <w:right w:val="single" w:sz="4" w:space="0" w:color="auto"/>
            </w:tcBorders>
            <w:noWrap/>
            <w:vAlign w:val="center"/>
            <w:hideMark/>
          </w:tcPr>
          <w:p w:rsidR="00CB126E" w:rsidRPr="00CB126E" w:rsidP="00CB126E" w14:paraId="4F7F8B35" w14:textId="77777777">
            <w:pPr>
              <w:jc w:val="right"/>
              <w:rPr>
                <w:rFonts w:ascii="Calibri" w:hAnsi="Calibri" w:cs="Calibri"/>
                <w:b/>
                <w:bCs/>
                <w:sz w:val="12"/>
                <w:szCs w:val="12"/>
              </w:rPr>
            </w:pPr>
            <w:r w:rsidRPr="00CB126E">
              <w:rPr>
                <w:rFonts w:ascii="Calibri" w:hAnsi="Calibri" w:cs="Calibri"/>
                <w:b/>
                <w:bCs/>
                <w:sz w:val="12"/>
                <w:szCs w:val="12"/>
              </w:rPr>
              <w:t>2.183.976.803,21</w:t>
            </w:r>
          </w:p>
        </w:tc>
        <w:tc>
          <w:tcPr>
            <w:tcW w:w="411" w:type="pct"/>
            <w:tcBorders>
              <w:top w:val="nil"/>
              <w:left w:val="nil"/>
              <w:bottom w:val="single" w:sz="8" w:space="0" w:color="auto"/>
              <w:right w:val="single" w:sz="4" w:space="0" w:color="auto"/>
            </w:tcBorders>
            <w:noWrap/>
            <w:vAlign w:val="center"/>
            <w:hideMark/>
          </w:tcPr>
          <w:p w:rsidR="00CB126E" w:rsidRPr="00CB126E" w:rsidP="00CB126E" w14:paraId="6B0C5BD9" w14:textId="77777777">
            <w:pPr>
              <w:jc w:val="right"/>
              <w:rPr>
                <w:rFonts w:ascii="Calibri" w:hAnsi="Calibri" w:cs="Calibri"/>
                <w:b/>
                <w:bCs/>
                <w:sz w:val="12"/>
                <w:szCs w:val="12"/>
              </w:rPr>
            </w:pPr>
            <w:r w:rsidRPr="00CB126E">
              <w:rPr>
                <w:rFonts w:ascii="Calibri" w:hAnsi="Calibri" w:cs="Calibri"/>
                <w:b/>
                <w:bCs/>
                <w:sz w:val="12"/>
                <w:szCs w:val="12"/>
              </w:rPr>
              <w:t>2.188.032.174,35</w:t>
            </w:r>
          </w:p>
        </w:tc>
        <w:tc>
          <w:tcPr>
            <w:tcW w:w="411" w:type="pct"/>
            <w:tcBorders>
              <w:top w:val="nil"/>
              <w:left w:val="nil"/>
              <w:bottom w:val="single" w:sz="8" w:space="0" w:color="auto"/>
              <w:right w:val="single" w:sz="4" w:space="0" w:color="auto"/>
            </w:tcBorders>
            <w:noWrap/>
            <w:vAlign w:val="center"/>
            <w:hideMark/>
          </w:tcPr>
          <w:p w:rsidR="00CB126E" w:rsidRPr="00CB126E" w:rsidP="00CB126E" w14:paraId="542C8DBD" w14:textId="77777777">
            <w:pPr>
              <w:jc w:val="right"/>
              <w:rPr>
                <w:rFonts w:ascii="Calibri" w:hAnsi="Calibri" w:cs="Calibri"/>
                <w:b/>
                <w:bCs/>
                <w:sz w:val="12"/>
                <w:szCs w:val="12"/>
              </w:rPr>
            </w:pPr>
            <w:r w:rsidRPr="00CB126E">
              <w:rPr>
                <w:rFonts w:ascii="Calibri" w:hAnsi="Calibri" w:cs="Calibri"/>
                <w:b/>
                <w:bCs/>
                <w:sz w:val="12"/>
                <w:szCs w:val="12"/>
              </w:rPr>
              <w:t>2.186.474.916,62</w:t>
            </w:r>
          </w:p>
        </w:tc>
        <w:tc>
          <w:tcPr>
            <w:tcW w:w="411" w:type="pct"/>
            <w:tcBorders>
              <w:top w:val="nil"/>
              <w:left w:val="nil"/>
              <w:bottom w:val="single" w:sz="8" w:space="0" w:color="auto"/>
              <w:right w:val="single" w:sz="4" w:space="0" w:color="auto"/>
            </w:tcBorders>
            <w:noWrap/>
            <w:vAlign w:val="center"/>
            <w:hideMark/>
          </w:tcPr>
          <w:p w:rsidR="00CB126E" w:rsidRPr="00CB126E" w:rsidP="00CB126E" w14:paraId="4C4679E1" w14:textId="77777777">
            <w:pPr>
              <w:jc w:val="right"/>
              <w:rPr>
                <w:rFonts w:ascii="Calibri" w:hAnsi="Calibri" w:cs="Calibri"/>
                <w:b/>
                <w:bCs/>
                <w:sz w:val="12"/>
                <w:szCs w:val="12"/>
              </w:rPr>
            </w:pPr>
            <w:r w:rsidRPr="00CB126E">
              <w:rPr>
                <w:rFonts w:ascii="Calibri" w:hAnsi="Calibri" w:cs="Calibri"/>
                <w:b/>
                <w:bCs/>
                <w:sz w:val="12"/>
                <w:szCs w:val="12"/>
              </w:rPr>
              <w:t>2.187.168.589,19</w:t>
            </w:r>
          </w:p>
        </w:tc>
        <w:tc>
          <w:tcPr>
            <w:tcW w:w="411" w:type="pct"/>
            <w:tcBorders>
              <w:top w:val="nil"/>
              <w:left w:val="nil"/>
              <w:bottom w:val="single" w:sz="8" w:space="0" w:color="auto"/>
              <w:right w:val="single" w:sz="4" w:space="0" w:color="auto"/>
            </w:tcBorders>
            <w:noWrap/>
            <w:vAlign w:val="center"/>
            <w:hideMark/>
          </w:tcPr>
          <w:p w:rsidR="00CB126E" w:rsidRPr="00CB126E" w:rsidP="00CB126E" w14:paraId="46BE8DFF" w14:textId="77777777">
            <w:pPr>
              <w:jc w:val="right"/>
              <w:rPr>
                <w:rFonts w:ascii="Calibri" w:hAnsi="Calibri" w:cs="Calibri"/>
                <w:b/>
                <w:bCs/>
                <w:sz w:val="12"/>
                <w:szCs w:val="12"/>
              </w:rPr>
            </w:pPr>
            <w:r w:rsidRPr="00CB126E">
              <w:rPr>
                <w:rFonts w:ascii="Calibri" w:hAnsi="Calibri" w:cs="Calibri"/>
                <w:b/>
                <w:bCs/>
                <w:sz w:val="12"/>
                <w:szCs w:val="12"/>
              </w:rPr>
              <w:t>2.193.424.507,82</w:t>
            </w:r>
          </w:p>
        </w:tc>
        <w:tc>
          <w:tcPr>
            <w:tcW w:w="411" w:type="pct"/>
            <w:tcBorders>
              <w:top w:val="nil"/>
              <w:left w:val="nil"/>
              <w:bottom w:val="single" w:sz="8" w:space="0" w:color="auto"/>
              <w:right w:val="single" w:sz="4" w:space="0" w:color="auto"/>
            </w:tcBorders>
            <w:noWrap/>
            <w:vAlign w:val="center"/>
            <w:hideMark/>
          </w:tcPr>
          <w:p w:rsidR="00CB126E" w:rsidRPr="00CB126E" w:rsidP="00CB126E" w14:paraId="175A40A3" w14:textId="77777777">
            <w:pPr>
              <w:jc w:val="right"/>
              <w:rPr>
                <w:rFonts w:ascii="Calibri" w:hAnsi="Calibri" w:cs="Calibri"/>
                <w:b/>
                <w:bCs/>
                <w:sz w:val="12"/>
                <w:szCs w:val="12"/>
              </w:rPr>
            </w:pPr>
            <w:r w:rsidRPr="00CB126E">
              <w:rPr>
                <w:rFonts w:ascii="Calibri" w:hAnsi="Calibri" w:cs="Calibri"/>
                <w:b/>
                <w:bCs/>
                <w:sz w:val="12"/>
                <w:szCs w:val="12"/>
              </w:rPr>
              <w:t>2.198.378.893,33</w:t>
            </w:r>
          </w:p>
        </w:tc>
        <w:tc>
          <w:tcPr>
            <w:tcW w:w="411" w:type="pct"/>
            <w:tcBorders>
              <w:top w:val="nil"/>
              <w:left w:val="nil"/>
              <w:bottom w:val="single" w:sz="8" w:space="0" w:color="auto"/>
              <w:right w:val="single" w:sz="4" w:space="0" w:color="auto"/>
            </w:tcBorders>
            <w:noWrap/>
            <w:vAlign w:val="center"/>
            <w:hideMark/>
          </w:tcPr>
          <w:p w:rsidR="00CB126E" w:rsidRPr="00CB126E" w:rsidP="00CB126E" w14:paraId="7C6E6E40" w14:textId="77777777">
            <w:pPr>
              <w:jc w:val="right"/>
              <w:rPr>
                <w:rFonts w:ascii="Calibri" w:hAnsi="Calibri" w:cs="Calibri"/>
                <w:b/>
                <w:bCs/>
                <w:sz w:val="12"/>
                <w:szCs w:val="12"/>
              </w:rPr>
            </w:pPr>
            <w:r w:rsidRPr="00CB126E">
              <w:rPr>
                <w:rFonts w:ascii="Calibri" w:hAnsi="Calibri" w:cs="Calibri"/>
                <w:b/>
                <w:bCs/>
                <w:sz w:val="12"/>
                <w:szCs w:val="12"/>
              </w:rPr>
              <w:t>2.201.638.154,59</w:t>
            </w:r>
          </w:p>
        </w:tc>
        <w:tc>
          <w:tcPr>
            <w:tcW w:w="411" w:type="pct"/>
            <w:tcBorders>
              <w:top w:val="nil"/>
              <w:left w:val="nil"/>
              <w:bottom w:val="single" w:sz="8" w:space="0" w:color="auto"/>
              <w:right w:val="single" w:sz="8" w:space="0" w:color="auto"/>
            </w:tcBorders>
            <w:noWrap/>
            <w:vAlign w:val="center"/>
            <w:hideMark/>
          </w:tcPr>
          <w:p w:rsidR="00CB126E" w:rsidRPr="00CB126E" w:rsidP="00CB126E" w14:paraId="33888091" w14:textId="77777777">
            <w:pPr>
              <w:jc w:val="right"/>
              <w:rPr>
                <w:rFonts w:ascii="Calibri" w:hAnsi="Calibri" w:cs="Calibri"/>
                <w:b/>
                <w:bCs/>
                <w:sz w:val="12"/>
                <w:szCs w:val="12"/>
              </w:rPr>
            </w:pPr>
            <w:r w:rsidRPr="00CB126E">
              <w:rPr>
                <w:rFonts w:ascii="Calibri" w:hAnsi="Calibri" w:cs="Calibri"/>
                <w:b/>
                <w:bCs/>
                <w:sz w:val="12"/>
                <w:szCs w:val="12"/>
              </w:rPr>
              <w:t>2.212.023.222,54</w:t>
            </w:r>
          </w:p>
        </w:tc>
      </w:tr>
      <w:tr w14:paraId="4F1705B4" w14:textId="77777777" w:rsidTr="00F4620E">
        <w:tblPrEx>
          <w:tblW w:w="5000" w:type="pct"/>
          <w:tblLook w:val="04A0"/>
        </w:tblPrEx>
        <w:trPr>
          <w:trHeight w:hRule="exact" w:val="567"/>
        </w:trPr>
        <w:tc>
          <w:tcPr>
            <w:tcW w:w="233" w:type="pct"/>
            <w:tcBorders>
              <w:top w:val="nil"/>
              <w:left w:val="nil"/>
              <w:bottom w:val="nil"/>
              <w:right w:val="nil"/>
            </w:tcBorders>
            <w:noWrap/>
            <w:vAlign w:val="bottom"/>
            <w:hideMark/>
          </w:tcPr>
          <w:p w:rsidR="00CB126E" w:rsidRPr="00CB126E" w:rsidP="00CB126E" w14:paraId="52B9FBA1" w14:textId="77777777">
            <w:pPr>
              <w:jc w:val="right"/>
              <w:rPr>
                <w:rFonts w:ascii="Calibri" w:hAnsi="Calibri" w:cs="Calibri"/>
                <w:b/>
                <w:bCs/>
                <w:sz w:val="16"/>
                <w:szCs w:val="16"/>
              </w:rPr>
            </w:pPr>
          </w:p>
        </w:tc>
        <w:tc>
          <w:tcPr>
            <w:tcW w:w="282" w:type="pct"/>
            <w:tcBorders>
              <w:top w:val="nil"/>
              <w:left w:val="nil"/>
              <w:bottom w:val="nil"/>
              <w:right w:val="nil"/>
            </w:tcBorders>
            <w:vAlign w:val="bottom"/>
            <w:hideMark/>
          </w:tcPr>
          <w:p w:rsidR="00CB126E" w:rsidRPr="00CB126E" w:rsidP="00CB126E" w14:paraId="43F725E1" w14:textId="77777777">
            <w:pPr>
              <w:rPr>
                <w:sz w:val="10"/>
                <w:szCs w:val="10"/>
              </w:rPr>
            </w:pPr>
          </w:p>
        </w:tc>
        <w:tc>
          <w:tcPr>
            <w:tcW w:w="376" w:type="pct"/>
            <w:tcBorders>
              <w:top w:val="nil"/>
              <w:left w:val="nil"/>
              <w:bottom w:val="nil"/>
              <w:right w:val="nil"/>
            </w:tcBorders>
            <w:noWrap/>
            <w:vAlign w:val="bottom"/>
            <w:hideMark/>
          </w:tcPr>
          <w:p w:rsidR="00CB126E" w:rsidRPr="00CB126E" w:rsidP="00CB126E" w14:paraId="7B751322" w14:textId="77777777">
            <w:pPr>
              <w:rPr>
                <w:sz w:val="16"/>
                <w:szCs w:val="16"/>
              </w:rPr>
            </w:pPr>
          </w:p>
        </w:tc>
        <w:tc>
          <w:tcPr>
            <w:tcW w:w="411" w:type="pct"/>
            <w:tcBorders>
              <w:top w:val="nil"/>
              <w:left w:val="nil"/>
              <w:bottom w:val="nil"/>
              <w:right w:val="nil"/>
            </w:tcBorders>
            <w:noWrap/>
            <w:vAlign w:val="bottom"/>
            <w:hideMark/>
          </w:tcPr>
          <w:p w:rsidR="00CB126E" w:rsidRPr="00CB126E" w:rsidP="00CB126E" w14:paraId="556BFCDB" w14:textId="77777777">
            <w:pPr>
              <w:rPr>
                <w:sz w:val="16"/>
                <w:szCs w:val="16"/>
              </w:rPr>
            </w:pPr>
          </w:p>
        </w:tc>
        <w:tc>
          <w:tcPr>
            <w:tcW w:w="411" w:type="pct"/>
            <w:tcBorders>
              <w:top w:val="nil"/>
              <w:left w:val="nil"/>
              <w:bottom w:val="nil"/>
              <w:right w:val="nil"/>
            </w:tcBorders>
            <w:noWrap/>
            <w:vAlign w:val="bottom"/>
            <w:hideMark/>
          </w:tcPr>
          <w:p w:rsidR="00CB126E" w:rsidRPr="00CB126E" w:rsidP="00CB126E" w14:paraId="2AD040FD" w14:textId="77777777">
            <w:pPr>
              <w:rPr>
                <w:sz w:val="16"/>
                <w:szCs w:val="16"/>
              </w:rPr>
            </w:pPr>
          </w:p>
        </w:tc>
        <w:tc>
          <w:tcPr>
            <w:tcW w:w="411" w:type="pct"/>
            <w:tcBorders>
              <w:top w:val="nil"/>
              <w:left w:val="nil"/>
              <w:bottom w:val="nil"/>
              <w:right w:val="nil"/>
            </w:tcBorders>
            <w:noWrap/>
            <w:vAlign w:val="bottom"/>
            <w:hideMark/>
          </w:tcPr>
          <w:p w:rsidR="00CB126E" w:rsidRPr="00CB126E" w:rsidP="00CB126E" w14:paraId="125A052D" w14:textId="77777777">
            <w:pPr>
              <w:rPr>
                <w:sz w:val="16"/>
                <w:szCs w:val="16"/>
              </w:rPr>
            </w:pPr>
          </w:p>
        </w:tc>
        <w:tc>
          <w:tcPr>
            <w:tcW w:w="411" w:type="pct"/>
            <w:tcBorders>
              <w:top w:val="nil"/>
              <w:left w:val="nil"/>
              <w:bottom w:val="nil"/>
              <w:right w:val="nil"/>
            </w:tcBorders>
            <w:noWrap/>
            <w:vAlign w:val="bottom"/>
            <w:hideMark/>
          </w:tcPr>
          <w:p w:rsidR="00CB126E" w:rsidRPr="00CB126E" w:rsidP="00CB126E" w14:paraId="22854BF7" w14:textId="77777777">
            <w:pPr>
              <w:rPr>
                <w:sz w:val="16"/>
                <w:szCs w:val="16"/>
              </w:rPr>
            </w:pPr>
          </w:p>
        </w:tc>
        <w:tc>
          <w:tcPr>
            <w:tcW w:w="411" w:type="pct"/>
            <w:tcBorders>
              <w:top w:val="nil"/>
              <w:left w:val="nil"/>
              <w:bottom w:val="nil"/>
              <w:right w:val="nil"/>
            </w:tcBorders>
            <w:noWrap/>
            <w:vAlign w:val="bottom"/>
            <w:hideMark/>
          </w:tcPr>
          <w:p w:rsidR="00CB126E" w:rsidRPr="00CB126E" w:rsidP="00CB126E" w14:paraId="6EC01A8B" w14:textId="77777777">
            <w:pPr>
              <w:rPr>
                <w:sz w:val="16"/>
                <w:szCs w:val="16"/>
              </w:rPr>
            </w:pPr>
          </w:p>
        </w:tc>
        <w:tc>
          <w:tcPr>
            <w:tcW w:w="411" w:type="pct"/>
            <w:tcBorders>
              <w:top w:val="nil"/>
              <w:left w:val="nil"/>
              <w:bottom w:val="nil"/>
              <w:right w:val="nil"/>
            </w:tcBorders>
            <w:noWrap/>
            <w:vAlign w:val="bottom"/>
            <w:hideMark/>
          </w:tcPr>
          <w:p w:rsidR="00CB126E" w:rsidRPr="00CB126E" w:rsidP="00CB126E" w14:paraId="5AC74234" w14:textId="77777777">
            <w:pPr>
              <w:rPr>
                <w:sz w:val="16"/>
                <w:szCs w:val="16"/>
              </w:rPr>
            </w:pPr>
          </w:p>
        </w:tc>
        <w:tc>
          <w:tcPr>
            <w:tcW w:w="411" w:type="pct"/>
            <w:tcBorders>
              <w:top w:val="nil"/>
              <w:left w:val="nil"/>
              <w:bottom w:val="nil"/>
              <w:right w:val="nil"/>
            </w:tcBorders>
            <w:noWrap/>
            <w:vAlign w:val="bottom"/>
            <w:hideMark/>
          </w:tcPr>
          <w:p w:rsidR="00CB126E" w:rsidRPr="00CB126E" w:rsidP="00CB126E" w14:paraId="29439A89" w14:textId="77777777">
            <w:pPr>
              <w:rPr>
                <w:sz w:val="16"/>
                <w:szCs w:val="16"/>
              </w:rPr>
            </w:pPr>
          </w:p>
        </w:tc>
        <w:tc>
          <w:tcPr>
            <w:tcW w:w="411" w:type="pct"/>
            <w:tcBorders>
              <w:top w:val="nil"/>
              <w:left w:val="nil"/>
              <w:bottom w:val="nil"/>
              <w:right w:val="nil"/>
            </w:tcBorders>
            <w:noWrap/>
            <w:vAlign w:val="bottom"/>
            <w:hideMark/>
          </w:tcPr>
          <w:p w:rsidR="00CB126E" w:rsidRPr="00CB126E" w:rsidP="00CB126E" w14:paraId="218C44DA" w14:textId="77777777">
            <w:pPr>
              <w:rPr>
                <w:sz w:val="16"/>
                <w:szCs w:val="16"/>
              </w:rPr>
            </w:pPr>
          </w:p>
        </w:tc>
        <w:tc>
          <w:tcPr>
            <w:tcW w:w="411" w:type="pct"/>
            <w:tcBorders>
              <w:top w:val="nil"/>
              <w:left w:val="nil"/>
              <w:bottom w:val="nil"/>
              <w:right w:val="nil"/>
            </w:tcBorders>
            <w:noWrap/>
            <w:vAlign w:val="bottom"/>
            <w:hideMark/>
          </w:tcPr>
          <w:p w:rsidR="00CB126E" w:rsidRPr="00CB126E" w:rsidP="00CB126E" w14:paraId="1D3A12D3" w14:textId="77777777">
            <w:pPr>
              <w:rPr>
                <w:sz w:val="16"/>
                <w:szCs w:val="16"/>
              </w:rPr>
            </w:pPr>
          </w:p>
        </w:tc>
        <w:tc>
          <w:tcPr>
            <w:tcW w:w="411" w:type="pct"/>
            <w:tcBorders>
              <w:top w:val="nil"/>
              <w:left w:val="nil"/>
              <w:bottom w:val="nil"/>
              <w:right w:val="nil"/>
            </w:tcBorders>
            <w:noWrap/>
            <w:vAlign w:val="bottom"/>
            <w:hideMark/>
          </w:tcPr>
          <w:p w:rsidR="00CB126E" w:rsidRPr="00CB126E" w:rsidP="00CB126E" w14:paraId="57F0E1E5" w14:textId="77777777">
            <w:pPr>
              <w:rPr>
                <w:sz w:val="16"/>
                <w:szCs w:val="16"/>
              </w:rPr>
            </w:pPr>
          </w:p>
        </w:tc>
      </w:tr>
      <w:tr w14:paraId="023A5CD8" w14:textId="77777777" w:rsidTr="00F4620E">
        <w:tblPrEx>
          <w:tblW w:w="5000" w:type="pct"/>
          <w:tblLook w:val="04A0"/>
        </w:tblPrEx>
        <w:trPr>
          <w:trHeight w:hRule="exact" w:val="567"/>
        </w:trPr>
        <w:tc>
          <w:tcPr>
            <w:tcW w:w="233" w:type="pct"/>
            <w:tcBorders>
              <w:top w:val="nil"/>
              <w:left w:val="nil"/>
              <w:bottom w:val="nil"/>
              <w:right w:val="nil"/>
            </w:tcBorders>
            <w:noWrap/>
            <w:vAlign w:val="center"/>
            <w:hideMark/>
          </w:tcPr>
          <w:p w:rsidR="00CB126E" w:rsidRPr="00CB126E" w:rsidP="00CB126E" w14:paraId="4142995E" w14:textId="77777777">
            <w:pPr>
              <w:rPr>
                <w:sz w:val="16"/>
                <w:szCs w:val="16"/>
              </w:rPr>
            </w:pPr>
          </w:p>
        </w:tc>
        <w:tc>
          <w:tcPr>
            <w:tcW w:w="282" w:type="pct"/>
            <w:tcBorders>
              <w:top w:val="nil"/>
              <w:left w:val="nil"/>
              <w:bottom w:val="nil"/>
              <w:right w:val="nil"/>
            </w:tcBorders>
            <w:vAlign w:val="center"/>
            <w:hideMark/>
          </w:tcPr>
          <w:p w:rsidR="00CB126E" w:rsidRPr="00CB126E" w:rsidP="00CB126E" w14:paraId="33026FDC" w14:textId="77777777">
            <w:pPr>
              <w:rPr>
                <w:sz w:val="10"/>
                <w:szCs w:val="10"/>
              </w:rPr>
            </w:pPr>
          </w:p>
        </w:tc>
        <w:tc>
          <w:tcPr>
            <w:tcW w:w="376" w:type="pct"/>
            <w:tcBorders>
              <w:top w:val="single" w:sz="8" w:space="0" w:color="auto"/>
              <w:left w:val="single" w:sz="8" w:space="0" w:color="auto"/>
              <w:bottom w:val="nil"/>
              <w:right w:val="single" w:sz="8" w:space="0" w:color="auto"/>
            </w:tcBorders>
            <w:shd w:val="clear" w:color="000000" w:fill="EDEDED"/>
            <w:vAlign w:val="center"/>
            <w:hideMark/>
          </w:tcPr>
          <w:p w:rsidR="00CB126E" w:rsidRPr="00CB126E" w:rsidP="00CB126E" w14:paraId="7F8A140C" w14:textId="77777777">
            <w:pPr>
              <w:jc w:val="center"/>
              <w:rPr>
                <w:rFonts w:ascii="Calibri" w:hAnsi="Calibri" w:cs="Calibri"/>
                <w:b/>
                <w:bCs/>
                <w:sz w:val="12"/>
                <w:szCs w:val="12"/>
              </w:rPr>
            </w:pPr>
            <w:r w:rsidRPr="00CB126E">
              <w:rPr>
                <w:rFonts w:ascii="Calibri" w:hAnsi="Calibri" w:cs="Calibri"/>
                <w:b/>
                <w:bCs/>
                <w:sz w:val="12"/>
                <w:szCs w:val="12"/>
              </w:rPr>
              <w:t>2026</w:t>
            </w:r>
          </w:p>
        </w:tc>
        <w:tc>
          <w:tcPr>
            <w:tcW w:w="411" w:type="pct"/>
            <w:tcBorders>
              <w:top w:val="single" w:sz="8" w:space="0" w:color="auto"/>
              <w:left w:val="nil"/>
              <w:bottom w:val="nil"/>
              <w:right w:val="single" w:sz="8" w:space="0" w:color="auto"/>
            </w:tcBorders>
            <w:shd w:val="clear" w:color="000000" w:fill="EDEDED"/>
            <w:vAlign w:val="center"/>
            <w:hideMark/>
          </w:tcPr>
          <w:p w:rsidR="00CB126E" w:rsidRPr="00CB126E" w:rsidP="00CB126E" w14:paraId="6F301B59" w14:textId="77777777">
            <w:pPr>
              <w:jc w:val="center"/>
              <w:rPr>
                <w:rFonts w:ascii="Calibri" w:hAnsi="Calibri" w:cs="Calibri"/>
                <w:b/>
                <w:bCs/>
                <w:sz w:val="12"/>
                <w:szCs w:val="12"/>
              </w:rPr>
            </w:pPr>
            <w:r w:rsidRPr="00CB126E">
              <w:rPr>
                <w:rFonts w:ascii="Calibri" w:hAnsi="Calibri" w:cs="Calibri"/>
                <w:b/>
                <w:bCs/>
                <w:sz w:val="12"/>
                <w:szCs w:val="12"/>
              </w:rPr>
              <w:t>2027</w:t>
            </w:r>
          </w:p>
        </w:tc>
        <w:tc>
          <w:tcPr>
            <w:tcW w:w="411" w:type="pct"/>
            <w:tcBorders>
              <w:top w:val="single" w:sz="8" w:space="0" w:color="auto"/>
              <w:left w:val="nil"/>
              <w:bottom w:val="nil"/>
              <w:right w:val="single" w:sz="8" w:space="0" w:color="auto"/>
            </w:tcBorders>
            <w:shd w:val="clear" w:color="000000" w:fill="EDEDED"/>
            <w:vAlign w:val="center"/>
            <w:hideMark/>
          </w:tcPr>
          <w:p w:rsidR="00CB126E" w:rsidRPr="00CB126E" w:rsidP="00CB126E" w14:paraId="23962370" w14:textId="77777777">
            <w:pPr>
              <w:jc w:val="center"/>
              <w:rPr>
                <w:rFonts w:ascii="Calibri" w:hAnsi="Calibri" w:cs="Calibri"/>
                <w:b/>
                <w:bCs/>
                <w:sz w:val="12"/>
                <w:szCs w:val="12"/>
              </w:rPr>
            </w:pPr>
            <w:r w:rsidRPr="00CB126E">
              <w:rPr>
                <w:rFonts w:ascii="Calibri" w:hAnsi="Calibri" w:cs="Calibri"/>
                <w:b/>
                <w:bCs/>
                <w:sz w:val="12"/>
                <w:szCs w:val="12"/>
              </w:rPr>
              <w:t>2028</w:t>
            </w:r>
          </w:p>
        </w:tc>
        <w:tc>
          <w:tcPr>
            <w:tcW w:w="411" w:type="pct"/>
            <w:tcBorders>
              <w:top w:val="single" w:sz="8" w:space="0" w:color="auto"/>
              <w:left w:val="nil"/>
              <w:bottom w:val="nil"/>
              <w:right w:val="single" w:sz="8" w:space="0" w:color="auto"/>
            </w:tcBorders>
            <w:shd w:val="clear" w:color="000000" w:fill="EDEDED"/>
            <w:vAlign w:val="center"/>
            <w:hideMark/>
          </w:tcPr>
          <w:p w:rsidR="00CB126E" w:rsidRPr="00CB126E" w:rsidP="00CB126E" w14:paraId="51DA4E23" w14:textId="77777777">
            <w:pPr>
              <w:jc w:val="center"/>
              <w:rPr>
                <w:rFonts w:ascii="Calibri" w:hAnsi="Calibri" w:cs="Calibri"/>
                <w:b/>
                <w:bCs/>
                <w:sz w:val="12"/>
                <w:szCs w:val="12"/>
              </w:rPr>
            </w:pPr>
            <w:r w:rsidRPr="00CB126E">
              <w:rPr>
                <w:rFonts w:ascii="Calibri" w:hAnsi="Calibri" w:cs="Calibri"/>
                <w:b/>
                <w:bCs/>
                <w:sz w:val="12"/>
                <w:szCs w:val="12"/>
              </w:rPr>
              <w:t>2029</w:t>
            </w:r>
          </w:p>
        </w:tc>
        <w:tc>
          <w:tcPr>
            <w:tcW w:w="411" w:type="pct"/>
            <w:tcBorders>
              <w:top w:val="single" w:sz="8" w:space="0" w:color="auto"/>
              <w:left w:val="nil"/>
              <w:bottom w:val="nil"/>
              <w:right w:val="single" w:sz="8" w:space="0" w:color="auto"/>
            </w:tcBorders>
            <w:shd w:val="clear" w:color="000000" w:fill="EDEDED"/>
            <w:vAlign w:val="center"/>
            <w:hideMark/>
          </w:tcPr>
          <w:p w:rsidR="00CB126E" w:rsidRPr="00CB126E" w:rsidP="00CB126E" w14:paraId="3EF4755F" w14:textId="77777777">
            <w:pPr>
              <w:jc w:val="center"/>
              <w:rPr>
                <w:rFonts w:ascii="Calibri" w:hAnsi="Calibri" w:cs="Calibri"/>
                <w:b/>
                <w:bCs/>
                <w:sz w:val="12"/>
                <w:szCs w:val="12"/>
              </w:rPr>
            </w:pPr>
            <w:r w:rsidRPr="00CB126E">
              <w:rPr>
                <w:rFonts w:ascii="Calibri" w:hAnsi="Calibri" w:cs="Calibri"/>
                <w:b/>
                <w:bCs/>
                <w:sz w:val="12"/>
                <w:szCs w:val="12"/>
              </w:rPr>
              <w:t>2030</w:t>
            </w:r>
          </w:p>
        </w:tc>
        <w:tc>
          <w:tcPr>
            <w:tcW w:w="411" w:type="pct"/>
            <w:tcBorders>
              <w:top w:val="single" w:sz="8" w:space="0" w:color="auto"/>
              <w:left w:val="nil"/>
              <w:bottom w:val="nil"/>
              <w:right w:val="single" w:sz="8" w:space="0" w:color="auto"/>
            </w:tcBorders>
            <w:shd w:val="clear" w:color="000000" w:fill="EDEDED"/>
            <w:vAlign w:val="center"/>
            <w:hideMark/>
          </w:tcPr>
          <w:p w:rsidR="00CB126E" w:rsidRPr="00CB126E" w:rsidP="00CB126E" w14:paraId="4347A37D" w14:textId="77777777">
            <w:pPr>
              <w:jc w:val="center"/>
              <w:rPr>
                <w:rFonts w:ascii="Calibri" w:hAnsi="Calibri" w:cs="Calibri"/>
                <w:b/>
                <w:bCs/>
                <w:sz w:val="12"/>
                <w:szCs w:val="12"/>
              </w:rPr>
            </w:pPr>
            <w:r w:rsidRPr="00CB126E">
              <w:rPr>
                <w:rFonts w:ascii="Calibri" w:hAnsi="Calibri" w:cs="Calibri"/>
                <w:b/>
                <w:bCs/>
                <w:sz w:val="12"/>
                <w:szCs w:val="12"/>
              </w:rPr>
              <w:t>2031</w:t>
            </w:r>
          </w:p>
        </w:tc>
        <w:tc>
          <w:tcPr>
            <w:tcW w:w="411" w:type="pct"/>
            <w:tcBorders>
              <w:top w:val="single" w:sz="8" w:space="0" w:color="auto"/>
              <w:left w:val="nil"/>
              <w:bottom w:val="nil"/>
              <w:right w:val="single" w:sz="8" w:space="0" w:color="auto"/>
            </w:tcBorders>
            <w:shd w:val="clear" w:color="000000" w:fill="EDEDED"/>
            <w:vAlign w:val="center"/>
            <w:hideMark/>
          </w:tcPr>
          <w:p w:rsidR="00CB126E" w:rsidRPr="00CB126E" w:rsidP="00CB126E" w14:paraId="2E57D46B" w14:textId="77777777">
            <w:pPr>
              <w:jc w:val="center"/>
              <w:rPr>
                <w:rFonts w:ascii="Calibri" w:hAnsi="Calibri" w:cs="Calibri"/>
                <w:b/>
                <w:bCs/>
                <w:sz w:val="12"/>
                <w:szCs w:val="12"/>
              </w:rPr>
            </w:pPr>
            <w:r w:rsidRPr="00CB126E">
              <w:rPr>
                <w:rFonts w:ascii="Calibri" w:hAnsi="Calibri" w:cs="Calibri"/>
                <w:b/>
                <w:bCs/>
                <w:sz w:val="12"/>
                <w:szCs w:val="12"/>
              </w:rPr>
              <w:t>2032</w:t>
            </w:r>
          </w:p>
        </w:tc>
        <w:tc>
          <w:tcPr>
            <w:tcW w:w="411" w:type="pct"/>
            <w:tcBorders>
              <w:top w:val="single" w:sz="8" w:space="0" w:color="auto"/>
              <w:left w:val="nil"/>
              <w:bottom w:val="nil"/>
              <w:right w:val="single" w:sz="8" w:space="0" w:color="auto"/>
            </w:tcBorders>
            <w:shd w:val="clear" w:color="000000" w:fill="EDEDED"/>
            <w:vAlign w:val="center"/>
            <w:hideMark/>
          </w:tcPr>
          <w:p w:rsidR="00CB126E" w:rsidRPr="00CB126E" w:rsidP="00CB126E" w14:paraId="7A7CD6D2" w14:textId="77777777">
            <w:pPr>
              <w:jc w:val="center"/>
              <w:rPr>
                <w:rFonts w:ascii="Calibri" w:hAnsi="Calibri" w:cs="Calibri"/>
                <w:b/>
                <w:bCs/>
                <w:sz w:val="12"/>
                <w:szCs w:val="12"/>
              </w:rPr>
            </w:pPr>
            <w:r w:rsidRPr="00CB126E">
              <w:rPr>
                <w:rFonts w:ascii="Calibri" w:hAnsi="Calibri" w:cs="Calibri"/>
                <w:b/>
                <w:bCs/>
                <w:sz w:val="12"/>
                <w:szCs w:val="12"/>
              </w:rPr>
              <w:t>2033</w:t>
            </w:r>
          </w:p>
        </w:tc>
        <w:tc>
          <w:tcPr>
            <w:tcW w:w="411" w:type="pct"/>
            <w:tcBorders>
              <w:top w:val="single" w:sz="8" w:space="0" w:color="auto"/>
              <w:left w:val="nil"/>
              <w:bottom w:val="nil"/>
              <w:right w:val="single" w:sz="8" w:space="0" w:color="auto"/>
            </w:tcBorders>
            <w:shd w:val="clear" w:color="000000" w:fill="EDEDED"/>
            <w:vAlign w:val="center"/>
            <w:hideMark/>
          </w:tcPr>
          <w:p w:rsidR="00CB126E" w:rsidRPr="00CB126E" w:rsidP="00CB126E" w14:paraId="224A4135" w14:textId="77777777">
            <w:pPr>
              <w:jc w:val="center"/>
              <w:rPr>
                <w:rFonts w:ascii="Calibri" w:hAnsi="Calibri" w:cs="Calibri"/>
                <w:b/>
                <w:bCs/>
                <w:sz w:val="12"/>
                <w:szCs w:val="12"/>
              </w:rPr>
            </w:pPr>
            <w:r w:rsidRPr="00CB126E">
              <w:rPr>
                <w:rFonts w:ascii="Calibri" w:hAnsi="Calibri" w:cs="Calibri"/>
                <w:b/>
                <w:bCs/>
                <w:sz w:val="12"/>
                <w:szCs w:val="12"/>
              </w:rPr>
              <w:t>2034</w:t>
            </w:r>
          </w:p>
        </w:tc>
        <w:tc>
          <w:tcPr>
            <w:tcW w:w="411" w:type="pct"/>
            <w:tcBorders>
              <w:top w:val="single" w:sz="8" w:space="0" w:color="auto"/>
              <w:left w:val="nil"/>
              <w:bottom w:val="nil"/>
              <w:right w:val="single" w:sz="8" w:space="0" w:color="auto"/>
            </w:tcBorders>
            <w:shd w:val="clear" w:color="000000" w:fill="EDEDED"/>
            <w:vAlign w:val="center"/>
            <w:hideMark/>
          </w:tcPr>
          <w:p w:rsidR="00CB126E" w:rsidRPr="00CB126E" w:rsidP="00CB126E" w14:paraId="15B45F1B" w14:textId="77777777">
            <w:pPr>
              <w:jc w:val="center"/>
              <w:rPr>
                <w:rFonts w:ascii="Calibri" w:hAnsi="Calibri" w:cs="Calibri"/>
                <w:b/>
                <w:bCs/>
                <w:sz w:val="12"/>
                <w:szCs w:val="12"/>
              </w:rPr>
            </w:pPr>
            <w:r w:rsidRPr="00CB126E">
              <w:rPr>
                <w:rFonts w:ascii="Calibri" w:hAnsi="Calibri" w:cs="Calibri"/>
                <w:b/>
                <w:bCs/>
                <w:sz w:val="12"/>
                <w:szCs w:val="12"/>
              </w:rPr>
              <w:t>2035</w:t>
            </w:r>
          </w:p>
        </w:tc>
        <w:tc>
          <w:tcPr>
            <w:tcW w:w="411" w:type="pct"/>
            <w:tcBorders>
              <w:top w:val="single" w:sz="8" w:space="0" w:color="auto"/>
              <w:left w:val="nil"/>
              <w:bottom w:val="nil"/>
              <w:right w:val="single" w:sz="8" w:space="0" w:color="auto"/>
            </w:tcBorders>
            <w:shd w:val="clear" w:color="000000" w:fill="EDEDED"/>
            <w:vAlign w:val="center"/>
            <w:hideMark/>
          </w:tcPr>
          <w:p w:rsidR="00CB126E" w:rsidRPr="00CB126E" w:rsidP="00CB126E" w14:paraId="43B141E9" w14:textId="77777777">
            <w:pPr>
              <w:jc w:val="center"/>
              <w:rPr>
                <w:rFonts w:ascii="Calibri" w:hAnsi="Calibri" w:cs="Calibri"/>
                <w:b/>
                <w:bCs/>
                <w:sz w:val="12"/>
                <w:szCs w:val="12"/>
              </w:rPr>
            </w:pPr>
            <w:r w:rsidRPr="00CB126E">
              <w:rPr>
                <w:rFonts w:ascii="Calibri" w:hAnsi="Calibri" w:cs="Calibri"/>
                <w:b/>
                <w:bCs/>
                <w:sz w:val="12"/>
                <w:szCs w:val="12"/>
              </w:rPr>
              <w:t>2036</w:t>
            </w:r>
          </w:p>
        </w:tc>
      </w:tr>
      <w:tr w14:paraId="527DA67E" w14:textId="77777777" w:rsidTr="00F4620E">
        <w:tblPrEx>
          <w:tblW w:w="5000" w:type="pct"/>
          <w:tblLook w:val="04A0"/>
        </w:tblPrEx>
        <w:trPr>
          <w:trHeight w:hRule="exact" w:val="1414"/>
        </w:trPr>
        <w:tc>
          <w:tcPr>
            <w:tcW w:w="233" w:type="pct"/>
            <w:vMerge w:val="restart"/>
            <w:tcBorders>
              <w:top w:val="single" w:sz="8" w:space="0" w:color="auto"/>
              <w:left w:val="single" w:sz="8" w:space="0" w:color="auto"/>
              <w:bottom w:val="single" w:sz="8" w:space="0" w:color="000000"/>
              <w:right w:val="nil"/>
            </w:tcBorders>
            <w:textDirection w:val="btLr"/>
            <w:vAlign w:val="center"/>
            <w:hideMark/>
          </w:tcPr>
          <w:p w:rsidR="00CB126E" w:rsidRPr="00CB126E" w:rsidP="00CB126E" w14:paraId="14086BBD" w14:textId="77777777">
            <w:pPr>
              <w:jc w:val="center"/>
              <w:rPr>
                <w:rFonts w:ascii="Calibri" w:hAnsi="Calibri" w:cs="Calibri"/>
                <w:color w:val="000000"/>
                <w:sz w:val="16"/>
                <w:szCs w:val="16"/>
              </w:rPr>
            </w:pPr>
            <w:r w:rsidRPr="00CB126E">
              <w:rPr>
                <w:rFonts w:ascii="Calibri" w:hAnsi="Calibri" w:cs="Calibri"/>
                <w:color w:val="000000"/>
                <w:sz w:val="16"/>
                <w:szCs w:val="16"/>
              </w:rPr>
              <w:t>Proposta riordino</w:t>
            </w:r>
          </w:p>
        </w:tc>
        <w:tc>
          <w:tcPr>
            <w:tcW w:w="282" w:type="pct"/>
            <w:tcBorders>
              <w:top w:val="single" w:sz="8" w:space="0" w:color="auto"/>
              <w:left w:val="single" w:sz="8" w:space="0" w:color="auto"/>
              <w:bottom w:val="single" w:sz="4" w:space="0" w:color="auto"/>
              <w:right w:val="single" w:sz="8" w:space="0" w:color="auto"/>
            </w:tcBorders>
            <w:vAlign w:val="center"/>
            <w:hideMark/>
          </w:tcPr>
          <w:p w:rsidR="00CB126E" w:rsidRPr="00CB126E" w:rsidP="00CB126E" w14:paraId="2219FE04" w14:textId="77777777">
            <w:pPr>
              <w:rPr>
                <w:rFonts w:ascii="Calibri" w:hAnsi="Calibri" w:cs="Calibri"/>
                <w:sz w:val="10"/>
                <w:szCs w:val="10"/>
              </w:rPr>
            </w:pPr>
            <w:r w:rsidRPr="00CB126E">
              <w:rPr>
                <w:rFonts w:ascii="Calibri" w:hAnsi="Calibri" w:cs="Calibri"/>
                <w:sz w:val="10"/>
                <w:szCs w:val="10"/>
              </w:rPr>
              <w:t>Personale non direttivo e non dirigente ordinario</w:t>
            </w:r>
          </w:p>
        </w:tc>
        <w:tc>
          <w:tcPr>
            <w:tcW w:w="376" w:type="pct"/>
            <w:tcBorders>
              <w:top w:val="single" w:sz="8" w:space="0" w:color="auto"/>
              <w:left w:val="single" w:sz="4" w:space="0" w:color="auto"/>
              <w:bottom w:val="single" w:sz="4" w:space="0" w:color="auto"/>
              <w:right w:val="single" w:sz="4" w:space="0" w:color="auto"/>
            </w:tcBorders>
            <w:noWrap/>
            <w:vAlign w:val="center"/>
            <w:hideMark/>
          </w:tcPr>
          <w:p w:rsidR="00CB126E" w:rsidRPr="00CB126E" w:rsidP="00CB126E" w14:paraId="5A32AD74" w14:textId="77777777">
            <w:pPr>
              <w:jc w:val="right"/>
              <w:rPr>
                <w:rFonts w:ascii="Calibri" w:hAnsi="Calibri" w:cs="Calibri"/>
                <w:sz w:val="12"/>
                <w:szCs w:val="12"/>
              </w:rPr>
            </w:pPr>
            <w:r w:rsidRPr="00CB126E">
              <w:rPr>
                <w:rFonts w:ascii="Calibri" w:hAnsi="Calibri" w:cs="Calibri"/>
                <w:sz w:val="12"/>
                <w:szCs w:val="12"/>
              </w:rPr>
              <w:t>1.970.378.525,35</w:t>
            </w:r>
          </w:p>
        </w:tc>
        <w:tc>
          <w:tcPr>
            <w:tcW w:w="411" w:type="pct"/>
            <w:tcBorders>
              <w:top w:val="single" w:sz="8" w:space="0" w:color="auto"/>
              <w:left w:val="nil"/>
              <w:bottom w:val="single" w:sz="4" w:space="0" w:color="auto"/>
              <w:right w:val="single" w:sz="4" w:space="0" w:color="auto"/>
            </w:tcBorders>
            <w:noWrap/>
            <w:vAlign w:val="center"/>
            <w:hideMark/>
          </w:tcPr>
          <w:p w:rsidR="00CB126E" w:rsidRPr="00CB126E" w:rsidP="00CB126E" w14:paraId="65351859" w14:textId="77777777">
            <w:pPr>
              <w:jc w:val="right"/>
              <w:rPr>
                <w:rFonts w:ascii="Calibri" w:hAnsi="Calibri" w:cs="Calibri"/>
                <w:sz w:val="12"/>
                <w:szCs w:val="12"/>
              </w:rPr>
            </w:pPr>
            <w:r w:rsidRPr="00CB126E">
              <w:rPr>
                <w:rFonts w:ascii="Calibri" w:hAnsi="Calibri" w:cs="Calibri"/>
                <w:sz w:val="12"/>
                <w:szCs w:val="12"/>
              </w:rPr>
              <w:t>1.977.027.120,03</w:t>
            </w:r>
          </w:p>
        </w:tc>
        <w:tc>
          <w:tcPr>
            <w:tcW w:w="411" w:type="pct"/>
            <w:tcBorders>
              <w:top w:val="single" w:sz="8" w:space="0" w:color="auto"/>
              <w:left w:val="nil"/>
              <w:bottom w:val="single" w:sz="4" w:space="0" w:color="auto"/>
              <w:right w:val="single" w:sz="4" w:space="0" w:color="auto"/>
            </w:tcBorders>
            <w:noWrap/>
            <w:vAlign w:val="center"/>
            <w:hideMark/>
          </w:tcPr>
          <w:p w:rsidR="00CB126E" w:rsidRPr="00CB126E" w:rsidP="00CB126E" w14:paraId="40F40D09" w14:textId="77777777">
            <w:pPr>
              <w:jc w:val="right"/>
              <w:rPr>
                <w:rFonts w:ascii="Calibri" w:hAnsi="Calibri" w:cs="Calibri"/>
                <w:sz w:val="12"/>
                <w:szCs w:val="12"/>
              </w:rPr>
            </w:pPr>
            <w:r w:rsidRPr="00CB126E">
              <w:rPr>
                <w:rFonts w:ascii="Calibri" w:hAnsi="Calibri" w:cs="Calibri"/>
                <w:sz w:val="12"/>
                <w:szCs w:val="12"/>
              </w:rPr>
              <w:t>1.957.670.799,38</w:t>
            </w:r>
          </w:p>
        </w:tc>
        <w:tc>
          <w:tcPr>
            <w:tcW w:w="411" w:type="pct"/>
            <w:tcBorders>
              <w:top w:val="single" w:sz="8" w:space="0" w:color="auto"/>
              <w:left w:val="nil"/>
              <w:bottom w:val="single" w:sz="4" w:space="0" w:color="auto"/>
              <w:right w:val="single" w:sz="4" w:space="0" w:color="auto"/>
            </w:tcBorders>
            <w:noWrap/>
            <w:vAlign w:val="center"/>
            <w:hideMark/>
          </w:tcPr>
          <w:p w:rsidR="00CB126E" w:rsidRPr="00CB126E" w:rsidP="00CB126E" w14:paraId="6DA4F207" w14:textId="77777777">
            <w:pPr>
              <w:jc w:val="right"/>
              <w:rPr>
                <w:rFonts w:ascii="Calibri" w:hAnsi="Calibri" w:cs="Calibri"/>
                <w:sz w:val="12"/>
                <w:szCs w:val="12"/>
              </w:rPr>
            </w:pPr>
            <w:r w:rsidRPr="00CB126E">
              <w:rPr>
                <w:rFonts w:ascii="Calibri" w:hAnsi="Calibri" w:cs="Calibri"/>
                <w:sz w:val="12"/>
                <w:szCs w:val="12"/>
              </w:rPr>
              <w:t>1.959.178.713,24</w:t>
            </w:r>
          </w:p>
        </w:tc>
        <w:tc>
          <w:tcPr>
            <w:tcW w:w="411" w:type="pct"/>
            <w:tcBorders>
              <w:top w:val="single" w:sz="8" w:space="0" w:color="auto"/>
              <w:left w:val="nil"/>
              <w:bottom w:val="single" w:sz="4" w:space="0" w:color="auto"/>
              <w:right w:val="single" w:sz="4" w:space="0" w:color="auto"/>
            </w:tcBorders>
            <w:noWrap/>
            <w:vAlign w:val="center"/>
            <w:hideMark/>
          </w:tcPr>
          <w:p w:rsidR="00CB126E" w:rsidRPr="00CB126E" w:rsidP="00CB126E" w14:paraId="6BE5D5A0" w14:textId="77777777">
            <w:pPr>
              <w:jc w:val="right"/>
              <w:rPr>
                <w:rFonts w:ascii="Calibri" w:hAnsi="Calibri" w:cs="Calibri"/>
                <w:sz w:val="12"/>
                <w:szCs w:val="12"/>
              </w:rPr>
            </w:pPr>
            <w:r w:rsidRPr="00CB126E">
              <w:rPr>
                <w:rFonts w:ascii="Calibri" w:hAnsi="Calibri" w:cs="Calibri"/>
                <w:sz w:val="12"/>
                <w:szCs w:val="12"/>
              </w:rPr>
              <w:t>1.967.282.816,95</w:t>
            </w:r>
          </w:p>
        </w:tc>
        <w:tc>
          <w:tcPr>
            <w:tcW w:w="411" w:type="pct"/>
            <w:tcBorders>
              <w:top w:val="single" w:sz="8" w:space="0" w:color="auto"/>
              <w:left w:val="nil"/>
              <w:bottom w:val="single" w:sz="4" w:space="0" w:color="auto"/>
              <w:right w:val="single" w:sz="4" w:space="0" w:color="auto"/>
            </w:tcBorders>
            <w:noWrap/>
            <w:vAlign w:val="center"/>
            <w:hideMark/>
          </w:tcPr>
          <w:p w:rsidR="00CB126E" w:rsidRPr="00CB126E" w:rsidP="00CB126E" w14:paraId="6B41484B" w14:textId="77777777">
            <w:pPr>
              <w:jc w:val="right"/>
              <w:rPr>
                <w:rFonts w:ascii="Calibri" w:hAnsi="Calibri" w:cs="Calibri"/>
                <w:sz w:val="12"/>
                <w:szCs w:val="12"/>
              </w:rPr>
            </w:pPr>
            <w:r w:rsidRPr="00CB126E">
              <w:rPr>
                <w:rFonts w:ascii="Calibri" w:hAnsi="Calibri" w:cs="Calibri"/>
                <w:sz w:val="12"/>
                <w:szCs w:val="12"/>
              </w:rPr>
              <w:t>1.967.221.493,31</w:t>
            </w:r>
          </w:p>
        </w:tc>
        <w:tc>
          <w:tcPr>
            <w:tcW w:w="411" w:type="pct"/>
            <w:tcBorders>
              <w:top w:val="single" w:sz="8" w:space="0" w:color="auto"/>
              <w:left w:val="nil"/>
              <w:bottom w:val="single" w:sz="4" w:space="0" w:color="auto"/>
              <w:right w:val="single" w:sz="4" w:space="0" w:color="auto"/>
            </w:tcBorders>
            <w:noWrap/>
            <w:vAlign w:val="center"/>
            <w:hideMark/>
          </w:tcPr>
          <w:p w:rsidR="00CB126E" w:rsidRPr="00CB126E" w:rsidP="00CB126E" w14:paraId="427F581D" w14:textId="77777777">
            <w:pPr>
              <w:jc w:val="right"/>
              <w:rPr>
                <w:rFonts w:ascii="Calibri" w:hAnsi="Calibri" w:cs="Calibri"/>
                <w:sz w:val="12"/>
                <w:szCs w:val="12"/>
              </w:rPr>
            </w:pPr>
            <w:r w:rsidRPr="00CB126E">
              <w:rPr>
                <w:rFonts w:ascii="Calibri" w:hAnsi="Calibri" w:cs="Calibri"/>
                <w:sz w:val="12"/>
                <w:szCs w:val="12"/>
              </w:rPr>
              <w:t>1.971.163.647,36</w:t>
            </w:r>
          </w:p>
        </w:tc>
        <w:tc>
          <w:tcPr>
            <w:tcW w:w="411" w:type="pct"/>
            <w:tcBorders>
              <w:top w:val="single" w:sz="8" w:space="0" w:color="auto"/>
              <w:left w:val="nil"/>
              <w:bottom w:val="single" w:sz="4" w:space="0" w:color="auto"/>
              <w:right w:val="single" w:sz="4" w:space="0" w:color="auto"/>
            </w:tcBorders>
            <w:noWrap/>
            <w:vAlign w:val="center"/>
            <w:hideMark/>
          </w:tcPr>
          <w:p w:rsidR="00CB126E" w:rsidRPr="00CB126E" w:rsidP="00CB126E" w14:paraId="2A64158C" w14:textId="77777777">
            <w:pPr>
              <w:jc w:val="right"/>
              <w:rPr>
                <w:rFonts w:ascii="Calibri" w:hAnsi="Calibri" w:cs="Calibri"/>
                <w:sz w:val="12"/>
                <w:szCs w:val="12"/>
              </w:rPr>
            </w:pPr>
            <w:r w:rsidRPr="00CB126E">
              <w:rPr>
                <w:rFonts w:ascii="Calibri" w:hAnsi="Calibri" w:cs="Calibri"/>
                <w:sz w:val="12"/>
                <w:szCs w:val="12"/>
              </w:rPr>
              <w:t>1.980.411.890,12</w:t>
            </w:r>
          </w:p>
        </w:tc>
        <w:tc>
          <w:tcPr>
            <w:tcW w:w="411" w:type="pct"/>
            <w:tcBorders>
              <w:top w:val="single" w:sz="8" w:space="0" w:color="auto"/>
              <w:left w:val="nil"/>
              <w:bottom w:val="single" w:sz="4" w:space="0" w:color="auto"/>
              <w:right w:val="single" w:sz="4" w:space="0" w:color="auto"/>
            </w:tcBorders>
            <w:noWrap/>
            <w:vAlign w:val="center"/>
            <w:hideMark/>
          </w:tcPr>
          <w:p w:rsidR="00CB126E" w:rsidRPr="00CB126E" w:rsidP="00CB126E" w14:paraId="5C9B5A7F" w14:textId="77777777">
            <w:pPr>
              <w:jc w:val="right"/>
              <w:rPr>
                <w:rFonts w:ascii="Calibri" w:hAnsi="Calibri" w:cs="Calibri"/>
                <w:sz w:val="12"/>
                <w:szCs w:val="12"/>
              </w:rPr>
            </w:pPr>
            <w:r w:rsidRPr="00CB126E">
              <w:rPr>
                <w:rFonts w:ascii="Calibri" w:hAnsi="Calibri" w:cs="Calibri"/>
                <w:sz w:val="12"/>
                <w:szCs w:val="12"/>
              </w:rPr>
              <w:t>1.984.646.959,64</w:t>
            </w:r>
          </w:p>
        </w:tc>
        <w:tc>
          <w:tcPr>
            <w:tcW w:w="411" w:type="pct"/>
            <w:tcBorders>
              <w:top w:val="single" w:sz="8" w:space="0" w:color="auto"/>
              <w:left w:val="nil"/>
              <w:bottom w:val="single" w:sz="4" w:space="0" w:color="auto"/>
              <w:right w:val="single" w:sz="4" w:space="0" w:color="auto"/>
            </w:tcBorders>
            <w:noWrap/>
            <w:vAlign w:val="center"/>
            <w:hideMark/>
          </w:tcPr>
          <w:p w:rsidR="00CB126E" w:rsidRPr="00CB126E" w:rsidP="00CB126E" w14:paraId="4EEBB4A5" w14:textId="77777777">
            <w:pPr>
              <w:jc w:val="right"/>
              <w:rPr>
                <w:rFonts w:ascii="Calibri" w:hAnsi="Calibri" w:cs="Calibri"/>
                <w:sz w:val="12"/>
                <w:szCs w:val="12"/>
              </w:rPr>
            </w:pPr>
            <w:r w:rsidRPr="00CB126E">
              <w:rPr>
                <w:rFonts w:ascii="Calibri" w:hAnsi="Calibri" w:cs="Calibri"/>
                <w:sz w:val="12"/>
                <w:szCs w:val="12"/>
              </w:rPr>
              <w:t>1.990.079.997,22</w:t>
            </w:r>
          </w:p>
        </w:tc>
        <w:tc>
          <w:tcPr>
            <w:tcW w:w="411" w:type="pct"/>
            <w:tcBorders>
              <w:top w:val="single" w:sz="8" w:space="0" w:color="auto"/>
              <w:left w:val="nil"/>
              <w:bottom w:val="single" w:sz="4" w:space="0" w:color="auto"/>
              <w:right w:val="single" w:sz="8" w:space="0" w:color="auto"/>
            </w:tcBorders>
            <w:noWrap/>
            <w:vAlign w:val="center"/>
            <w:hideMark/>
          </w:tcPr>
          <w:p w:rsidR="00CB126E" w:rsidRPr="00CB126E" w:rsidP="00CB126E" w14:paraId="437DF71B" w14:textId="77777777">
            <w:pPr>
              <w:jc w:val="right"/>
              <w:rPr>
                <w:rFonts w:ascii="Calibri" w:hAnsi="Calibri" w:cs="Calibri"/>
                <w:sz w:val="12"/>
                <w:szCs w:val="12"/>
              </w:rPr>
            </w:pPr>
            <w:r w:rsidRPr="00CB126E">
              <w:rPr>
                <w:rFonts w:ascii="Calibri" w:hAnsi="Calibri" w:cs="Calibri"/>
                <w:sz w:val="12"/>
                <w:szCs w:val="12"/>
              </w:rPr>
              <w:t>2.008.515.785,43</w:t>
            </w:r>
          </w:p>
        </w:tc>
      </w:tr>
      <w:tr w14:paraId="764D3BC3" w14:textId="77777777" w:rsidTr="00F4620E">
        <w:tblPrEx>
          <w:tblW w:w="5000" w:type="pct"/>
          <w:tblLook w:val="04A0"/>
        </w:tblPrEx>
        <w:trPr>
          <w:trHeight w:hRule="exact" w:val="1562"/>
        </w:trPr>
        <w:tc>
          <w:tcPr>
            <w:tcW w:w="233" w:type="pct"/>
            <w:vMerge/>
            <w:tcBorders>
              <w:top w:val="single" w:sz="8" w:space="0" w:color="auto"/>
              <w:left w:val="single" w:sz="8" w:space="0" w:color="auto"/>
              <w:bottom w:val="single" w:sz="8" w:space="0" w:color="000000"/>
              <w:right w:val="nil"/>
            </w:tcBorders>
            <w:vAlign w:val="center"/>
            <w:hideMark/>
          </w:tcPr>
          <w:p w:rsidR="00CB126E" w:rsidRPr="00CB126E" w:rsidP="00CB126E" w14:paraId="396907E4" w14:textId="77777777">
            <w:pPr>
              <w:rPr>
                <w:rFonts w:ascii="Calibri" w:hAnsi="Calibri" w:cs="Calibri"/>
                <w:color w:val="000000"/>
                <w:sz w:val="16"/>
                <w:szCs w:val="16"/>
              </w:rPr>
            </w:pPr>
          </w:p>
        </w:tc>
        <w:tc>
          <w:tcPr>
            <w:tcW w:w="282" w:type="pct"/>
            <w:tcBorders>
              <w:top w:val="nil"/>
              <w:left w:val="single" w:sz="8" w:space="0" w:color="auto"/>
              <w:bottom w:val="single" w:sz="4" w:space="0" w:color="auto"/>
              <w:right w:val="single" w:sz="8" w:space="0" w:color="auto"/>
            </w:tcBorders>
            <w:vAlign w:val="center"/>
            <w:hideMark/>
          </w:tcPr>
          <w:p w:rsidR="00CB126E" w:rsidRPr="00CB126E" w:rsidP="00CB126E" w14:paraId="0D6080AF" w14:textId="77777777">
            <w:pPr>
              <w:rPr>
                <w:rFonts w:ascii="Calibri" w:hAnsi="Calibri" w:cs="Calibri"/>
                <w:sz w:val="10"/>
                <w:szCs w:val="10"/>
              </w:rPr>
            </w:pPr>
            <w:r w:rsidRPr="00CB126E">
              <w:rPr>
                <w:rFonts w:ascii="Calibri" w:hAnsi="Calibri" w:cs="Calibri"/>
                <w:sz w:val="10"/>
                <w:szCs w:val="10"/>
              </w:rPr>
              <w:t>Personale non direttivo e non dirigente specialista</w:t>
            </w:r>
          </w:p>
        </w:tc>
        <w:tc>
          <w:tcPr>
            <w:tcW w:w="376" w:type="pct"/>
            <w:tcBorders>
              <w:top w:val="nil"/>
              <w:left w:val="single" w:sz="4" w:space="0" w:color="auto"/>
              <w:bottom w:val="single" w:sz="4" w:space="0" w:color="auto"/>
              <w:right w:val="single" w:sz="4" w:space="0" w:color="auto"/>
            </w:tcBorders>
            <w:noWrap/>
            <w:vAlign w:val="center"/>
            <w:hideMark/>
          </w:tcPr>
          <w:p w:rsidR="00CB126E" w:rsidRPr="00CB126E" w:rsidP="00CB126E" w14:paraId="4A357EA8" w14:textId="77777777">
            <w:pPr>
              <w:jc w:val="right"/>
              <w:rPr>
                <w:rFonts w:ascii="Calibri" w:hAnsi="Calibri" w:cs="Calibri"/>
                <w:sz w:val="12"/>
                <w:szCs w:val="12"/>
              </w:rPr>
            </w:pPr>
            <w:r w:rsidRPr="00CB126E">
              <w:rPr>
                <w:rFonts w:ascii="Calibri" w:hAnsi="Calibri" w:cs="Calibri"/>
                <w:sz w:val="12"/>
                <w:szCs w:val="12"/>
              </w:rPr>
              <w:t>121.308.244,33</w:t>
            </w:r>
          </w:p>
        </w:tc>
        <w:tc>
          <w:tcPr>
            <w:tcW w:w="411" w:type="pct"/>
            <w:tcBorders>
              <w:top w:val="nil"/>
              <w:left w:val="nil"/>
              <w:bottom w:val="single" w:sz="4" w:space="0" w:color="auto"/>
              <w:right w:val="single" w:sz="4" w:space="0" w:color="auto"/>
            </w:tcBorders>
            <w:noWrap/>
            <w:vAlign w:val="center"/>
            <w:hideMark/>
          </w:tcPr>
          <w:p w:rsidR="00CB126E" w:rsidRPr="00CB126E" w:rsidP="00CB126E" w14:paraId="0148DF02" w14:textId="77777777">
            <w:pPr>
              <w:jc w:val="right"/>
              <w:rPr>
                <w:rFonts w:ascii="Calibri" w:hAnsi="Calibri" w:cs="Calibri"/>
                <w:sz w:val="12"/>
                <w:szCs w:val="12"/>
              </w:rPr>
            </w:pPr>
            <w:r w:rsidRPr="00CB126E">
              <w:rPr>
                <w:rFonts w:ascii="Calibri" w:hAnsi="Calibri" w:cs="Calibri"/>
                <w:sz w:val="12"/>
                <w:szCs w:val="12"/>
              </w:rPr>
              <w:t>117.545.138,48</w:t>
            </w:r>
          </w:p>
        </w:tc>
        <w:tc>
          <w:tcPr>
            <w:tcW w:w="411" w:type="pct"/>
            <w:tcBorders>
              <w:top w:val="nil"/>
              <w:left w:val="nil"/>
              <w:bottom w:val="single" w:sz="4" w:space="0" w:color="auto"/>
              <w:right w:val="single" w:sz="4" w:space="0" w:color="auto"/>
            </w:tcBorders>
            <w:noWrap/>
            <w:vAlign w:val="center"/>
            <w:hideMark/>
          </w:tcPr>
          <w:p w:rsidR="00CB126E" w:rsidRPr="00CB126E" w:rsidP="00CB126E" w14:paraId="639FF963" w14:textId="77777777">
            <w:pPr>
              <w:jc w:val="right"/>
              <w:rPr>
                <w:rFonts w:ascii="Calibri" w:hAnsi="Calibri" w:cs="Calibri"/>
                <w:sz w:val="12"/>
                <w:szCs w:val="12"/>
              </w:rPr>
            </w:pPr>
            <w:r w:rsidRPr="00CB126E">
              <w:rPr>
                <w:rFonts w:ascii="Calibri" w:hAnsi="Calibri" w:cs="Calibri"/>
                <w:sz w:val="12"/>
                <w:szCs w:val="12"/>
              </w:rPr>
              <w:t>113.924.637,17</w:t>
            </w:r>
          </w:p>
        </w:tc>
        <w:tc>
          <w:tcPr>
            <w:tcW w:w="411" w:type="pct"/>
            <w:tcBorders>
              <w:top w:val="nil"/>
              <w:left w:val="nil"/>
              <w:bottom w:val="single" w:sz="4" w:space="0" w:color="auto"/>
              <w:right w:val="single" w:sz="4" w:space="0" w:color="auto"/>
            </w:tcBorders>
            <w:noWrap/>
            <w:vAlign w:val="center"/>
            <w:hideMark/>
          </w:tcPr>
          <w:p w:rsidR="00CB126E" w:rsidRPr="00CB126E" w:rsidP="00CB126E" w14:paraId="0B2F2482" w14:textId="77777777">
            <w:pPr>
              <w:jc w:val="right"/>
              <w:rPr>
                <w:rFonts w:ascii="Calibri" w:hAnsi="Calibri" w:cs="Calibri"/>
                <w:sz w:val="12"/>
                <w:szCs w:val="12"/>
              </w:rPr>
            </w:pPr>
            <w:r w:rsidRPr="00CB126E">
              <w:rPr>
                <w:rFonts w:ascii="Calibri" w:hAnsi="Calibri" w:cs="Calibri"/>
                <w:sz w:val="12"/>
                <w:szCs w:val="12"/>
              </w:rPr>
              <w:t>120.358.920,22</w:t>
            </w:r>
          </w:p>
        </w:tc>
        <w:tc>
          <w:tcPr>
            <w:tcW w:w="411" w:type="pct"/>
            <w:tcBorders>
              <w:top w:val="nil"/>
              <w:left w:val="nil"/>
              <w:bottom w:val="single" w:sz="4" w:space="0" w:color="auto"/>
              <w:right w:val="single" w:sz="4" w:space="0" w:color="auto"/>
            </w:tcBorders>
            <w:noWrap/>
            <w:vAlign w:val="center"/>
            <w:hideMark/>
          </w:tcPr>
          <w:p w:rsidR="00CB126E" w:rsidRPr="00CB126E" w:rsidP="00CB126E" w14:paraId="2A98507E" w14:textId="77777777">
            <w:pPr>
              <w:jc w:val="right"/>
              <w:rPr>
                <w:rFonts w:ascii="Calibri" w:hAnsi="Calibri" w:cs="Calibri"/>
                <w:sz w:val="12"/>
                <w:szCs w:val="12"/>
              </w:rPr>
            </w:pPr>
            <w:r w:rsidRPr="00CB126E">
              <w:rPr>
                <w:rFonts w:ascii="Calibri" w:hAnsi="Calibri" w:cs="Calibri"/>
                <w:sz w:val="12"/>
                <w:szCs w:val="12"/>
              </w:rPr>
              <w:t>120.108.480,03</w:t>
            </w:r>
          </w:p>
        </w:tc>
        <w:tc>
          <w:tcPr>
            <w:tcW w:w="411" w:type="pct"/>
            <w:tcBorders>
              <w:top w:val="nil"/>
              <w:left w:val="nil"/>
              <w:bottom w:val="single" w:sz="4" w:space="0" w:color="auto"/>
              <w:right w:val="single" w:sz="4" w:space="0" w:color="auto"/>
            </w:tcBorders>
            <w:noWrap/>
            <w:vAlign w:val="center"/>
            <w:hideMark/>
          </w:tcPr>
          <w:p w:rsidR="00CB126E" w:rsidRPr="00CB126E" w:rsidP="00CB126E" w14:paraId="3054AD45" w14:textId="77777777">
            <w:pPr>
              <w:jc w:val="right"/>
              <w:rPr>
                <w:rFonts w:ascii="Calibri" w:hAnsi="Calibri" w:cs="Calibri"/>
                <w:sz w:val="12"/>
                <w:szCs w:val="12"/>
              </w:rPr>
            </w:pPr>
            <w:r w:rsidRPr="00CB126E">
              <w:rPr>
                <w:rFonts w:ascii="Calibri" w:hAnsi="Calibri" w:cs="Calibri"/>
                <w:sz w:val="12"/>
                <w:szCs w:val="12"/>
              </w:rPr>
              <w:t>121.416.437,84</w:t>
            </w:r>
          </w:p>
        </w:tc>
        <w:tc>
          <w:tcPr>
            <w:tcW w:w="411" w:type="pct"/>
            <w:tcBorders>
              <w:top w:val="nil"/>
              <w:left w:val="nil"/>
              <w:bottom w:val="single" w:sz="4" w:space="0" w:color="auto"/>
              <w:right w:val="single" w:sz="4" w:space="0" w:color="auto"/>
            </w:tcBorders>
            <w:noWrap/>
            <w:vAlign w:val="center"/>
            <w:hideMark/>
          </w:tcPr>
          <w:p w:rsidR="00CB126E" w:rsidRPr="00CB126E" w:rsidP="00CB126E" w14:paraId="3B87EC16" w14:textId="77777777">
            <w:pPr>
              <w:jc w:val="right"/>
              <w:rPr>
                <w:rFonts w:ascii="Calibri" w:hAnsi="Calibri" w:cs="Calibri"/>
                <w:sz w:val="12"/>
                <w:szCs w:val="12"/>
              </w:rPr>
            </w:pPr>
            <w:r w:rsidRPr="00CB126E">
              <w:rPr>
                <w:rFonts w:ascii="Calibri" w:hAnsi="Calibri" w:cs="Calibri"/>
                <w:sz w:val="12"/>
                <w:szCs w:val="12"/>
              </w:rPr>
              <w:t>122.479.441,89</w:t>
            </w:r>
          </w:p>
        </w:tc>
        <w:tc>
          <w:tcPr>
            <w:tcW w:w="411" w:type="pct"/>
            <w:tcBorders>
              <w:top w:val="nil"/>
              <w:left w:val="nil"/>
              <w:bottom w:val="single" w:sz="4" w:space="0" w:color="auto"/>
              <w:right w:val="single" w:sz="4" w:space="0" w:color="auto"/>
            </w:tcBorders>
            <w:noWrap/>
            <w:vAlign w:val="center"/>
            <w:hideMark/>
          </w:tcPr>
          <w:p w:rsidR="00CB126E" w:rsidRPr="00CB126E" w:rsidP="00CB126E" w14:paraId="6878CE6C" w14:textId="77777777">
            <w:pPr>
              <w:jc w:val="right"/>
              <w:rPr>
                <w:rFonts w:ascii="Calibri" w:hAnsi="Calibri" w:cs="Calibri"/>
                <w:sz w:val="12"/>
                <w:szCs w:val="12"/>
              </w:rPr>
            </w:pPr>
            <w:r w:rsidRPr="00CB126E">
              <w:rPr>
                <w:rFonts w:ascii="Calibri" w:hAnsi="Calibri" w:cs="Calibri"/>
                <w:sz w:val="12"/>
                <w:szCs w:val="12"/>
              </w:rPr>
              <w:t>123.090.561,12</w:t>
            </w:r>
          </w:p>
        </w:tc>
        <w:tc>
          <w:tcPr>
            <w:tcW w:w="411" w:type="pct"/>
            <w:tcBorders>
              <w:top w:val="nil"/>
              <w:left w:val="nil"/>
              <w:bottom w:val="single" w:sz="4" w:space="0" w:color="auto"/>
              <w:right w:val="single" w:sz="4" w:space="0" w:color="auto"/>
            </w:tcBorders>
            <w:noWrap/>
            <w:vAlign w:val="center"/>
            <w:hideMark/>
          </w:tcPr>
          <w:p w:rsidR="00CB126E" w:rsidRPr="00CB126E" w:rsidP="00CB126E" w14:paraId="7D93FB8B" w14:textId="77777777">
            <w:pPr>
              <w:jc w:val="right"/>
              <w:rPr>
                <w:rFonts w:ascii="Calibri" w:hAnsi="Calibri" w:cs="Calibri"/>
                <w:sz w:val="12"/>
                <w:szCs w:val="12"/>
              </w:rPr>
            </w:pPr>
            <w:r w:rsidRPr="00CB126E">
              <w:rPr>
                <w:rFonts w:ascii="Calibri" w:hAnsi="Calibri" w:cs="Calibri"/>
                <w:sz w:val="12"/>
                <w:szCs w:val="12"/>
              </w:rPr>
              <w:t>122.677.239,85</w:t>
            </w:r>
          </w:p>
        </w:tc>
        <w:tc>
          <w:tcPr>
            <w:tcW w:w="411" w:type="pct"/>
            <w:tcBorders>
              <w:top w:val="nil"/>
              <w:left w:val="nil"/>
              <w:bottom w:val="single" w:sz="4" w:space="0" w:color="auto"/>
              <w:right w:val="single" w:sz="4" w:space="0" w:color="auto"/>
            </w:tcBorders>
            <w:noWrap/>
            <w:vAlign w:val="center"/>
            <w:hideMark/>
          </w:tcPr>
          <w:p w:rsidR="00CB126E" w:rsidRPr="00CB126E" w:rsidP="00CB126E" w14:paraId="3125FC6E" w14:textId="77777777">
            <w:pPr>
              <w:jc w:val="right"/>
              <w:rPr>
                <w:rFonts w:ascii="Calibri" w:hAnsi="Calibri" w:cs="Calibri"/>
                <w:sz w:val="12"/>
                <w:szCs w:val="12"/>
              </w:rPr>
            </w:pPr>
            <w:r w:rsidRPr="00CB126E">
              <w:rPr>
                <w:rFonts w:ascii="Calibri" w:hAnsi="Calibri" w:cs="Calibri"/>
                <w:sz w:val="12"/>
                <w:szCs w:val="12"/>
              </w:rPr>
              <w:t>122.522.358,46</w:t>
            </w:r>
          </w:p>
        </w:tc>
        <w:tc>
          <w:tcPr>
            <w:tcW w:w="411" w:type="pct"/>
            <w:tcBorders>
              <w:top w:val="nil"/>
              <w:left w:val="nil"/>
              <w:bottom w:val="single" w:sz="4" w:space="0" w:color="auto"/>
              <w:right w:val="single" w:sz="8" w:space="0" w:color="auto"/>
            </w:tcBorders>
            <w:noWrap/>
            <w:vAlign w:val="center"/>
            <w:hideMark/>
          </w:tcPr>
          <w:p w:rsidR="00CB126E" w:rsidRPr="00CB126E" w:rsidP="00CB126E" w14:paraId="1951E865" w14:textId="77777777">
            <w:pPr>
              <w:jc w:val="right"/>
              <w:rPr>
                <w:rFonts w:ascii="Calibri" w:hAnsi="Calibri" w:cs="Calibri"/>
                <w:sz w:val="12"/>
                <w:szCs w:val="12"/>
              </w:rPr>
            </w:pPr>
            <w:r w:rsidRPr="00CB126E">
              <w:rPr>
                <w:rFonts w:ascii="Calibri" w:hAnsi="Calibri" w:cs="Calibri"/>
                <w:sz w:val="12"/>
                <w:szCs w:val="12"/>
              </w:rPr>
              <w:t>122.037.770,15</w:t>
            </w:r>
          </w:p>
        </w:tc>
      </w:tr>
      <w:tr w14:paraId="6F87FAA5" w14:textId="77777777" w:rsidTr="00F4620E">
        <w:tblPrEx>
          <w:tblW w:w="5000" w:type="pct"/>
          <w:tblLook w:val="04A0"/>
        </w:tblPrEx>
        <w:trPr>
          <w:trHeight w:hRule="exact" w:val="1144"/>
        </w:trPr>
        <w:tc>
          <w:tcPr>
            <w:tcW w:w="233" w:type="pct"/>
            <w:vMerge/>
            <w:tcBorders>
              <w:top w:val="single" w:sz="8" w:space="0" w:color="auto"/>
              <w:left w:val="single" w:sz="8" w:space="0" w:color="auto"/>
              <w:bottom w:val="single" w:sz="8" w:space="0" w:color="000000"/>
              <w:right w:val="nil"/>
            </w:tcBorders>
            <w:vAlign w:val="center"/>
            <w:hideMark/>
          </w:tcPr>
          <w:p w:rsidR="00CB126E" w:rsidRPr="00CB126E" w:rsidP="00CB126E" w14:paraId="0BFA9636" w14:textId="77777777">
            <w:pPr>
              <w:rPr>
                <w:rFonts w:ascii="Calibri" w:hAnsi="Calibri" w:cs="Calibri"/>
                <w:color w:val="000000"/>
                <w:sz w:val="16"/>
                <w:szCs w:val="16"/>
              </w:rPr>
            </w:pPr>
          </w:p>
        </w:tc>
        <w:tc>
          <w:tcPr>
            <w:tcW w:w="282" w:type="pct"/>
            <w:tcBorders>
              <w:top w:val="nil"/>
              <w:left w:val="single" w:sz="8" w:space="0" w:color="auto"/>
              <w:bottom w:val="single" w:sz="4" w:space="0" w:color="auto"/>
              <w:right w:val="single" w:sz="8" w:space="0" w:color="auto"/>
            </w:tcBorders>
            <w:vAlign w:val="center"/>
            <w:hideMark/>
          </w:tcPr>
          <w:p w:rsidR="00CB126E" w:rsidRPr="00CB126E" w:rsidP="00CB126E" w14:paraId="27615E86" w14:textId="77777777">
            <w:pPr>
              <w:rPr>
                <w:rFonts w:ascii="Calibri" w:hAnsi="Calibri" w:cs="Calibri"/>
                <w:sz w:val="10"/>
                <w:szCs w:val="10"/>
              </w:rPr>
            </w:pPr>
            <w:r w:rsidRPr="00CB126E">
              <w:rPr>
                <w:rFonts w:ascii="Calibri" w:hAnsi="Calibri" w:cs="Calibri"/>
                <w:sz w:val="10"/>
                <w:szCs w:val="10"/>
              </w:rPr>
              <w:t>Personale direttivo ordinario e specialista</w:t>
            </w:r>
          </w:p>
        </w:tc>
        <w:tc>
          <w:tcPr>
            <w:tcW w:w="376" w:type="pct"/>
            <w:tcBorders>
              <w:top w:val="nil"/>
              <w:left w:val="single" w:sz="4" w:space="0" w:color="auto"/>
              <w:bottom w:val="single" w:sz="4" w:space="0" w:color="auto"/>
              <w:right w:val="single" w:sz="4" w:space="0" w:color="auto"/>
            </w:tcBorders>
            <w:noWrap/>
            <w:vAlign w:val="center"/>
            <w:hideMark/>
          </w:tcPr>
          <w:p w:rsidR="00CB126E" w:rsidRPr="00CB126E" w:rsidP="00CB126E" w14:paraId="5D740A67" w14:textId="77777777">
            <w:pPr>
              <w:jc w:val="right"/>
              <w:rPr>
                <w:rFonts w:ascii="Calibri" w:hAnsi="Calibri" w:cs="Calibri"/>
                <w:sz w:val="12"/>
                <w:szCs w:val="12"/>
              </w:rPr>
            </w:pPr>
            <w:r w:rsidRPr="00CB126E">
              <w:rPr>
                <w:rFonts w:ascii="Calibri" w:hAnsi="Calibri" w:cs="Calibri"/>
                <w:sz w:val="12"/>
                <w:szCs w:val="12"/>
              </w:rPr>
              <w:t>119.626.223,59</w:t>
            </w:r>
          </w:p>
        </w:tc>
        <w:tc>
          <w:tcPr>
            <w:tcW w:w="411" w:type="pct"/>
            <w:tcBorders>
              <w:top w:val="nil"/>
              <w:left w:val="nil"/>
              <w:bottom w:val="single" w:sz="4" w:space="0" w:color="auto"/>
              <w:right w:val="single" w:sz="4" w:space="0" w:color="auto"/>
            </w:tcBorders>
            <w:noWrap/>
            <w:vAlign w:val="center"/>
            <w:hideMark/>
          </w:tcPr>
          <w:p w:rsidR="00CB126E" w:rsidRPr="00CB126E" w:rsidP="00CB126E" w14:paraId="47BFF572" w14:textId="77777777">
            <w:pPr>
              <w:jc w:val="right"/>
              <w:rPr>
                <w:rFonts w:ascii="Calibri" w:hAnsi="Calibri" w:cs="Calibri"/>
                <w:sz w:val="12"/>
                <w:szCs w:val="12"/>
              </w:rPr>
            </w:pPr>
            <w:r w:rsidRPr="00CB126E">
              <w:rPr>
                <w:rFonts w:ascii="Calibri" w:hAnsi="Calibri" w:cs="Calibri"/>
                <w:sz w:val="12"/>
                <w:szCs w:val="12"/>
              </w:rPr>
              <w:t>119.323.969,72</w:t>
            </w:r>
          </w:p>
        </w:tc>
        <w:tc>
          <w:tcPr>
            <w:tcW w:w="411" w:type="pct"/>
            <w:tcBorders>
              <w:top w:val="nil"/>
              <w:left w:val="nil"/>
              <w:bottom w:val="single" w:sz="4" w:space="0" w:color="auto"/>
              <w:right w:val="single" w:sz="4" w:space="0" w:color="auto"/>
            </w:tcBorders>
            <w:noWrap/>
            <w:vAlign w:val="center"/>
            <w:hideMark/>
          </w:tcPr>
          <w:p w:rsidR="00CB126E" w:rsidRPr="00CB126E" w:rsidP="00CB126E" w14:paraId="2A380310" w14:textId="77777777">
            <w:pPr>
              <w:jc w:val="right"/>
              <w:rPr>
                <w:rFonts w:ascii="Calibri" w:hAnsi="Calibri" w:cs="Calibri"/>
                <w:sz w:val="12"/>
                <w:szCs w:val="12"/>
              </w:rPr>
            </w:pPr>
            <w:r w:rsidRPr="00CB126E">
              <w:rPr>
                <w:rFonts w:ascii="Calibri" w:hAnsi="Calibri" w:cs="Calibri"/>
                <w:sz w:val="12"/>
                <w:szCs w:val="12"/>
              </w:rPr>
              <w:t>116.298.632,30</w:t>
            </w:r>
          </w:p>
        </w:tc>
        <w:tc>
          <w:tcPr>
            <w:tcW w:w="411" w:type="pct"/>
            <w:tcBorders>
              <w:top w:val="nil"/>
              <w:left w:val="nil"/>
              <w:bottom w:val="single" w:sz="4" w:space="0" w:color="auto"/>
              <w:right w:val="single" w:sz="4" w:space="0" w:color="auto"/>
            </w:tcBorders>
            <w:noWrap/>
            <w:vAlign w:val="center"/>
            <w:hideMark/>
          </w:tcPr>
          <w:p w:rsidR="00CB126E" w:rsidRPr="00CB126E" w:rsidP="00CB126E" w14:paraId="41DA3ED3" w14:textId="77777777">
            <w:pPr>
              <w:jc w:val="right"/>
              <w:rPr>
                <w:rFonts w:ascii="Calibri" w:hAnsi="Calibri" w:cs="Calibri"/>
                <w:sz w:val="12"/>
                <w:szCs w:val="12"/>
              </w:rPr>
            </w:pPr>
            <w:r w:rsidRPr="00CB126E">
              <w:rPr>
                <w:rFonts w:ascii="Calibri" w:hAnsi="Calibri" w:cs="Calibri"/>
                <w:sz w:val="12"/>
                <w:szCs w:val="12"/>
              </w:rPr>
              <w:t>114.234.872,97</w:t>
            </w:r>
          </w:p>
        </w:tc>
        <w:tc>
          <w:tcPr>
            <w:tcW w:w="411" w:type="pct"/>
            <w:tcBorders>
              <w:top w:val="nil"/>
              <w:left w:val="nil"/>
              <w:bottom w:val="single" w:sz="4" w:space="0" w:color="auto"/>
              <w:right w:val="single" w:sz="4" w:space="0" w:color="auto"/>
            </w:tcBorders>
            <w:noWrap/>
            <w:vAlign w:val="center"/>
            <w:hideMark/>
          </w:tcPr>
          <w:p w:rsidR="00CB126E" w:rsidRPr="00CB126E" w:rsidP="00CB126E" w14:paraId="6CA8FF77" w14:textId="77777777">
            <w:pPr>
              <w:jc w:val="right"/>
              <w:rPr>
                <w:rFonts w:ascii="Calibri" w:hAnsi="Calibri" w:cs="Calibri"/>
                <w:sz w:val="12"/>
                <w:szCs w:val="12"/>
              </w:rPr>
            </w:pPr>
            <w:r w:rsidRPr="00CB126E">
              <w:rPr>
                <w:rFonts w:ascii="Calibri" w:hAnsi="Calibri" w:cs="Calibri"/>
                <w:sz w:val="12"/>
                <w:szCs w:val="12"/>
              </w:rPr>
              <w:t>111.508.271,51</w:t>
            </w:r>
          </w:p>
        </w:tc>
        <w:tc>
          <w:tcPr>
            <w:tcW w:w="411" w:type="pct"/>
            <w:tcBorders>
              <w:top w:val="nil"/>
              <w:left w:val="nil"/>
              <w:bottom w:val="single" w:sz="4" w:space="0" w:color="auto"/>
              <w:right w:val="single" w:sz="4" w:space="0" w:color="auto"/>
            </w:tcBorders>
            <w:noWrap/>
            <w:vAlign w:val="center"/>
            <w:hideMark/>
          </w:tcPr>
          <w:p w:rsidR="00CB126E" w:rsidRPr="00CB126E" w:rsidP="00CB126E" w14:paraId="2A5D57C4" w14:textId="77777777">
            <w:pPr>
              <w:jc w:val="right"/>
              <w:rPr>
                <w:rFonts w:ascii="Calibri" w:hAnsi="Calibri" w:cs="Calibri"/>
                <w:sz w:val="12"/>
                <w:szCs w:val="12"/>
              </w:rPr>
            </w:pPr>
            <w:r w:rsidRPr="00CB126E">
              <w:rPr>
                <w:rFonts w:ascii="Calibri" w:hAnsi="Calibri" w:cs="Calibri"/>
                <w:sz w:val="12"/>
                <w:szCs w:val="12"/>
              </w:rPr>
              <w:t>107.396.745,25</w:t>
            </w:r>
          </w:p>
        </w:tc>
        <w:tc>
          <w:tcPr>
            <w:tcW w:w="411" w:type="pct"/>
            <w:tcBorders>
              <w:top w:val="nil"/>
              <w:left w:val="nil"/>
              <w:bottom w:val="single" w:sz="4" w:space="0" w:color="auto"/>
              <w:right w:val="single" w:sz="4" w:space="0" w:color="auto"/>
            </w:tcBorders>
            <w:noWrap/>
            <w:vAlign w:val="center"/>
            <w:hideMark/>
          </w:tcPr>
          <w:p w:rsidR="00CB126E" w:rsidRPr="00CB126E" w:rsidP="00CB126E" w14:paraId="59FCC475" w14:textId="77777777">
            <w:pPr>
              <w:jc w:val="right"/>
              <w:rPr>
                <w:rFonts w:ascii="Calibri" w:hAnsi="Calibri" w:cs="Calibri"/>
                <w:sz w:val="12"/>
                <w:szCs w:val="12"/>
              </w:rPr>
            </w:pPr>
            <w:r w:rsidRPr="00CB126E">
              <w:rPr>
                <w:rFonts w:ascii="Calibri" w:hAnsi="Calibri" w:cs="Calibri"/>
                <w:sz w:val="12"/>
                <w:szCs w:val="12"/>
              </w:rPr>
              <w:t>102.884.387,38</w:t>
            </w:r>
          </w:p>
        </w:tc>
        <w:tc>
          <w:tcPr>
            <w:tcW w:w="411" w:type="pct"/>
            <w:tcBorders>
              <w:top w:val="nil"/>
              <w:left w:val="nil"/>
              <w:bottom w:val="single" w:sz="4" w:space="0" w:color="auto"/>
              <w:right w:val="single" w:sz="4" w:space="0" w:color="auto"/>
            </w:tcBorders>
            <w:noWrap/>
            <w:vAlign w:val="center"/>
            <w:hideMark/>
          </w:tcPr>
          <w:p w:rsidR="00CB126E" w:rsidRPr="00CB126E" w:rsidP="00CB126E" w14:paraId="51099691" w14:textId="77777777">
            <w:pPr>
              <w:jc w:val="right"/>
              <w:rPr>
                <w:rFonts w:ascii="Calibri" w:hAnsi="Calibri" w:cs="Calibri"/>
                <w:sz w:val="12"/>
                <w:szCs w:val="12"/>
              </w:rPr>
            </w:pPr>
            <w:r w:rsidRPr="00CB126E">
              <w:rPr>
                <w:rFonts w:ascii="Calibri" w:hAnsi="Calibri" w:cs="Calibri"/>
                <w:sz w:val="12"/>
                <w:szCs w:val="12"/>
              </w:rPr>
              <w:t>100.594.474,03</w:t>
            </w:r>
          </w:p>
        </w:tc>
        <w:tc>
          <w:tcPr>
            <w:tcW w:w="411" w:type="pct"/>
            <w:tcBorders>
              <w:top w:val="nil"/>
              <w:left w:val="nil"/>
              <w:bottom w:val="single" w:sz="4" w:space="0" w:color="auto"/>
              <w:right w:val="single" w:sz="4" w:space="0" w:color="auto"/>
            </w:tcBorders>
            <w:noWrap/>
            <w:vAlign w:val="center"/>
            <w:hideMark/>
          </w:tcPr>
          <w:p w:rsidR="00CB126E" w:rsidRPr="00CB126E" w:rsidP="00CB126E" w14:paraId="77E21F40" w14:textId="77777777">
            <w:pPr>
              <w:jc w:val="right"/>
              <w:rPr>
                <w:rFonts w:ascii="Calibri" w:hAnsi="Calibri" w:cs="Calibri"/>
                <w:sz w:val="12"/>
                <w:szCs w:val="12"/>
              </w:rPr>
            </w:pPr>
            <w:r w:rsidRPr="00CB126E">
              <w:rPr>
                <w:rFonts w:ascii="Calibri" w:hAnsi="Calibri" w:cs="Calibri"/>
                <w:sz w:val="12"/>
                <w:szCs w:val="12"/>
              </w:rPr>
              <w:t>97.922.077,73</w:t>
            </w:r>
          </w:p>
        </w:tc>
        <w:tc>
          <w:tcPr>
            <w:tcW w:w="411" w:type="pct"/>
            <w:tcBorders>
              <w:top w:val="nil"/>
              <w:left w:val="nil"/>
              <w:bottom w:val="single" w:sz="4" w:space="0" w:color="auto"/>
              <w:right w:val="single" w:sz="4" w:space="0" w:color="auto"/>
            </w:tcBorders>
            <w:noWrap/>
            <w:vAlign w:val="center"/>
            <w:hideMark/>
          </w:tcPr>
          <w:p w:rsidR="00CB126E" w:rsidRPr="00CB126E" w:rsidP="00CB126E" w14:paraId="38D5CDA4" w14:textId="77777777">
            <w:pPr>
              <w:jc w:val="right"/>
              <w:rPr>
                <w:rFonts w:ascii="Calibri" w:hAnsi="Calibri" w:cs="Calibri"/>
                <w:sz w:val="12"/>
                <w:szCs w:val="12"/>
              </w:rPr>
            </w:pPr>
            <w:r w:rsidRPr="00CB126E">
              <w:rPr>
                <w:rFonts w:ascii="Calibri" w:hAnsi="Calibri" w:cs="Calibri"/>
                <w:sz w:val="12"/>
                <w:szCs w:val="12"/>
              </w:rPr>
              <w:t>93.150.612,25</w:t>
            </w:r>
          </w:p>
        </w:tc>
        <w:tc>
          <w:tcPr>
            <w:tcW w:w="411" w:type="pct"/>
            <w:tcBorders>
              <w:top w:val="nil"/>
              <w:left w:val="nil"/>
              <w:bottom w:val="single" w:sz="4" w:space="0" w:color="auto"/>
              <w:right w:val="single" w:sz="8" w:space="0" w:color="auto"/>
            </w:tcBorders>
            <w:noWrap/>
            <w:vAlign w:val="center"/>
            <w:hideMark/>
          </w:tcPr>
          <w:p w:rsidR="00CB126E" w:rsidRPr="00CB126E" w:rsidP="00CB126E" w14:paraId="7D3EDBEC" w14:textId="77777777">
            <w:pPr>
              <w:jc w:val="right"/>
              <w:rPr>
                <w:rFonts w:ascii="Calibri" w:hAnsi="Calibri" w:cs="Calibri"/>
                <w:sz w:val="12"/>
                <w:szCs w:val="12"/>
              </w:rPr>
            </w:pPr>
            <w:r w:rsidRPr="00CB126E">
              <w:rPr>
                <w:rFonts w:ascii="Calibri" w:hAnsi="Calibri" w:cs="Calibri"/>
                <w:sz w:val="12"/>
                <w:szCs w:val="12"/>
              </w:rPr>
              <w:t>89.342.300,38</w:t>
            </w:r>
          </w:p>
        </w:tc>
      </w:tr>
      <w:tr w14:paraId="37BBD196" w14:textId="77777777" w:rsidTr="00F4620E">
        <w:tblPrEx>
          <w:tblW w:w="5000" w:type="pct"/>
          <w:tblLook w:val="04A0"/>
        </w:tblPrEx>
        <w:trPr>
          <w:trHeight w:hRule="exact" w:val="883"/>
        </w:trPr>
        <w:tc>
          <w:tcPr>
            <w:tcW w:w="233" w:type="pct"/>
            <w:vMerge/>
            <w:tcBorders>
              <w:top w:val="single" w:sz="8" w:space="0" w:color="auto"/>
              <w:left w:val="single" w:sz="8" w:space="0" w:color="auto"/>
              <w:bottom w:val="single" w:sz="8" w:space="0" w:color="000000"/>
              <w:right w:val="nil"/>
            </w:tcBorders>
            <w:vAlign w:val="center"/>
            <w:hideMark/>
          </w:tcPr>
          <w:p w:rsidR="00CB126E" w:rsidRPr="00CB126E" w:rsidP="00CB126E" w14:paraId="4EA78D58" w14:textId="77777777">
            <w:pPr>
              <w:rPr>
                <w:rFonts w:ascii="Calibri" w:hAnsi="Calibri" w:cs="Calibri"/>
                <w:color w:val="000000"/>
                <w:sz w:val="16"/>
                <w:szCs w:val="16"/>
              </w:rPr>
            </w:pPr>
          </w:p>
        </w:tc>
        <w:tc>
          <w:tcPr>
            <w:tcW w:w="282" w:type="pct"/>
            <w:tcBorders>
              <w:top w:val="nil"/>
              <w:left w:val="single" w:sz="8" w:space="0" w:color="auto"/>
              <w:bottom w:val="single" w:sz="8" w:space="0" w:color="auto"/>
              <w:right w:val="single" w:sz="8" w:space="0" w:color="auto"/>
            </w:tcBorders>
            <w:vAlign w:val="center"/>
            <w:hideMark/>
          </w:tcPr>
          <w:p w:rsidR="00CB126E" w:rsidRPr="00CB126E" w:rsidP="00CB126E" w14:paraId="0CE6371F" w14:textId="77777777">
            <w:pPr>
              <w:rPr>
                <w:rFonts w:ascii="Calibri" w:hAnsi="Calibri" w:cs="Calibri"/>
                <w:sz w:val="10"/>
                <w:szCs w:val="10"/>
              </w:rPr>
            </w:pPr>
            <w:r w:rsidRPr="00CB126E">
              <w:rPr>
                <w:rFonts w:ascii="Calibri" w:hAnsi="Calibri" w:cs="Calibri"/>
                <w:sz w:val="10"/>
                <w:szCs w:val="10"/>
              </w:rPr>
              <w:t>Personale dirigente</w:t>
            </w:r>
          </w:p>
        </w:tc>
        <w:tc>
          <w:tcPr>
            <w:tcW w:w="376" w:type="pct"/>
            <w:tcBorders>
              <w:top w:val="nil"/>
              <w:left w:val="single" w:sz="4" w:space="0" w:color="auto"/>
              <w:bottom w:val="single" w:sz="8" w:space="0" w:color="auto"/>
              <w:right w:val="single" w:sz="4" w:space="0" w:color="auto"/>
            </w:tcBorders>
            <w:noWrap/>
            <w:vAlign w:val="center"/>
            <w:hideMark/>
          </w:tcPr>
          <w:p w:rsidR="00CB126E" w:rsidRPr="00CB126E" w:rsidP="00CB126E" w14:paraId="76DD650B" w14:textId="77777777">
            <w:pPr>
              <w:jc w:val="right"/>
              <w:rPr>
                <w:rFonts w:ascii="Calibri" w:hAnsi="Calibri" w:cs="Calibri"/>
                <w:sz w:val="12"/>
                <w:szCs w:val="12"/>
              </w:rPr>
            </w:pPr>
            <w:r w:rsidRPr="00CB126E">
              <w:rPr>
                <w:rFonts w:ascii="Calibri" w:hAnsi="Calibri" w:cs="Calibri"/>
                <w:sz w:val="12"/>
                <w:szCs w:val="12"/>
              </w:rPr>
              <w:t>38.262.171,31</w:t>
            </w:r>
          </w:p>
        </w:tc>
        <w:tc>
          <w:tcPr>
            <w:tcW w:w="411" w:type="pct"/>
            <w:tcBorders>
              <w:top w:val="nil"/>
              <w:left w:val="nil"/>
              <w:bottom w:val="single" w:sz="8" w:space="0" w:color="auto"/>
              <w:right w:val="single" w:sz="4" w:space="0" w:color="auto"/>
            </w:tcBorders>
            <w:noWrap/>
            <w:vAlign w:val="center"/>
            <w:hideMark/>
          </w:tcPr>
          <w:p w:rsidR="00CB126E" w:rsidRPr="00CB126E" w:rsidP="00CB126E" w14:paraId="267A4D76" w14:textId="77777777">
            <w:pPr>
              <w:jc w:val="right"/>
              <w:rPr>
                <w:rFonts w:ascii="Calibri" w:hAnsi="Calibri" w:cs="Calibri"/>
                <w:sz w:val="12"/>
                <w:szCs w:val="12"/>
              </w:rPr>
            </w:pPr>
            <w:r w:rsidRPr="00CB126E">
              <w:rPr>
                <w:rFonts w:ascii="Calibri" w:hAnsi="Calibri" w:cs="Calibri"/>
                <w:sz w:val="12"/>
                <w:szCs w:val="12"/>
              </w:rPr>
              <w:t>37.535.884,40</w:t>
            </w:r>
          </w:p>
        </w:tc>
        <w:tc>
          <w:tcPr>
            <w:tcW w:w="411" w:type="pct"/>
            <w:tcBorders>
              <w:top w:val="nil"/>
              <w:left w:val="nil"/>
              <w:bottom w:val="single" w:sz="8" w:space="0" w:color="auto"/>
              <w:right w:val="single" w:sz="4" w:space="0" w:color="auto"/>
            </w:tcBorders>
            <w:noWrap/>
            <w:vAlign w:val="center"/>
            <w:hideMark/>
          </w:tcPr>
          <w:p w:rsidR="00CB126E" w:rsidRPr="00CB126E" w:rsidP="00CB126E" w14:paraId="3CFA6216" w14:textId="77777777">
            <w:pPr>
              <w:jc w:val="right"/>
              <w:rPr>
                <w:rFonts w:ascii="Calibri" w:hAnsi="Calibri" w:cs="Calibri"/>
                <w:sz w:val="12"/>
                <w:szCs w:val="12"/>
              </w:rPr>
            </w:pPr>
            <w:r w:rsidRPr="00CB126E">
              <w:rPr>
                <w:rFonts w:ascii="Calibri" w:hAnsi="Calibri" w:cs="Calibri"/>
                <w:sz w:val="12"/>
                <w:szCs w:val="12"/>
              </w:rPr>
              <w:t>37.890.748,39</w:t>
            </w:r>
          </w:p>
        </w:tc>
        <w:tc>
          <w:tcPr>
            <w:tcW w:w="411" w:type="pct"/>
            <w:tcBorders>
              <w:top w:val="nil"/>
              <w:left w:val="nil"/>
              <w:bottom w:val="single" w:sz="8" w:space="0" w:color="auto"/>
              <w:right w:val="single" w:sz="4" w:space="0" w:color="auto"/>
            </w:tcBorders>
            <w:noWrap/>
            <w:vAlign w:val="center"/>
            <w:hideMark/>
          </w:tcPr>
          <w:p w:rsidR="00CB126E" w:rsidRPr="00CB126E" w:rsidP="00CB126E" w14:paraId="6C91C500" w14:textId="77777777">
            <w:pPr>
              <w:jc w:val="right"/>
              <w:rPr>
                <w:rFonts w:ascii="Calibri" w:hAnsi="Calibri" w:cs="Calibri"/>
                <w:sz w:val="12"/>
                <w:szCs w:val="12"/>
              </w:rPr>
            </w:pPr>
            <w:r w:rsidRPr="00CB126E">
              <w:rPr>
                <w:rFonts w:ascii="Calibri" w:hAnsi="Calibri" w:cs="Calibri"/>
                <w:sz w:val="12"/>
                <w:szCs w:val="12"/>
              </w:rPr>
              <w:t>35.061.748,17</w:t>
            </w:r>
          </w:p>
        </w:tc>
        <w:tc>
          <w:tcPr>
            <w:tcW w:w="411" w:type="pct"/>
            <w:tcBorders>
              <w:top w:val="nil"/>
              <w:left w:val="nil"/>
              <w:bottom w:val="single" w:sz="8" w:space="0" w:color="auto"/>
              <w:right w:val="single" w:sz="4" w:space="0" w:color="auto"/>
            </w:tcBorders>
            <w:noWrap/>
            <w:vAlign w:val="center"/>
            <w:hideMark/>
          </w:tcPr>
          <w:p w:rsidR="00CB126E" w:rsidRPr="00CB126E" w:rsidP="00CB126E" w14:paraId="2F3F7721" w14:textId="77777777">
            <w:pPr>
              <w:jc w:val="right"/>
              <w:rPr>
                <w:rFonts w:ascii="Calibri" w:hAnsi="Calibri" w:cs="Calibri"/>
                <w:sz w:val="12"/>
                <w:szCs w:val="12"/>
              </w:rPr>
            </w:pPr>
            <w:r w:rsidRPr="00CB126E">
              <w:rPr>
                <w:rFonts w:ascii="Calibri" w:hAnsi="Calibri" w:cs="Calibri"/>
                <w:sz w:val="12"/>
                <w:szCs w:val="12"/>
              </w:rPr>
              <w:t>36.328.319,12</w:t>
            </w:r>
          </w:p>
        </w:tc>
        <w:tc>
          <w:tcPr>
            <w:tcW w:w="411" w:type="pct"/>
            <w:tcBorders>
              <w:top w:val="nil"/>
              <w:left w:val="nil"/>
              <w:bottom w:val="single" w:sz="8" w:space="0" w:color="auto"/>
              <w:right w:val="single" w:sz="4" w:space="0" w:color="auto"/>
            </w:tcBorders>
            <w:noWrap/>
            <w:vAlign w:val="center"/>
            <w:hideMark/>
          </w:tcPr>
          <w:p w:rsidR="00CB126E" w:rsidRPr="00CB126E" w:rsidP="00CB126E" w14:paraId="30C9F6A5" w14:textId="77777777">
            <w:pPr>
              <w:jc w:val="right"/>
              <w:rPr>
                <w:rFonts w:ascii="Calibri" w:hAnsi="Calibri" w:cs="Calibri"/>
                <w:sz w:val="12"/>
                <w:szCs w:val="12"/>
              </w:rPr>
            </w:pPr>
            <w:r w:rsidRPr="00CB126E">
              <w:rPr>
                <w:rFonts w:ascii="Calibri" w:hAnsi="Calibri" w:cs="Calibri"/>
                <w:sz w:val="12"/>
                <w:szCs w:val="12"/>
              </w:rPr>
              <w:t>36.586.405,46</w:t>
            </w:r>
          </w:p>
        </w:tc>
        <w:tc>
          <w:tcPr>
            <w:tcW w:w="411" w:type="pct"/>
            <w:tcBorders>
              <w:top w:val="nil"/>
              <w:left w:val="nil"/>
              <w:bottom w:val="single" w:sz="8" w:space="0" w:color="auto"/>
              <w:right w:val="single" w:sz="4" w:space="0" w:color="auto"/>
            </w:tcBorders>
            <w:noWrap/>
            <w:vAlign w:val="center"/>
            <w:hideMark/>
          </w:tcPr>
          <w:p w:rsidR="00CB126E" w:rsidRPr="00CB126E" w:rsidP="00CB126E" w14:paraId="4F07E09F" w14:textId="77777777">
            <w:pPr>
              <w:jc w:val="right"/>
              <w:rPr>
                <w:rFonts w:ascii="Calibri" w:hAnsi="Calibri" w:cs="Calibri"/>
                <w:sz w:val="12"/>
                <w:szCs w:val="12"/>
              </w:rPr>
            </w:pPr>
            <w:r w:rsidRPr="00CB126E">
              <w:rPr>
                <w:rFonts w:ascii="Calibri" w:hAnsi="Calibri" w:cs="Calibri"/>
                <w:sz w:val="12"/>
                <w:szCs w:val="12"/>
              </w:rPr>
              <w:t>36.834.172,44</w:t>
            </w:r>
          </w:p>
        </w:tc>
        <w:tc>
          <w:tcPr>
            <w:tcW w:w="411" w:type="pct"/>
            <w:tcBorders>
              <w:top w:val="nil"/>
              <w:left w:val="nil"/>
              <w:bottom w:val="single" w:sz="8" w:space="0" w:color="auto"/>
              <w:right w:val="single" w:sz="4" w:space="0" w:color="auto"/>
            </w:tcBorders>
            <w:noWrap/>
            <w:vAlign w:val="center"/>
            <w:hideMark/>
          </w:tcPr>
          <w:p w:rsidR="00CB126E" w:rsidRPr="00CB126E" w:rsidP="00CB126E" w14:paraId="7C4114F1" w14:textId="77777777">
            <w:pPr>
              <w:jc w:val="right"/>
              <w:rPr>
                <w:rFonts w:ascii="Calibri" w:hAnsi="Calibri" w:cs="Calibri"/>
                <w:sz w:val="12"/>
                <w:szCs w:val="12"/>
              </w:rPr>
            </w:pPr>
            <w:r w:rsidRPr="00CB126E">
              <w:rPr>
                <w:rFonts w:ascii="Calibri" w:hAnsi="Calibri" w:cs="Calibri"/>
                <w:sz w:val="12"/>
                <w:szCs w:val="12"/>
              </w:rPr>
              <w:t>36.663.721,22</w:t>
            </w:r>
          </w:p>
        </w:tc>
        <w:tc>
          <w:tcPr>
            <w:tcW w:w="411" w:type="pct"/>
            <w:tcBorders>
              <w:top w:val="nil"/>
              <w:left w:val="nil"/>
              <w:bottom w:val="single" w:sz="8" w:space="0" w:color="auto"/>
              <w:right w:val="single" w:sz="4" w:space="0" w:color="auto"/>
            </w:tcBorders>
            <w:noWrap/>
            <w:vAlign w:val="center"/>
            <w:hideMark/>
          </w:tcPr>
          <w:p w:rsidR="00CB126E" w:rsidRPr="00CB126E" w:rsidP="00CB126E" w14:paraId="67CD51F1" w14:textId="77777777">
            <w:pPr>
              <w:jc w:val="right"/>
              <w:rPr>
                <w:rFonts w:ascii="Calibri" w:hAnsi="Calibri" w:cs="Calibri"/>
                <w:sz w:val="12"/>
                <w:szCs w:val="12"/>
              </w:rPr>
            </w:pPr>
            <w:r w:rsidRPr="00CB126E">
              <w:rPr>
                <w:rFonts w:ascii="Calibri" w:hAnsi="Calibri" w:cs="Calibri"/>
                <w:sz w:val="12"/>
                <w:szCs w:val="12"/>
              </w:rPr>
              <w:t>36.937.814,70</w:t>
            </w:r>
          </w:p>
        </w:tc>
        <w:tc>
          <w:tcPr>
            <w:tcW w:w="411" w:type="pct"/>
            <w:tcBorders>
              <w:top w:val="nil"/>
              <w:left w:val="nil"/>
              <w:bottom w:val="single" w:sz="8" w:space="0" w:color="auto"/>
              <w:right w:val="single" w:sz="4" w:space="0" w:color="auto"/>
            </w:tcBorders>
            <w:noWrap/>
            <w:vAlign w:val="center"/>
            <w:hideMark/>
          </w:tcPr>
          <w:p w:rsidR="00CB126E" w:rsidRPr="00CB126E" w:rsidP="00CB126E" w14:paraId="4ACD7613" w14:textId="77777777">
            <w:pPr>
              <w:jc w:val="right"/>
              <w:rPr>
                <w:rFonts w:ascii="Calibri" w:hAnsi="Calibri" w:cs="Calibri"/>
                <w:sz w:val="12"/>
                <w:szCs w:val="12"/>
              </w:rPr>
            </w:pPr>
            <w:r w:rsidRPr="00CB126E">
              <w:rPr>
                <w:rFonts w:ascii="Calibri" w:hAnsi="Calibri" w:cs="Calibri"/>
                <w:sz w:val="12"/>
                <w:szCs w:val="12"/>
              </w:rPr>
              <w:t>37.349.926,77</w:t>
            </w:r>
          </w:p>
        </w:tc>
        <w:tc>
          <w:tcPr>
            <w:tcW w:w="411" w:type="pct"/>
            <w:tcBorders>
              <w:top w:val="nil"/>
              <w:left w:val="nil"/>
              <w:bottom w:val="single" w:sz="8" w:space="0" w:color="auto"/>
              <w:right w:val="single" w:sz="8" w:space="0" w:color="auto"/>
            </w:tcBorders>
            <w:noWrap/>
            <w:vAlign w:val="center"/>
            <w:hideMark/>
          </w:tcPr>
          <w:p w:rsidR="00CB126E" w:rsidRPr="00CB126E" w:rsidP="00CB126E" w14:paraId="4737837B" w14:textId="77777777">
            <w:pPr>
              <w:jc w:val="right"/>
              <w:rPr>
                <w:rFonts w:ascii="Calibri" w:hAnsi="Calibri" w:cs="Calibri"/>
                <w:sz w:val="12"/>
                <w:szCs w:val="12"/>
              </w:rPr>
            </w:pPr>
            <w:r w:rsidRPr="00CB126E">
              <w:rPr>
                <w:rFonts w:ascii="Calibri" w:hAnsi="Calibri" w:cs="Calibri"/>
                <w:sz w:val="12"/>
                <w:szCs w:val="12"/>
              </w:rPr>
              <w:t>38.092.974,98</w:t>
            </w:r>
          </w:p>
        </w:tc>
      </w:tr>
      <w:tr w14:paraId="42C7E6F2" w14:textId="77777777" w:rsidTr="00F4620E">
        <w:tblPrEx>
          <w:tblW w:w="5000" w:type="pct"/>
          <w:tblLook w:val="04A0"/>
        </w:tblPrEx>
        <w:trPr>
          <w:trHeight w:hRule="exact" w:val="1704"/>
        </w:trPr>
        <w:tc>
          <w:tcPr>
            <w:tcW w:w="233" w:type="pct"/>
            <w:vMerge/>
            <w:tcBorders>
              <w:top w:val="single" w:sz="8" w:space="0" w:color="auto"/>
              <w:left w:val="single" w:sz="8" w:space="0" w:color="auto"/>
              <w:bottom w:val="single" w:sz="8" w:space="0" w:color="000000"/>
              <w:right w:val="nil"/>
            </w:tcBorders>
            <w:vAlign w:val="center"/>
            <w:hideMark/>
          </w:tcPr>
          <w:p w:rsidR="00CB126E" w:rsidRPr="00CB126E" w:rsidP="00CB126E" w14:paraId="3B644168" w14:textId="77777777">
            <w:pPr>
              <w:rPr>
                <w:rFonts w:ascii="Calibri" w:hAnsi="Calibri" w:cs="Calibri"/>
                <w:color w:val="000000"/>
                <w:sz w:val="16"/>
                <w:szCs w:val="16"/>
              </w:rPr>
            </w:pPr>
          </w:p>
        </w:tc>
        <w:tc>
          <w:tcPr>
            <w:tcW w:w="282" w:type="pct"/>
            <w:tcBorders>
              <w:top w:val="nil"/>
              <w:left w:val="single" w:sz="8" w:space="0" w:color="auto"/>
              <w:bottom w:val="single" w:sz="8" w:space="0" w:color="auto"/>
              <w:right w:val="single" w:sz="8" w:space="0" w:color="auto"/>
            </w:tcBorders>
            <w:vAlign w:val="center"/>
            <w:hideMark/>
          </w:tcPr>
          <w:p w:rsidR="00CB126E" w:rsidRPr="00CB126E" w:rsidP="00CB126E" w14:paraId="102E0B6D" w14:textId="77777777">
            <w:pPr>
              <w:rPr>
                <w:rFonts w:ascii="Calibri" w:hAnsi="Calibri" w:cs="Calibri"/>
                <w:b/>
                <w:bCs/>
                <w:color w:val="000000"/>
                <w:sz w:val="10"/>
                <w:szCs w:val="10"/>
              </w:rPr>
            </w:pPr>
            <w:r w:rsidRPr="00CB126E">
              <w:rPr>
                <w:rFonts w:ascii="Calibri" w:hAnsi="Calibri" w:cs="Calibri"/>
                <w:b/>
                <w:bCs/>
                <w:color w:val="000000"/>
                <w:sz w:val="10"/>
                <w:szCs w:val="10"/>
              </w:rPr>
              <w:t xml:space="preserve">Totale spesa retributiva </w:t>
            </w:r>
            <w:r w:rsidRPr="00CB126E">
              <w:rPr>
                <w:rFonts w:ascii="Calibri" w:hAnsi="Calibri" w:cs="Calibri"/>
                <w:b/>
                <w:bCs/>
                <w:color w:val="000000"/>
                <w:sz w:val="10"/>
                <w:szCs w:val="10"/>
              </w:rPr>
              <w:t>l.S</w:t>
            </w:r>
            <w:r w:rsidRPr="00CB126E">
              <w:rPr>
                <w:rFonts w:ascii="Calibri" w:hAnsi="Calibri" w:cs="Calibri"/>
                <w:b/>
                <w:bCs/>
                <w:color w:val="000000"/>
                <w:sz w:val="10"/>
                <w:szCs w:val="10"/>
              </w:rPr>
              <w:t>.</w:t>
            </w:r>
          </w:p>
        </w:tc>
        <w:tc>
          <w:tcPr>
            <w:tcW w:w="376" w:type="pct"/>
            <w:tcBorders>
              <w:top w:val="nil"/>
              <w:left w:val="single" w:sz="4" w:space="0" w:color="auto"/>
              <w:bottom w:val="single" w:sz="8" w:space="0" w:color="auto"/>
              <w:right w:val="single" w:sz="4" w:space="0" w:color="auto"/>
            </w:tcBorders>
            <w:noWrap/>
            <w:vAlign w:val="center"/>
            <w:hideMark/>
          </w:tcPr>
          <w:p w:rsidR="00CB126E" w:rsidRPr="00CB126E" w:rsidP="00CB126E" w14:paraId="51790381" w14:textId="77777777">
            <w:pPr>
              <w:jc w:val="right"/>
              <w:rPr>
                <w:rFonts w:ascii="Calibri" w:hAnsi="Calibri" w:cs="Calibri"/>
                <w:b/>
                <w:bCs/>
                <w:color w:val="000000"/>
                <w:sz w:val="12"/>
                <w:szCs w:val="12"/>
              </w:rPr>
            </w:pPr>
            <w:r w:rsidRPr="00CB126E">
              <w:rPr>
                <w:rFonts w:ascii="Calibri" w:hAnsi="Calibri" w:cs="Calibri"/>
                <w:b/>
                <w:bCs/>
                <w:color w:val="000000"/>
                <w:sz w:val="12"/>
                <w:szCs w:val="12"/>
              </w:rPr>
              <w:t>2.249.575.164,58</w:t>
            </w:r>
          </w:p>
        </w:tc>
        <w:tc>
          <w:tcPr>
            <w:tcW w:w="411" w:type="pct"/>
            <w:tcBorders>
              <w:top w:val="nil"/>
              <w:left w:val="nil"/>
              <w:bottom w:val="single" w:sz="8" w:space="0" w:color="auto"/>
              <w:right w:val="single" w:sz="4" w:space="0" w:color="auto"/>
            </w:tcBorders>
            <w:noWrap/>
            <w:vAlign w:val="center"/>
            <w:hideMark/>
          </w:tcPr>
          <w:p w:rsidR="00CB126E" w:rsidRPr="00CB126E" w:rsidP="00CB126E" w14:paraId="2A883A77" w14:textId="77777777">
            <w:pPr>
              <w:jc w:val="right"/>
              <w:rPr>
                <w:rFonts w:ascii="Calibri" w:hAnsi="Calibri" w:cs="Calibri"/>
                <w:b/>
                <w:bCs/>
                <w:color w:val="000000"/>
                <w:sz w:val="12"/>
                <w:szCs w:val="12"/>
              </w:rPr>
            </w:pPr>
            <w:r w:rsidRPr="00CB126E">
              <w:rPr>
                <w:rFonts w:ascii="Calibri" w:hAnsi="Calibri" w:cs="Calibri"/>
                <w:b/>
                <w:bCs/>
                <w:color w:val="000000"/>
                <w:sz w:val="12"/>
                <w:szCs w:val="12"/>
              </w:rPr>
              <w:t>2.251.432.112,63</w:t>
            </w:r>
          </w:p>
        </w:tc>
        <w:tc>
          <w:tcPr>
            <w:tcW w:w="411" w:type="pct"/>
            <w:tcBorders>
              <w:top w:val="nil"/>
              <w:left w:val="nil"/>
              <w:bottom w:val="single" w:sz="8" w:space="0" w:color="auto"/>
              <w:right w:val="single" w:sz="4" w:space="0" w:color="auto"/>
            </w:tcBorders>
            <w:noWrap/>
            <w:vAlign w:val="center"/>
            <w:hideMark/>
          </w:tcPr>
          <w:p w:rsidR="00CB126E" w:rsidRPr="00CB126E" w:rsidP="00CB126E" w14:paraId="4737AF76" w14:textId="77777777">
            <w:pPr>
              <w:jc w:val="right"/>
              <w:rPr>
                <w:rFonts w:ascii="Calibri" w:hAnsi="Calibri" w:cs="Calibri"/>
                <w:b/>
                <w:bCs/>
                <w:color w:val="000000"/>
                <w:sz w:val="12"/>
                <w:szCs w:val="12"/>
              </w:rPr>
            </w:pPr>
            <w:r w:rsidRPr="00CB126E">
              <w:rPr>
                <w:rFonts w:ascii="Calibri" w:hAnsi="Calibri" w:cs="Calibri"/>
                <w:b/>
                <w:bCs/>
                <w:color w:val="000000"/>
                <w:sz w:val="12"/>
                <w:szCs w:val="12"/>
              </w:rPr>
              <w:t>2.225.784.817,24</w:t>
            </w:r>
          </w:p>
        </w:tc>
        <w:tc>
          <w:tcPr>
            <w:tcW w:w="411" w:type="pct"/>
            <w:tcBorders>
              <w:top w:val="nil"/>
              <w:left w:val="nil"/>
              <w:bottom w:val="single" w:sz="8" w:space="0" w:color="auto"/>
              <w:right w:val="single" w:sz="4" w:space="0" w:color="auto"/>
            </w:tcBorders>
            <w:noWrap/>
            <w:vAlign w:val="center"/>
            <w:hideMark/>
          </w:tcPr>
          <w:p w:rsidR="00CB126E" w:rsidRPr="00CB126E" w:rsidP="00CB126E" w14:paraId="3E531F9A" w14:textId="77777777">
            <w:pPr>
              <w:jc w:val="right"/>
              <w:rPr>
                <w:rFonts w:ascii="Calibri" w:hAnsi="Calibri" w:cs="Calibri"/>
                <w:b/>
                <w:bCs/>
                <w:color w:val="000000"/>
                <w:sz w:val="12"/>
                <w:szCs w:val="12"/>
              </w:rPr>
            </w:pPr>
            <w:r w:rsidRPr="00CB126E">
              <w:rPr>
                <w:rFonts w:ascii="Calibri" w:hAnsi="Calibri" w:cs="Calibri"/>
                <w:b/>
                <w:bCs/>
                <w:color w:val="000000"/>
                <w:sz w:val="12"/>
                <w:szCs w:val="12"/>
              </w:rPr>
              <w:t>2.228.834.254,59</w:t>
            </w:r>
          </w:p>
        </w:tc>
        <w:tc>
          <w:tcPr>
            <w:tcW w:w="411" w:type="pct"/>
            <w:tcBorders>
              <w:top w:val="nil"/>
              <w:left w:val="nil"/>
              <w:bottom w:val="single" w:sz="8" w:space="0" w:color="auto"/>
              <w:right w:val="single" w:sz="4" w:space="0" w:color="auto"/>
            </w:tcBorders>
            <w:noWrap/>
            <w:vAlign w:val="center"/>
            <w:hideMark/>
          </w:tcPr>
          <w:p w:rsidR="00CB126E" w:rsidRPr="00CB126E" w:rsidP="00CB126E" w14:paraId="15F039B4" w14:textId="77777777">
            <w:pPr>
              <w:jc w:val="right"/>
              <w:rPr>
                <w:rFonts w:ascii="Calibri" w:hAnsi="Calibri" w:cs="Calibri"/>
                <w:b/>
                <w:bCs/>
                <w:color w:val="000000"/>
                <w:sz w:val="12"/>
                <w:szCs w:val="12"/>
              </w:rPr>
            </w:pPr>
            <w:r w:rsidRPr="00CB126E">
              <w:rPr>
                <w:rFonts w:ascii="Calibri" w:hAnsi="Calibri" w:cs="Calibri"/>
                <w:b/>
                <w:bCs/>
                <w:color w:val="000000"/>
                <w:sz w:val="12"/>
                <w:szCs w:val="12"/>
              </w:rPr>
              <w:t>2.235.227.887,61</w:t>
            </w:r>
          </w:p>
        </w:tc>
        <w:tc>
          <w:tcPr>
            <w:tcW w:w="411" w:type="pct"/>
            <w:tcBorders>
              <w:top w:val="nil"/>
              <w:left w:val="nil"/>
              <w:bottom w:val="single" w:sz="8" w:space="0" w:color="auto"/>
              <w:right w:val="single" w:sz="4" w:space="0" w:color="auto"/>
            </w:tcBorders>
            <w:noWrap/>
            <w:vAlign w:val="center"/>
            <w:hideMark/>
          </w:tcPr>
          <w:p w:rsidR="00CB126E" w:rsidRPr="00CB126E" w:rsidP="00CB126E" w14:paraId="3BE2714D" w14:textId="77777777">
            <w:pPr>
              <w:jc w:val="right"/>
              <w:rPr>
                <w:rFonts w:ascii="Calibri" w:hAnsi="Calibri" w:cs="Calibri"/>
                <w:b/>
                <w:bCs/>
                <w:color w:val="000000"/>
                <w:sz w:val="12"/>
                <w:szCs w:val="12"/>
              </w:rPr>
            </w:pPr>
            <w:r w:rsidRPr="00CB126E">
              <w:rPr>
                <w:rFonts w:ascii="Calibri" w:hAnsi="Calibri" w:cs="Calibri"/>
                <w:b/>
                <w:bCs/>
                <w:color w:val="000000"/>
                <w:sz w:val="12"/>
                <w:szCs w:val="12"/>
              </w:rPr>
              <w:t>2.232.621.081,86</w:t>
            </w:r>
          </w:p>
        </w:tc>
        <w:tc>
          <w:tcPr>
            <w:tcW w:w="411" w:type="pct"/>
            <w:tcBorders>
              <w:top w:val="nil"/>
              <w:left w:val="nil"/>
              <w:bottom w:val="single" w:sz="8" w:space="0" w:color="auto"/>
              <w:right w:val="single" w:sz="4" w:space="0" w:color="auto"/>
            </w:tcBorders>
            <w:noWrap/>
            <w:vAlign w:val="center"/>
            <w:hideMark/>
          </w:tcPr>
          <w:p w:rsidR="00CB126E" w:rsidRPr="00CB126E" w:rsidP="00CB126E" w14:paraId="792178AD" w14:textId="77777777">
            <w:pPr>
              <w:jc w:val="right"/>
              <w:rPr>
                <w:rFonts w:ascii="Calibri" w:hAnsi="Calibri" w:cs="Calibri"/>
                <w:b/>
                <w:bCs/>
                <w:color w:val="000000"/>
                <w:sz w:val="12"/>
                <w:szCs w:val="12"/>
              </w:rPr>
            </w:pPr>
            <w:r w:rsidRPr="00CB126E">
              <w:rPr>
                <w:rFonts w:ascii="Calibri" w:hAnsi="Calibri" w:cs="Calibri"/>
                <w:b/>
                <w:bCs/>
                <w:color w:val="000000"/>
                <w:sz w:val="12"/>
                <w:szCs w:val="12"/>
              </w:rPr>
              <w:t>2.233.361.649,05</w:t>
            </w:r>
          </w:p>
        </w:tc>
        <w:tc>
          <w:tcPr>
            <w:tcW w:w="411" w:type="pct"/>
            <w:tcBorders>
              <w:top w:val="nil"/>
              <w:left w:val="nil"/>
              <w:bottom w:val="single" w:sz="8" w:space="0" w:color="auto"/>
              <w:right w:val="single" w:sz="4" w:space="0" w:color="auto"/>
            </w:tcBorders>
            <w:noWrap/>
            <w:vAlign w:val="center"/>
            <w:hideMark/>
          </w:tcPr>
          <w:p w:rsidR="00CB126E" w:rsidRPr="00CB126E" w:rsidP="00CB126E" w14:paraId="141F7FA8" w14:textId="77777777">
            <w:pPr>
              <w:jc w:val="right"/>
              <w:rPr>
                <w:rFonts w:ascii="Calibri" w:hAnsi="Calibri" w:cs="Calibri"/>
                <w:b/>
                <w:bCs/>
                <w:color w:val="000000"/>
                <w:sz w:val="12"/>
                <w:szCs w:val="12"/>
              </w:rPr>
            </w:pPr>
            <w:r w:rsidRPr="00CB126E">
              <w:rPr>
                <w:rFonts w:ascii="Calibri" w:hAnsi="Calibri" w:cs="Calibri"/>
                <w:b/>
                <w:bCs/>
                <w:color w:val="000000"/>
                <w:sz w:val="12"/>
                <w:szCs w:val="12"/>
              </w:rPr>
              <w:t>2.240.760.646,49</w:t>
            </w:r>
          </w:p>
        </w:tc>
        <w:tc>
          <w:tcPr>
            <w:tcW w:w="411" w:type="pct"/>
            <w:tcBorders>
              <w:top w:val="nil"/>
              <w:left w:val="nil"/>
              <w:bottom w:val="single" w:sz="8" w:space="0" w:color="auto"/>
              <w:right w:val="single" w:sz="4" w:space="0" w:color="auto"/>
            </w:tcBorders>
            <w:noWrap/>
            <w:vAlign w:val="center"/>
            <w:hideMark/>
          </w:tcPr>
          <w:p w:rsidR="00CB126E" w:rsidRPr="00CB126E" w:rsidP="00CB126E" w14:paraId="17711EC9" w14:textId="77777777">
            <w:pPr>
              <w:jc w:val="right"/>
              <w:rPr>
                <w:rFonts w:ascii="Calibri" w:hAnsi="Calibri" w:cs="Calibri"/>
                <w:b/>
                <w:bCs/>
                <w:color w:val="000000"/>
                <w:sz w:val="12"/>
                <w:szCs w:val="12"/>
              </w:rPr>
            </w:pPr>
            <w:r w:rsidRPr="00CB126E">
              <w:rPr>
                <w:rFonts w:ascii="Calibri" w:hAnsi="Calibri" w:cs="Calibri"/>
                <w:b/>
                <w:bCs/>
                <w:color w:val="000000"/>
                <w:sz w:val="12"/>
                <w:szCs w:val="12"/>
              </w:rPr>
              <w:t>2.242.184.091,92</w:t>
            </w:r>
          </w:p>
        </w:tc>
        <w:tc>
          <w:tcPr>
            <w:tcW w:w="411" w:type="pct"/>
            <w:tcBorders>
              <w:top w:val="nil"/>
              <w:left w:val="nil"/>
              <w:bottom w:val="single" w:sz="8" w:space="0" w:color="auto"/>
              <w:right w:val="single" w:sz="4" w:space="0" w:color="auto"/>
            </w:tcBorders>
            <w:noWrap/>
            <w:vAlign w:val="center"/>
            <w:hideMark/>
          </w:tcPr>
          <w:p w:rsidR="00CB126E" w:rsidRPr="00CB126E" w:rsidP="00CB126E" w14:paraId="69B6B4D2" w14:textId="77777777">
            <w:pPr>
              <w:jc w:val="right"/>
              <w:rPr>
                <w:rFonts w:ascii="Calibri" w:hAnsi="Calibri" w:cs="Calibri"/>
                <w:b/>
                <w:bCs/>
                <w:color w:val="000000"/>
                <w:sz w:val="12"/>
                <w:szCs w:val="12"/>
              </w:rPr>
            </w:pPr>
            <w:r w:rsidRPr="00CB126E">
              <w:rPr>
                <w:rFonts w:ascii="Calibri" w:hAnsi="Calibri" w:cs="Calibri"/>
                <w:b/>
                <w:bCs/>
                <w:color w:val="000000"/>
                <w:sz w:val="12"/>
                <w:szCs w:val="12"/>
              </w:rPr>
              <w:t>2.243.102.894,70</w:t>
            </w:r>
          </w:p>
        </w:tc>
        <w:tc>
          <w:tcPr>
            <w:tcW w:w="411" w:type="pct"/>
            <w:tcBorders>
              <w:top w:val="nil"/>
              <w:left w:val="nil"/>
              <w:bottom w:val="single" w:sz="8" w:space="0" w:color="auto"/>
              <w:right w:val="single" w:sz="8" w:space="0" w:color="auto"/>
            </w:tcBorders>
            <w:noWrap/>
            <w:vAlign w:val="center"/>
            <w:hideMark/>
          </w:tcPr>
          <w:p w:rsidR="00CB126E" w:rsidRPr="00CB126E" w:rsidP="00CB126E" w14:paraId="2143D826" w14:textId="77777777">
            <w:pPr>
              <w:jc w:val="right"/>
              <w:rPr>
                <w:rFonts w:ascii="Calibri" w:hAnsi="Calibri" w:cs="Calibri"/>
                <w:b/>
                <w:bCs/>
                <w:color w:val="000000"/>
                <w:sz w:val="12"/>
                <w:szCs w:val="12"/>
              </w:rPr>
            </w:pPr>
            <w:r w:rsidRPr="00CB126E">
              <w:rPr>
                <w:rFonts w:ascii="Calibri" w:hAnsi="Calibri" w:cs="Calibri"/>
                <w:b/>
                <w:bCs/>
                <w:color w:val="000000"/>
                <w:sz w:val="12"/>
                <w:szCs w:val="12"/>
              </w:rPr>
              <w:t>2.257.988.830,94</w:t>
            </w:r>
          </w:p>
        </w:tc>
      </w:tr>
      <w:tr w14:paraId="627FEA25" w14:textId="77777777" w:rsidTr="00F4620E">
        <w:tblPrEx>
          <w:tblW w:w="5000" w:type="pct"/>
          <w:tblLook w:val="04A0"/>
        </w:tblPrEx>
        <w:trPr>
          <w:trHeight w:hRule="exact" w:val="567"/>
        </w:trPr>
        <w:tc>
          <w:tcPr>
            <w:tcW w:w="233" w:type="pct"/>
            <w:tcBorders>
              <w:top w:val="nil"/>
              <w:left w:val="nil"/>
              <w:bottom w:val="nil"/>
              <w:right w:val="nil"/>
            </w:tcBorders>
            <w:noWrap/>
            <w:vAlign w:val="bottom"/>
            <w:hideMark/>
          </w:tcPr>
          <w:p w:rsidR="00CB126E" w:rsidRPr="00CB126E" w:rsidP="00CB126E" w14:paraId="09F3B426" w14:textId="77777777">
            <w:pPr>
              <w:jc w:val="right"/>
              <w:rPr>
                <w:rFonts w:ascii="Calibri" w:hAnsi="Calibri" w:cs="Calibri"/>
                <w:b/>
                <w:bCs/>
                <w:color w:val="000000"/>
                <w:sz w:val="16"/>
                <w:szCs w:val="16"/>
              </w:rPr>
            </w:pPr>
          </w:p>
        </w:tc>
        <w:tc>
          <w:tcPr>
            <w:tcW w:w="282" w:type="pct"/>
            <w:tcBorders>
              <w:top w:val="nil"/>
              <w:left w:val="nil"/>
              <w:bottom w:val="nil"/>
              <w:right w:val="nil"/>
            </w:tcBorders>
            <w:vAlign w:val="bottom"/>
            <w:hideMark/>
          </w:tcPr>
          <w:p w:rsidR="00CB126E" w:rsidRPr="00CB126E" w:rsidP="00CB126E" w14:paraId="6552CE4C" w14:textId="77777777">
            <w:pPr>
              <w:rPr>
                <w:sz w:val="10"/>
                <w:szCs w:val="10"/>
              </w:rPr>
            </w:pPr>
          </w:p>
        </w:tc>
        <w:tc>
          <w:tcPr>
            <w:tcW w:w="376" w:type="pct"/>
            <w:tcBorders>
              <w:top w:val="nil"/>
              <w:left w:val="nil"/>
              <w:bottom w:val="nil"/>
              <w:right w:val="nil"/>
            </w:tcBorders>
            <w:noWrap/>
            <w:vAlign w:val="bottom"/>
            <w:hideMark/>
          </w:tcPr>
          <w:p w:rsidR="00CB126E" w:rsidRPr="00CB126E" w:rsidP="00CB126E" w14:paraId="34C1382A" w14:textId="77777777">
            <w:pPr>
              <w:rPr>
                <w:sz w:val="16"/>
                <w:szCs w:val="16"/>
              </w:rPr>
            </w:pPr>
          </w:p>
        </w:tc>
        <w:tc>
          <w:tcPr>
            <w:tcW w:w="411" w:type="pct"/>
            <w:tcBorders>
              <w:top w:val="nil"/>
              <w:left w:val="nil"/>
              <w:bottom w:val="nil"/>
              <w:right w:val="nil"/>
            </w:tcBorders>
            <w:noWrap/>
            <w:vAlign w:val="bottom"/>
            <w:hideMark/>
          </w:tcPr>
          <w:p w:rsidR="00CB126E" w:rsidRPr="00CB126E" w:rsidP="00CB126E" w14:paraId="73947514" w14:textId="77777777">
            <w:pPr>
              <w:rPr>
                <w:sz w:val="16"/>
                <w:szCs w:val="16"/>
              </w:rPr>
            </w:pPr>
          </w:p>
        </w:tc>
        <w:tc>
          <w:tcPr>
            <w:tcW w:w="411" w:type="pct"/>
            <w:tcBorders>
              <w:top w:val="nil"/>
              <w:left w:val="nil"/>
              <w:bottom w:val="nil"/>
              <w:right w:val="nil"/>
            </w:tcBorders>
            <w:noWrap/>
            <w:vAlign w:val="bottom"/>
            <w:hideMark/>
          </w:tcPr>
          <w:p w:rsidR="00CB126E" w:rsidRPr="00CB126E" w:rsidP="00CB126E" w14:paraId="215C6798" w14:textId="77777777">
            <w:pPr>
              <w:rPr>
                <w:sz w:val="16"/>
                <w:szCs w:val="16"/>
              </w:rPr>
            </w:pPr>
          </w:p>
        </w:tc>
        <w:tc>
          <w:tcPr>
            <w:tcW w:w="411" w:type="pct"/>
            <w:tcBorders>
              <w:top w:val="nil"/>
              <w:left w:val="nil"/>
              <w:bottom w:val="nil"/>
              <w:right w:val="nil"/>
            </w:tcBorders>
            <w:noWrap/>
            <w:vAlign w:val="bottom"/>
            <w:hideMark/>
          </w:tcPr>
          <w:p w:rsidR="00CB126E" w:rsidRPr="00CB126E" w:rsidP="00CB126E" w14:paraId="70FEF846" w14:textId="77777777">
            <w:pPr>
              <w:rPr>
                <w:sz w:val="16"/>
                <w:szCs w:val="16"/>
              </w:rPr>
            </w:pPr>
          </w:p>
        </w:tc>
        <w:tc>
          <w:tcPr>
            <w:tcW w:w="411" w:type="pct"/>
            <w:tcBorders>
              <w:top w:val="nil"/>
              <w:left w:val="nil"/>
              <w:bottom w:val="nil"/>
              <w:right w:val="nil"/>
            </w:tcBorders>
            <w:noWrap/>
            <w:vAlign w:val="bottom"/>
            <w:hideMark/>
          </w:tcPr>
          <w:p w:rsidR="00CB126E" w:rsidRPr="00CB126E" w:rsidP="00CB126E" w14:paraId="00878F44" w14:textId="77777777">
            <w:pPr>
              <w:rPr>
                <w:sz w:val="16"/>
                <w:szCs w:val="16"/>
              </w:rPr>
            </w:pPr>
          </w:p>
        </w:tc>
        <w:tc>
          <w:tcPr>
            <w:tcW w:w="411" w:type="pct"/>
            <w:tcBorders>
              <w:top w:val="nil"/>
              <w:left w:val="nil"/>
              <w:bottom w:val="nil"/>
              <w:right w:val="nil"/>
            </w:tcBorders>
            <w:noWrap/>
            <w:vAlign w:val="bottom"/>
            <w:hideMark/>
          </w:tcPr>
          <w:p w:rsidR="00CB126E" w:rsidRPr="00CB126E" w:rsidP="00CB126E" w14:paraId="6B8FE4AA" w14:textId="77777777">
            <w:pPr>
              <w:rPr>
                <w:sz w:val="16"/>
                <w:szCs w:val="16"/>
              </w:rPr>
            </w:pPr>
          </w:p>
        </w:tc>
        <w:tc>
          <w:tcPr>
            <w:tcW w:w="411" w:type="pct"/>
            <w:tcBorders>
              <w:top w:val="nil"/>
              <w:left w:val="nil"/>
              <w:bottom w:val="nil"/>
              <w:right w:val="nil"/>
            </w:tcBorders>
            <w:noWrap/>
            <w:vAlign w:val="bottom"/>
            <w:hideMark/>
          </w:tcPr>
          <w:p w:rsidR="00CB126E" w:rsidRPr="00CB126E" w:rsidP="00CB126E" w14:paraId="0A443A1C" w14:textId="77777777">
            <w:pPr>
              <w:rPr>
                <w:sz w:val="16"/>
                <w:szCs w:val="16"/>
              </w:rPr>
            </w:pPr>
          </w:p>
        </w:tc>
        <w:tc>
          <w:tcPr>
            <w:tcW w:w="411" w:type="pct"/>
            <w:tcBorders>
              <w:top w:val="nil"/>
              <w:left w:val="nil"/>
              <w:bottom w:val="nil"/>
              <w:right w:val="nil"/>
            </w:tcBorders>
            <w:noWrap/>
            <w:vAlign w:val="bottom"/>
            <w:hideMark/>
          </w:tcPr>
          <w:p w:rsidR="00CB126E" w:rsidRPr="00CB126E" w:rsidP="00CB126E" w14:paraId="7675F5D9" w14:textId="77777777">
            <w:pPr>
              <w:rPr>
                <w:sz w:val="16"/>
                <w:szCs w:val="16"/>
              </w:rPr>
            </w:pPr>
          </w:p>
        </w:tc>
        <w:tc>
          <w:tcPr>
            <w:tcW w:w="411" w:type="pct"/>
            <w:tcBorders>
              <w:top w:val="nil"/>
              <w:left w:val="nil"/>
              <w:bottom w:val="nil"/>
              <w:right w:val="nil"/>
            </w:tcBorders>
            <w:noWrap/>
            <w:vAlign w:val="bottom"/>
            <w:hideMark/>
          </w:tcPr>
          <w:p w:rsidR="00CB126E" w:rsidRPr="00CB126E" w:rsidP="00CB126E" w14:paraId="26657015" w14:textId="77777777">
            <w:pPr>
              <w:rPr>
                <w:sz w:val="16"/>
                <w:szCs w:val="16"/>
              </w:rPr>
            </w:pPr>
          </w:p>
        </w:tc>
        <w:tc>
          <w:tcPr>
            <w:tcW w:w="411" w:type="pct"/>
            <w:tcBorders>
              <w:top w:val="nil"/>
              <w:left w:val="nil"/>
              <w:bottom w:val="nil"/>
              <w:right w:val="nil"/>
            </w:tcBorders>
            <w:noWrap/>
            <w:vAlign w:val="bottom"/>
            <w:hideMark/>
          </w:tcPr>
          <w:p w:rsidR="00CB126E" w:rsidRPr="00CB126E" w:rsidP="00CB126E" w14:paraId="1C899EFC" w14:textId="77777777">
            <w:pPr>
              <w:rPr>
                <w:sz w:val="16"/>
                <w:szCs w:val="16"/>
              </w:rPr>
            </w:pPr>
          </w:p>
        </w:tc>
        <w:tc>
          <w:tcPr>
            <w:tcW w:w="411" w:type="pct"/>
            <w:tcBorders>
              <w:top w:val="nil"/>
              <w:left w:val="nil"/>
              <w:bottom w:val="nil"/>
              <w:right w:val="nil"/>
            </w:tcBorders>
            <w:noWrap/>
            <w:vAlign w:val="bottom"/>
            <w:hideMark/>
          </w:tcPr>
          <w:p w:rsidR="00CB126E" w:rsidRPr="00CB126E" w:rsidP="00CB126E" w14:paraId="66A4FCB7" w14:textId="77777777">
            <w:pPr>
              <w:rPr>
                <w:sz w:val="16"/>
                <w:szCs w:val="16"/>
              </w:rPr>
            </w:pPr>
          </w:p>
        </w:tc>
      </w:tr>
      <w:tr w14:paraId="4B59526D" w14:textId="77777777" w:rsidTr="00F4620E">
        <w:tblPrEx>
          <w:tblW w:w="5000" w:type="pct"/>
          <w:tblLook w:val="04A0"/>
        </w:tblPrEx>
        <w:trPr>
          <w:trHeight w:hRule="exact" w:val="701"/>
        </w:trPr>
        <w:tc>
          <w:tcPr>
            <w:tcW w:w="233" w:type="pct"/>
            <w:tcBorders>
              <w:top w:val="nil"/>
              <w:left w:val="nil"/>
              <w:bottom w:val="nil"/>
              <w:right w:val="nil"/>
            </w:tcBorders>
            <w:noWrap/>
            <w:vAlign w:val="bottom"/>
            <w:hideMark/>
          </w:tcPr>
          <w:p w:rsidR="00CB126E" w:rsidRPr="00CB126E" w:rsidP="00CB126E" w14:paraId="60467C55" w14:textId="77777777">
            <w:pPr>
              <w:rPr>
                <w:sz w:val="16"/>
                <w:szCs w:val="16"/>
              </w:rPr>
            </w:pPr>
          </w:p>
        </w:tc>
        <w:tc>
          <w:tcPr>
            <w:tcW w:w="282" w:type="pct"/>
            <w:tcBorders>
              <w:top w:val="single" w:sz="8" w:space="0" w:color="auto"/>
              <w:left w:val="single" w:sz="8" w:space="0" w:color="auto"/>
              <w:bottom w:val="single" w:sz="8" w:space="0" w:color="auto"/>
              <w:right w:val="single" w:sz="8" w:space="0" w:color="auto"/>
            </w:tcBorders>
            <w:shd w:val="clear" w:color="000000" w:fill="F8CBAD"/>
            <w:vAlign w:val="center"/>
            <w:hideMark/>
          </w:tcPr>
          <w:p w:rsidR="00CB126E" w:rsidRPr="00CB126E" w:rsidP="00CB126E" w14:paraId="0B1CC27E" w14:textId="77777777">
            <w:pPr>
              <w:jc w:val="right"/>
              <w:rPr>
                <w:rFonts w:ascii="Calibri" w:hAnsi="Calibri" w:cs="Calibri"/>
                <w:b/>
                <w:bCs/>
                <w:color w:val="000000"/>
                <w:sz w:val="10"/>
                <w:szCs w:val="10"/>
              </w:rPr>
            </w:pPr>
            <w:r w:rsidRPr="00CB126E">
              <w:rPr>
                <w:rFonts w:ascii="Calibri" w:hAnsi="Calibri" w:cs="Calibri"/>
                <w:b/>
                <w:bCs/>
                <w:color w:val="000000"/>
                <w:sz w:val="10"/>
                <w:szCs w:val="10"/>
              </w:rPr>
              <w:t>Maggior onere</w:t>
            </w:r>
          </w:p>
        </w:tc>
        <w:tc>
          <w:tcPr>
            <w:tcW w:w="376" w:type="pct"/>
            <w:tcBorders>
              <w:top w:val="single" w:sz="8" w:space="0" w:color="auto"/>
              <w:left w:val="single" w:sz="4" w:space="0" w:color="auto"/>
              <w:bottom w:val="single" w:sz="8" w:space="0" w:color="auto"/>
              <w:right w:val="single" w:sz="4" w:space="0" w:color="auto"/>
            </w:tcBorders>
            <w:shd w:val="clear" w:color="000000" w:fill="F8CBAD"/>
            <w:noWrap/>
            <w:vAlign w:val="center"/>
            <w:hideMark/>
          </w:tcPr>
          <w:p w:rsidR="00CB126E" w:rsidRPr="00CB126E" w:rsidP="00CB126E" w14:paraId="695E07AE" w14:textId="77777777">
            <w:pPr>
              <w:jc w:val="right"/>
              <w:rPr>
                <w:rFonts w:ascii="Calibri" w:hAnsi="Calibri" w:cs="Calibri"/>
                <w:b/>
                <w:bCs/>
                <w:color w:val="000000"/>
                <w:sz w:val="12"/>
                <w:szCs w:val="12"/>
              </w:rPr>
            </w:pPr>
            <w:r w:rsidRPr="00CB126E">
              <w:rPr>
                <w:rFonts w:ascii="Calibri" w:hAnsi="Calibri" w:cs="Calibri"/>
                <w:b/>
                <w:bCs/>
                <w:color w:val="000000"/>
                <w:sz w:val="12"/>
                <w:szCs w:val="12"/>
              </w:rPr>
              <w:t>41.196.052,26</w:t>
            </w:r>
          </w:p>
        </w:tc>
        <w:tc>
          <w:tcPr>
            <w:tcW w:w="411" w:type="pct"/>
            <w:tcBorders>
              <w:top w:val="single" w:sz="8" w:space="0" w:color="auto"/>
              <w:left w:val="nil"/>
              <w:bottom w:val="single" w:sz="8" w:space="0" w:color="auto"/>
              <w:right w:val="single" w:sz="4" w:space="0" w:color="auto"/>
            </w:tcBorders>
            <w:shd w:val="clear" w:color="000000" w:fill="F8CBAD"/>
            <w:noWrap/>
            <w:vAlign w:val="center"/>
            <w:hideMark/>
          </w:tcPr>
          <w:p w:rsidR="00CB126E" w:rsidRPr="00CB126E" w:rsidP="00CB126E" w14:paraId="575988FC" w14:textId="77777777">
            <w:pPr>
              <w:jc w:val="right"/>
              <w:rPr>
                <w:rFonts w:ascii="Calibri" w:hAnsi="Calibri" w:cs="Calibri"/>
                <w:b/>
                <w:bCs/>
                <w:color w:val="000000"/>
                <w:sz w:val="12"/>
                <w:szCs w:val="12"/>
              </w:rPr>
            </w:pPr>
            <w:r w:rsidRPr="00CB126E">
              <w:rPr>
                <w:rFonts w:ascii="Calibri" w:hAnsi="Calibri" w:cs="Calibri"/>
                <w:b/>
                <w:bCs/>
                <w:color w:val="000000"/>
                <w:sz w:val="12"/>
                <w:szCs w:val="12"/>
              </w:rPr>
              <w:t>42.911.229,43</w:t>
            </w:r>
          </w:p>
        </w:tc>
        <w:tc>
          <w:tcPr>
            <w:tcW w:w="411" w:type="pct"/>
            <w:tcBorders>
              <w:top w:val="single" w:sz="8" w:space="0" w:color="auto"/>
              <w:left w:val="nil"/>
              <w:bottom w:val="single" w:sz="8" w:space="0" w:color="auto"/>
              <w:right w:val="single" w:sz="4" w:space="0" w:color="auto"/>
            </w:tcBorders>
            <w:shd w:val="clear" w:color="000000" w:fill="F8CBAD"/>
            <w:noWrap/>
            <w:vAlign w:val="center"/>
            <w:hideMark/>
          </w:tcPr>
          <w:p w:rsidR="00CB126E" w:rsidRPr="00CB126E" w:rsidP="00CB126E" w14:paraId="20E8FF2B" w14:textId="77777777">
            <w:pPr>
              <w:jc w:val="right"/>
              <w:rPr>
                <w:rFonts w:ascii="Calibri" w:hAnsi="Calibri" w:cs="Calibri"/>
                <w:b/>
                <w:bCs/>
                <w:color w:val="000000"/>
                <w:sz w:val="12"/>
                <w:szCs w:val="12"/>
              </w:rPr>
            </w:pPr>
            <w:r w:rsidRPr="00CB126E">
              <w:rPr>
                <w:rFonts w:ascii="Calibri" w:hAnsi="Calibri" w:cs="Calibri"/>
                <w:b/>
                <w:bCs/>
                <w:color w:val="000000"/>
                <w:sz w:val="12"/>
                <w:szCs w:val="12"/>
              </w:rPr>
              <w:t>43.512.183,08</w:t>
            </w:r>
          </w:p>
        </w:tc>
        <w:tc>
          <w:tcPr>
            <w:tcW w:w="411" w:type="pct"/>
            <w:tcBorders>
              <w:top w:val="single" w:sz="8" w:space="0" w:color="auto"/>
              <w:left w:val="nil"/>
              <w:bottom w:val="single" w:sz="8" w:space="0" w:color="auto"/>
              <w:right w:val="single" w:sz="4" w:space="0" w:color="auto"/>
            </w:tcBorders>
            <w:shd w:val="clear" w:color="000000" w:fill="F8CBAD"/>
            <w:noWrap/>
            <w:vAlign w:val="center"/>
            <w:hideMark/>
          </w:tcPr>
          <w:p w:rsidR="00CB126E" w:rsidRPr="00CB126E" w:rsidP="00CB126E" w14:paraId="2591E35F" w14:textId="77777777">
            <w:pPr>
              <w:jc w:val="right"/>
              <w:rPr>
                <w:rFonts w:ascii="Calibri" w:hAnsi="Calibri" w:cs="Calibri"/>
                <w:b/>
                <w:bCs/>
                <w:color w:val="000000"/>
                <w:sz w:val="12"/>
                <w:szCs w:val="12"/>
              </w:rPr>
            </w:pPr>
            <w:r w:rsidRPr="00CB126E">
              <w:rPr>
                <w:rFonts w:ascii="Calibri" w:hAnsi="Calibri" w:cs="Calibri"/>
                <w:b/>
                <w:bCs/>
                <w:color w:val="000000"/>
                <w:sz w:val="12"/>
                <w:szCs w:val="12"/>
              </w:rPr>
              <w:t>44.857.451,38</w:t>
            </w:r>
          </w:p>
        </w:tc>
        <w:tc>
          <w:tcPr>
            <w:tcW w:w="411" w:type="pct"/>
            <w:tcBorders>
              <w:top w:val="single" w:sz="8" w:space="0" w:color="auto"/>
              <w:left w:val="nil"/>
              <w:bottom w:val="single" w:sz="8" w:space="0" w:color="auto"/>
              <w:right w:val="single" w:sz="4" w:space="0" w:color="auto"/>
            </w:tcBorders>
            <w:shd w:val="clear" w:color="000000" w:fill="F8CBAD"/>
            <w:noWrap/>
            <w:vAlign w:val="center"/>
            <w:hideMark/>
          </w:tcPr>
          <w:p w:rsidR="00CB126E" w:rsidRPr="00CB126E" w:rsidP="00CB126E" w14:paraId="68CC89AD" w14:textId="77777777">
            <w:pPr>
              <w:jc w:val="right"/>
              <w:rPr>
                <w:rFonts w:ascii="Calibri" w:hAnsi="Calibri" w:cs="Calibri"/>
                <w:b/>
                <w:bCs/>
                <w:color w:val="000000"/>
                <w:sz w:val="12"/>
                <w:szCs w:val="12"/>
              </w:rPr>
            </w:pPr>
            <w:r w:rsidRPr="00CB126E">
              <w:rPr>
                <w:rFonts w:ascii="Calibri" w:hAnsi="Calibri" w:cs="Calibri"/>
                <w:b/>
                <w:bCs/>
                <w:color w:val="000000"/>
                <w:sz w:val="12"/>
                <w:szCs w:val="12"/>
              </w:rPr>
              <w:t>47.195.713,26</w:t>
            </w:r>
          </w:p>
        </w:tc>
        <w:tc>
          <w:tcPr>
            <w:tcW w:w="411" w:type="pct"/>
            <w:tcBorders>
              <w:top w:val="single" w:sz="8" w:space="0" w:color="auto"/>
              <w:left w:val="nil"/>
              <w:bottom w:val="single" w:sz="8" w:space="0" w:color="auto"/>
              <w:right w:val="single" w:sz="4" w:space="0" w:color="auto"/>
            </w:tcBorders>
            <w:shd w:val="clear" w:color="000000" w:fill="F8CBAD"/>
            <w:noWrap/>
            <w:vAlign w:val="center"/>
            <w:hideMark/>
          </w:tcPr>
          <w:p w:rsidR="00CB126E" w:rsidRPr="00CB126E" w:rsidP="00CB126E" w14:paraId="09CAADB5" w14:textId="77777777">
            <w:pPr>
              <w:jc w:val="right"/>
              <w:rPr>
                <w:rFonts w:ascii="Calibri" w:hAnsi="Calibri" w:cs="Calibri"/>
                <w:b/>
                <w:bCs/>
                <w:color w:val="000000"/>
                <w:sz w:val="12"/>
                <w:szCs w:val="12"/>
              </w:rPr>
            </w:pPr>
            <w:r w:rsidRPr="00CB126E">
              <w:rPr>
                <w:rFonts w:ascii="Calibri" w:hAnsi="Calibri" w:cs="Calibri"/>
                <w:b/>
                <w:bCs/>
                <w:color w:val="000000"/>
                <w:sz w:val="12"/>
                <w:szCs w:val="12"/>
              </w:rPr>
              <w:t>46.146.165,24</w:t>
            </w:r>
          </w:p>
        </w:tc>
        <w:tc>
          <w:tcPr>
            <w:tcW w:w="411" w:type="pct"/>
            <w:tcBorders>
              <w:top w:val="single" w:sz="8" w:space="0" w:color="auto"/>
              <w:left w:val="nil"/>
              <w:bottom w:val="single" w:sz="8" w:space="0" w:color="auto"/>
              <w:right w:val="single" w:sz="4" w:space="0" w:color="auto"/>
            </w:tcBorders>
            <w:shd w:val="clear" w:color="000000" w:fill="F8CBAD"/>
            <w:noWrap/>
            <w:vAlign w:val="center"/>
            <w:hideMark/>
          </w:tcPr>
          <w:p w:rsidR="00CB126E" w:rsidRPr="00CB126E" w:rsidP="00CB126E" w14:paraId="3F76B5E5" w14:textId="77777777">
            <w:pPr>
              <w:jc w:val="right"/>
              <w:rPr>
                <w:rFonts w:ascii="Calibri" w:hAnsi="Calibri" w:cs="Calibri"/>
                <w:b/>
                <w:bCs/>
                <w:color w:val="000000"/>
                <w:sz w:val="12"/>
                <w:szCs w:val="12"/>
              </w:rPr>
            </w:pPr>
            <w:r w:rsidRPr="00CB126E">
              <w:rPr>
                <w:rFonts w:ascii="Calibri" w:hAnsi="Calibri" w:cs="Calibri"/>
                <w:b/>
                <w:bCs/>
                <w:color w:val="000000"/>
                <w:sz w:val="12"/>
                <w:szCs w:val="12"/>
              </w:rPr>
              <w:t>46.193.059,87</w:t>
            </w:r>
          </w:p>
        </w:tc>
        <w:tc>
          <w:tcPr>
            <w:tcW w:w="411" w:type="pct"/>
            <w:tcBorders>
              <w:top w:val="single" w:sz="8" w:space="0" w:color="auto"/>
              <w:left w:val="nil"/>
              <w:bottom w:val="single" w:sz="8" w:space="0" w:color="auto"/>
              <w:right w:val="single" w:sz="4" w:space="0" w:color="auto"/>
            </w:tcBorders>
            <w:shd w:val="clear" w:color="000000" w:fill="F8CBAD"/>
            <w:noWrap/>
            <w:vAlign w:val="center"/>
            <w:hideMark/>
          </w:tcPr>
          <w:p w:rsidR="00CB126E" w:rsidRPr="00CB126E" w:rsidP="00CB126E" w14:paraId="482CF46C" w14:textId="77777777">
            <w:pPr>
              <w:jc w:val="right"/>
              <w:rPr>
                <w:rFonts w:ascii="Calibri" w:hAnsi="Calibri" w:cs="Calibri"/>
                <w:b/>
                <w:bCs/>
                <w:color w:val="000000"/>
                <w:sz w:val="12"/>
                <w:szCs w:val="12"/>
              </w:rPr>
            </w:pPr>
            <w:r w:rsidRPr="00CB126E">
              <w:rPr>
                <w:rFonts w:ascii="Calibri" w:hAnsi="Calibri" w:cs="Calibri"/>
                <w:b/>
                <w:bCs/>
                <w:color w:val="000000"/>
                <w:sz w:val="12"/>
                <w:szCs w:val="12"/>
              </w:rPr>
              <w:t>47.336.138,67</w:t>
            </w:r>
          </w:p>
        </w:tc>
        <w:tc>
          <w:tcPr>
            <w:tcW w:w="411" w:type="pct"/>
            <w:tcBorders>
              <w:top w:val="single" w:sz="8" w:space="0" w:color="auto"/>
              <w:left w:val="nil"/>
              <w:bottom w:val="single" w:sz="8" w:space="0" w:color="auto"/>
              <w:right w:val="single" w:sz="4" w:space="0" w:color="auto"/>
            </w:tcBorders>
            <w:shd w:val="clear" w:color="000000" w:fill="F8CBAD"/>
            <w:noWrap/>
            <w:vAlign w:val="center"/>
            <w:hideMark/>
          </w:tcPr>
          <w:p w:rsidR="00CB126E" w:rsidRPr="00CB126E" w:rsidP="00CB126E" w14:paraId="7FA9B217" w14:textId="77777777">
            <w:pPr>
              <w:jc w:val="right"/>
              <w:rPr>
                <w:rFonts w:ascii="Calibri" w:hAnsi="Calibri" w:cs="Calibri"/>
                <w:b/>
                <w:bCs/>
                <w:color w:val="000000"/>
                <w:sz w:val="12"/>
                <w:szCs w:val="12"/>
              </w:rPr>
            </w:pPr>
            <w:r w:rsidRPr="00CB126E">
              <w:rPr>
                <w:rFonts w:ascii="Calibri" w:hAnsi="Calibri" w:cs="Calibri"/>
                <w:b/>
                <w:bCs/>
                <w:color w:val="000000"/>
                <w:sz w:val="12"/>
                <w:szCs w:val="12"/>
              </w:rPr>
              <w:t>43.805.198,59</w:t>
            </w:r>
          </w:p>
        </w:tc>
        <w:tc>
          <w:tcPr>
            <w:tcW w:w="411" w:type="pct"/>
            <w:tcBorders>
              <w:top w:val="single" w:sz="8" w:space="0" w:color="auto"/>
              <w:left w:val="nil"/>
              <w:bottom w:val="single" w:sz="8" w:space="0" w:color="auto"/>
              <w:right w:val="single" w:sz="4" w:space="0" w:color="auto"/>
            </w:tcBorders>
            <w:shd w:val="clear" w:color="000000" w:fill="F8CBAD"/>
            <w:noWrap/>
            <w:vAlign w:val="center"/>
            <w:hideMark/>
          </w:tcPr>
          <w:p w:rsidR="00CB126E" w:rsidRPr="00CB126E" w:rsidP="00CB126E" w14:paraId="2C221AE9" w14:textId="77777777">
            <w:pPr>
              <w:jc w:val="right"/>
              <w:rPr>
                <w:rFonts w:ascii="Calibri" w:hAnsi="Calibri" w:cs="Calibri"/>
                <w:b/>
                <w:bCs/>
                <w:color w:val="000000"/>
                <w:sz w:val="12"/>
                <w:szCs w:val="12"/>
              </w:rPr>
            </w:pPr>
            <w:r w:rsidRPr="00CB126E">
              <w:rPr>
                <w:rFonts w:ascii="Calibri" w:hAnsi="Calibri" w:cs="Calibri"/>
                <w:b/>
                <w:bCs/>
                <w:color w:val="000000"/>
                <w:sz w:val="12"/>
                <w:szCs w:val="12"/>
              </w:rPr>
              <w:t>41.464.740,11</w:t>
            </w:r>
          </w:p>
        </w:tc>
        <w:tc>
          <w:tcPr>
            <w:tcW w:w="411" w:type="pct"/>
            <w:tcBorders>
              <w:top w:val="single" w:sz="8" w:space="0" w:color="auto"/>
              <w:left w:val="nil"/>
              <w:bottom w:val="single" w:sz="8" w:space="0" w:color="auto"/>
              <w:right w:val="single" w:sz="8" w:space="0" w:color="auto"/>
            </w:tcBorders>
            <w:shd w:val="clear" w:color="000000" w:fill="F8CBAD"/>
            <w:noWrap/>
            <w:vAlign w:val="center"/>
            <w:hideMark/>
          </w:tcPr>
          <w:p w:rsidR="00CB126E" w:rsidRPr="00CB126E" w:rsidP="00CB126E" w14:paraId="336F2E8B" w14:textId="77777777">
            <w:pPr>
              <w:jc w:val="right"/>
              <w:rPr>
                <w:rFonts w:ascii="Calibri" w:hAnsi="Calibri" w:cs="Calibri"/>
                <w:b/>
                <w:bCs/>
                <w:color w:val="000000"/>
                <w:sz w:val="12"/>
                <w:szCs w:val="12"/>
              </w:rPr>
            </w:pPr>
            <w:r w:rsidRPr="00CB126E">
              <w:rPr>
                <w:rFonts w:ascii="Calibri" w:hAnsi="Calibri" w:cs="Calibri"/>
                <w:b/>
                <w:bCs/>
                <w:color w:val="000000"/>
                <w:sz w:val="12"/>
                <w:szCs w:val="12"/>
              </w:rPr>
              <w:t>45.965.608,40</w:t>
            </w:r>
          </w:p>
        </w:tc>
      </w:tr>
      <w:tr w14:paraId="36FDA907" w14:textId="77777777" w:rsidTr="00F4620E">
        <w:tblPrEx>
          <w:tblW w:w="5000" w:type="pct"/>
          <w:tblLook w:val="04A0"/>
        </w:tblPrEx>
        <w:trPr>
          <w:trHeight w:hRule="exact" w:val="853"/>
        </w:trPr>
        <w:tc>
          <w:tcPr>
            <w:tcW w:w="233" w:type="pct"/>
            <w:tcBorders>
              <w:top w:val="nil"/>
              <w:left w:val="nil"/>
              <w:bottom w:val="nil"/>
              <w:right w:val="nil"/>
            </w:tcBorders>
            <w:noWrap/>
            <w:vAlign w:val="bottom"/>
            <w:hideMark/>
          </w:tcPr>
          <w:p w:rsidR="00CB126E" w:rsidRPr="00CB126E" w:rsidP="00CB126E" w14:paraId="3CBC07D3" w14:textId="77777777">
            <w:pPr>
              <w:rPr>
                <w:sz w:val="16"/>
                <w:szCs w:val="16"/>
              </w:rPr>
            </w:pPr>
          </w:p>
        </w:tc>
        <w:tc>
          <w:tcPr>
            <w:tcW w:w="282" w:type="pct"/>
            <w:tcBorders>
              <w:top w:val="single" w:sz="8" w:space="0" w:color="auto"/>
              <w:left w:val="single" w:sz="8" w:space="0" w:color="auto"/>
              <w:bottom w:val="single" w:sz="8" w:space="0" w:color="auto"/>
              <w:right w:val="single" w:sz="8" w:space="0" w:color="auto"/>
            </w:tcBorders>
            <w:shd w:val="clear" w:color="000000" w:fill="F8CBAD"/>
            <w:vAlign w:val="center"/>
            <w:hideMark/>
          </w:tcPr>
          <w:p w:rsidR="00CB126E" w:rsidRPr="00CB126E" w:rsidP="00CB126E" w14:paraId="1484F688" w14:textId="77777777">
            <w:pPr>
              <w:jc w:val="right"/>
              <w:rPr>
                <w:rFonts w:ascii="Calibri" w:hAnsi="Calibri" w:cs="Calibri"/>
                <w:b/>
                <w:bCs/>
                <w:color w:val="000000"/>
                <w:sz w:val="10"/>
                <w:szCs w:val="10"/>
              </w:rPr>
            </w:pPr>
            <w:r w:rsidRPr="00CB126E">
              <w:rPr>
                <w:rFonts w:ascii="Calibri" w:hAnsi="Calibri" w:cs="Calibri"/>
                <w:b/>
                <w:bCs/>
                <w:color w:val="000000"/>
                <w:sz w:val="10"/>
                <w:szCs w:val="10"/>
              </w:rPr>
              <w:t>Oneri indiretti</w:t>
            </w:r>
          </w:p>
        </w:tc>
        <w:tc>
          <w:tcPr>
            <w:tcW w:w="376" w:type="pct"/>
            <w:tcBorders>
              <w:top w:val="single" w:sz="8" w:space="0" w:color="auto"/>
              <w:left w:val="single" w:sz="4" w:space="0" w:color="auto"/>
              <w:bottom w:val="single" w:sz="8" w:space="0" w:color="auto"/>
              <w:right w:val="single" w:sz="4" w:space="0" w:color="auto"/>
            </w:tcBorders>
            <w:shd w:val="clear" w:color="000000" w:fill="F8CBAD"/>
            <w:noWrap/>
            <w:vAlign w:val="center"/>
            <w:hideMark/>
          </w:tcPr>
          <w:p w:rsidR="00CB126E" w:rsidRPr="00CB126E" w:rsidP="00CB126E" w14:paraId="4BF280D1" w14:textId="77777777">
            <w:pPr>
              <w:jc w:val="right"/>
              <w:rPr>
                <w:rFonts w:ascii="Calibri" w:hAnsi="Calibri" w:cs="Calibri"/>
                <w:b/>
                <w:bCs/>
                <w:color w:val="000000"/>
                <w:sz w:val="12"/>
                <w:szCs w:val="12"/>
              </w:rPr>
            </w:pPr>
            <w:r w:rsidRPr="00CB126E">
              <w:rPr>
                <w:rFonts w:ascii="Calibri" w:hAnsi="Calibri" w:cs="Calibri"/>
                <w:b/>
                <w:bCs/>
                <w:color w:val="000000"/>
                <w:sz w:val="12"/>
                <w:szCs w:val="12"/>
              </w:rPr>
              <w:t>2.429.055,84</w:t>
            </w:r>
          </w:p>
        </w:tc>
        <w:tc>
          <w:tcPr>
            <w:tcW w:w="411" w:type="pct"/>
            <w:tcBorders>
              <w:top w:val="single" w:sz="8" w:space="0" w:color="auto"/>
              <w:left w:val="nil"/>
              <w:bottom w:val="single" w:sz="8" w:space="0" w:color="auto"/>
              <w:right w:val="single" w:sz="4" w:space="0" w:color="auto"/>
            </w:tcBorders>
            <w:shd w:val="clear" w:color="000000" w:fill="F8CBAD"/>
            <w:noWrap/>
            <w:vAlign w:val="center"/>
            <w:hideMark/>
          </w:tcPr>
          <w:p w:rsidR="00CB126E" w:rsidRPr="00CB126E" w:rsidP="00CB126E" w14:paraId="3144C1B8" w14:textId="77777777">
            <w:pPr>
              <w:jc w:val="right"/>
              <w:rPr>
                <w:rFonts w:ascii="Calibri" w:hAnsi="Calibri" w:cs="Calibri"/>
                <w:b/>
                <w:bCs/>
                <w:color w:val="000000"/>
                <w:sz w:val="12"/>
                <w:szCs w:val="12"/>
              </w:rPr>
            </w:pPr>
            <w:r w:rsidRPr="00CB126E">
              <w:rPr>
                <w:rFonts w:ascii="Calibri" w:hAnsi="Calibri" w:cs="Calibri"/>
                <w:b/>
                <w:bCs/>
                <w:color w:val="000000"/>
                <w:sz w:val="12"/>
                <w:szCs w:val="12"/>
              </w:rPr>
              <w:t>2.530.188,38</w:t>
            </w:r>
          </w:p>
        </w:tc>
        <w:tc>
          <w:tcPr>
            <w:tcW w:w="411" w:type="pct"/>
            <w:tcBorders>
              <w:top w:val="single" w:sz="8" w:space="0" w:color="auto"/>
              <w:left w:val="nil"/>
              <w:bottom w:val="single" w:sz="8" w:space="0" w:color="auto"/>
              <w:right w:val="single" w:sz="4" w:space="0" w:color="auto"/>
            </w:tcBorders>
            <w:shd w:val="clear" w:color="000000" w:fill="F8CBAD"/>
            <w:noWrap/>
            <w:vAlign w:val="center"/>
            <w:hideMark/>
          </w:tcPr>
          <w:p w:rsidR="00CB126E" w:rsidRPr="00CB126E" w:rsidP="00CB126E" w14:paraId="35C889FC" w14:textId="77777777">
            <w:pPr>
              <w:jc w:val="right"/>
              <w:rPr>
                <w:rFonts w:ascii="Calibri" w:hAnsi="Calibri" w:cs="Calibri"/>
                <w:b/>
                <w:bCs/>
                <w:color w:val="000000"/>
                <w:sz w:val="12"/>
                <w:szCs w:val="12"/>
              </w:rPr>
            </w:pPr>
            <w:r w:rsidRPr="00CB126E">
              <w:rPr>
                <w:rFonts w:ascii="Calibri" w:hAnsi="Calibri" w:cs="Calibri"/>
                <w:b/>
                <w:bCs/>
                <w:color w:val="000000"/>
                <w:sz w:val="12"/>
                <w:szCs w:val="12"/>
              </w:rPr>
              <w:t>2.565.622,60</w:t>
            </w:r>
          </w:p>
        </w:tc>
        <w:tc>
          <w:tcPr>
            <w:tcW w:w="411" w:type="pct"/>
            <w:tcBorders>
              <w:top w:val="single" w:sz="8" w:space="0" w:color="auto"/>
              <w:left w:val="nil"/>
              <w:bottom w:val="single" w:sz="8" w:space="0" w:color="auto"/>
              <w:right w:val="single" w:sz="4" w:space="0" w:color="auto"/>
            </w:tcBorders>
            <w:shd w:val="clear" w:color="000000" w:fill="F8CBAD"/>
            <w:noWrap/>
            <w:vAlign w:val="center"/>
            <w:hideMark/>
          </w:tcPr>
          <w:p w:rsidR="00CB126E" w:rsidRPr="00CB126E" w:rsidP="00CB126E" w14:paraId="69624FBA" w14:textId="77777777">
            <w:pPr>
              <w:jc w:val="right"/>
              <w:rPr>
                <w:rFonts w:ascii="Calibri" w:hAnsi="Calibri" w:cs="Calibri"/>
                <w:b/>
                <w:bCs/>
                <w:color w:val="000000"/>
                <w:sz w:val="12"/>
                <w:szCs w:val="12"/>
              </w:rPr>
            </w:pPr>
            <w:r w:rsidRPr="00CB126E">
              <w:rPr>
                <w:rFonts w:ascii="Calibri" w:hAnsi="Calibri" w:cs="Calibri"/>
                <w:b/>
                <w:bCs/>
                <w:color w:val="000000"/>
                <w:sz w:val="12"/>
                <w:szCs w:val="12"/>
              </w:rPr>
              <w:t>2.644.944,08</w:t>
            </w:r>
          </w:p>
        </w:tc>
        <w:tc>
          <w:tcPr>
            <w:tcW w:w="411" w:type="pct"/>
            <w:tcBorders>
              <w:top w:val="single" w:sz="8" w:space="0" w:color="auto"/>
              <w:left w:val="nil"/>
              <w:bottom w:val="single" w:sz="8" w:space="0" w:color="auto"/>
              <w:right w:val="single" w:sz="4" w:space="0" w:color="auto"/>
            </w:tcBorders>
            <w:shd w:val="clear" w:color="000000" w:fill="F8CBAD"/>
            <w:noWrap/>
            <w:vAlign w:val="center"/>
            <w:hideMark/>
          </w:tcPr>
          <w:p w:rsidR="00CB126E" w:rsidRPr="00CB126E" w:rsidP="00CB126E" w14:paraId="7B9981D6" w14:textId="77777777">
            <w:pPr>
              <w:jc w:val="right"/>
              <w:rPr>
                <w:rFonts w:ascii="Calibri" w:hAnsi="Calibri" w:cs="Calibri"/>
                <w:b/>
                <w:bCs/>
                <w:color w:val="000000"/>
                <w:sz w:val="12"/>
                <w:szCs w:val="12"/>
              </w:rPr>
            </w:pPr>
            <w:r w:rsidRPr="00CB126E">
              <w:rPr>
                <w:rFonts w:ascii="Calibri" w:hAnsi="Calibri" w:cs="Calibri"/>
                <w:b/>
                <w:bCs/>
                <w:color w:val="000000"/>
                <w:sz w:val="12"/>
                <w:szCs w:val="12"/>
              </w:rPr>
              <w:t>2.782.815,75</w:t>
            </w:r>
          </w:p>
        </w:tc>
        <w:tc>
          <w:tcPr>
            <w:tcW w:w="411" w:type="pct"/>
            <w:tcBorders>
              <w:top w:val="single" w:sz="8" w:space="0" w:color="auto"/>
              <w:left w:val="nil"/>
              <w:bottom w:val="single" w:sz="8" w:space="0" w:color="auto"/>
              <w:right w:val="single" w:sz="4" w:space="0" w:color="auto"/>
            </w:tcBorders>
            <w:shd w:val="clear" w:color="000000" w:fill="F8CBAD"/>
            <w:noWrap/>
            <w:vAlign w:val="center"/>
            <w:hideMark/>
          </w:tcPr>
          <w:p w:rsidR="00CB126E" w:rsidRPr="00CB126E" w:rsidP="00CB126E" w14:paraId="4B16E4D4" w14:textId="77777777">
            <w:pPr>
              <w:jc w:val="right"/>
              <w:rPr>
                <w:rFonts w:ascii="Calibri" w:hAnsi="Calibri" w:cs="Calibri"/>
                <w:b/>
                <w:bCs/>
                <w:color w:val="000000"/>
                <w:sz w:val="12"/>
                <w:szCs w:val="12"/>
              </w:rPr>
            </w:pPr>
            <w:r w:rsidRPr="00CB126E">
              <w:rPr>
                <w:rFonts w:ascii="Calibri" w:hAnsi="Calibri" w:cs="Calibri"/>
                <w:b/>
                <w:bCs/>
                <w:color w:val="000000"/>
                <w:sz w:val="12"/>
                <w:szCs w:val="12"/>
              </w:rPr>
              <w:t>2.720.930,92</w:t>
            </w:r>
          </w:p>
        </w:tc>
        <w:tc>
          <w:tcPr>
            <w:tcW w:w="411" w:type="pct"/>
            <w:tcBorders>
              <w:top w:val="single" w:sz="8" w:space="0" w:color="auto"/>
              <w:left w:val="nil"/>
              <w:bottom w:val="single" w:sz="8" w:space="0" w:color="auto"/>
              <w:right w:val="single" w:sz="4" w:space="0" w:color="auto"/>
            </w:tcBorders>
            <w:shd w:val="clear" w:color="000000" w:fill="F8CBAD"/>
            <w:noWrap/>
            <w:vAlign w:val="center"/>
            <w:hideMark/>
          </w:tcPr>
          <w:p w:rsidR="00CB126E" w:rsidRPr="00CB126E" w:rsidP="00CB126E" w14:paraId="48557D0B" w14:textId="77777777">
            <w:pPr>
              <w:jc w:val="right"/>
              <w:rPr>
                <w:rFonts w:ascii="Calibri" w:hAnsi="Calibri" w:cs="Calibri"/>
                <w:b/>
                <w:bCs/>
                <w:color w:val="000000"/>
                <w:sz w:val="12"/>
                <w:szCs w:val="12"/>
              </w:rPr>
            </w:pPr>
            <w:r w:rsidRPr="00CB126E">
              <w:rPr>
                <w:rFonts w:ascii="Calibri" w:hAnsi="Calibri" w:cs="Calibri"/>
                <w:b/>
                <w:bCs/>
                <w:color w:val="000000"/>
                <w:sz w:val="12"/>
                <w:szCs w:val="12"/>
              </w:rPr>
              <w:t>2.723.695,98</w:t>
            </w:r>
          </w:p>
        </w:tc>
        <w:tc>
          <w:tcPr>
            <w:tcW w:w="411" w:type="pct"/>
            <w:tcBorders>
              <w:top w:val="single" w:sz="8" w:space="0" w:color="auto"/>
              <w:left w:val="nil"/>
              <w:bottom w:val="single" w:sz="8" w:space="0" w:color="auto"/>
              <w:right w:val="single" w:sz="4" w:space="0" w:color="auto"/>
            </w:tcBorders>
            <w:shd w:val="clear" w:color="000000" w:fill="F8CBAD"/>
            <w:noWrap/>
            <w:vAlign w:val="center"/>
            <w:hideMark/>
          </w:tcPr>
          <w:p w:rsidR="00CB126E" w:rsidRPr="00CB126E" w:rsidP="00CB126E" w14:paraId="12AAFBA5" w14:textId="77777777">
            <w:pPr>
              <w:jc w:val="right"/>
              <w:rPr>
                <w:rFonts w:ascii="Calibri" w:hAnsi="Calibri" w:cs="Calibri"/>
                <w:b/>
                <w:bCs/>
                <w:color w:val="000000"/>
                <w:sz w:val="12"/>
                <w:szCs w:val="12"/>
              </w:rPr>
            </w:pPr>
            <w:r w:rsidRPr="00CB126E">
              <w:rPr>
                <w:rFonts w:ascii="Calibri" w:hAnsi="Calibri" w:cs="Calibri"/>
                <w:b/>
                <w:bCs/>
                <w:color w:val="000000"/>
                <w:sz w:val="12"/>
                <w:szCs w:val="12"/>
              </w:rPr>
              <w:t>2.791.095,70</w:t>
            </w:r>
          </w:p>
        </w:tc>
        <w:tc>
          <w:tcPr>
            <w:tcW w:w="411" w:type="pct"/>
            <w:tcBorders>
              <w:top w:val="single" w:sz="8" w:space="0" w:color="auto"/>
              <w:left w:val="nil"/>
              <w:bottom w:val="single" w:sz="8" w:space="0" w:color="auto"/>
              <w:right w:val="single" w:sz="4" w:space="0" w:color="auto"/>
            </w:tcBorders>
            <w:shd w:val="clear" w:color="000000" w:fill="F8CBAD"/>
            <w:noWrap/>
            <w:vAlign w:val="center"/>
            <w:hideMark/>
          </w:tcPr>
          <w:p w:rsidR="00CB126E" w:rsidRPr="00CB126E" w:rsidP="00CB126E" w14:paraId="4484AAF4" w14:textId="77777777">
            <w:pPr>
              <w:jc w:val="right"/>
              <w:rPr>
                <w:rFonts w:ascii="Calibri" w:hAnsi="Calibri" w:cs="Calibri"/>
                <w:b/>
                <w:bCs/>
                <w:color w:val="000000"/>
                <w:sz w:val="12"/>
                <w:szCs w:val="12"/>
              </w:rPr>
            </w:pPr>
            <w:r w:rsidRPr="00CB126E">
              <w:rPr>
                <w:rFonts w:ascii="Calibri" w:hAnsi="Calibri" w:cs="Calibri"/>
                <w:b/>
                <w:bCs/>
                <w:color w:val="000000"/>
                <w:sz w:val="12"/>
                <w:szCs w:val="12"/>
              </w:rPr>
              <w:t>2.582.899,76</w:t>
            </w:r>
          </w:p>
        </w:tc>
        <w:tc>
          <w:tcPr>
            <w:tcW w:w="411" w:type="pct"/>
            <w:tcBorders>
              <w:top w:val="single" w:sz="8" w:space="0" w:color="auto"/>
              <w:left w:val="nil"/>
              <w:bottom w:val="single" w:sz="8" w:space="0" w:color="auto"/>
              <w:right w:val="single" w:sz="4" w:space="0" w:color="auto"/>
            </w:tcBorders>
            <w:shd w:val="clear" w:color="000000" w:fill="F8CBAD"/>
            <w:noWrap/>
            <w:vAlign w:val="center"/>
            <w:hideMark/>
          </w:tcPr>
          <w:p w:rsidR="00CB126E" w:rsidRPr="00CB126E" w:rsidP="00CB126E" w14:paraId="309F2D74" w14:textId="77777777">
            <w:pPr>
              <w:jc w:val="right"/>
              <w:rPr>
                <w:rFonts w:ascii="Calibri" w:hAnsi="Calibri" w:cs="Calibri"/>
                <w:b/>
                <w:bCs/>
                <w:color w:val="000000"/>
                <w:sz w:val="12"/>
                <w:szCs w:val="12"/>
              </w:rPr>
            </w:pPr>
            <w:r w:rsidRPr="00CB126E">
              <w:rPr>
                <w:rFonts w:ascii="Calibri" w:hAnsi="Calibri" w:cs="Calibri"/>
                <w:b/>
                <w:bCs/>
                <w:color w:val="000000"/>
                <w:sz w:val="12"/>
                <w:szCs w:val="12"/>
              </w:rPr>
              <w:t>2.444.898,57</w:t>
            </w:r>
          </w:p>
        </w:tc>
        <w:tc>
          <w:tcPr>
            <w:tcW w:w="411" w:type="pct"/>
            <w:tcBorders>
              <w:top w:val="single" w:sz="8" w:space="0" w:color="auto"/>
              <w:left w:val="nil"/>
              <w:bottom w:val="single" w:sz="8" w:space="0" w:color="auto"/>
              <w:right w:val="single" w:sz="8" w:space="0" w:color="auto"/>
            </w:tcBorders>
            <w:shd w:val="clear" w:color="000000" w:fill="F8CBAD"/>
            <w:noWrap/>
            <w:vAlign w:val="center"/>
            <w:hideMark/>
          </w:tcPr>
          <w:p w:rsidR="00CB126E" w:rsidRPr="00CB126E" w:rsidP="00CB126E" w14:paraId="659F9AAC" w14:textId="77777777">
            <w:pPr>
              <w:jc w:val="right"/>
              <w:rPr>
                <w:rFonts w:ascii="Calibri" w:hAnsi="Calibri" w:cs="Calibri"/>
                <w:b/>
                <w:bCs/>
                <w:color w:val="000000"/>
                <w:sz w:val="12"/>
                <w:szCs w:val="12"/>
              </w:rPr>
            </w:pPr>
            <w:r w:rsidRPr="00CB126E">
              <w:rPr>
                <w:rFonts w:ascii="Calibri" w:hAnsi="Calibri" w:cs="Calibri"/>
                <w:b/>
                <w:bCs/>
                <w:color w:val="000000"/>
                <w:sz w:val="12"/>
                <w:szCs w:val="12"/>
              </w:rPr>
              <w:t>2.710.284,69</w:t>
            </w:r>
          </w:p>
        </w:tc>
      </w:tr>
      <w:tr w14:paraId="736942DF" w14:textId="77777777" w:rsidTr="00F4620E">
        <w:tblPrEx>
          <w:tblW w:w="5000" w:type="pct"/>
          <w:tblLook w:val="04A0"/>
        </w:tblPrEx>
        <w:trPr>
          <w:trHeight w:hRule="exact" w:val="1129"/>
        </w:trPr>
        <w:tc>
          <w:tcPr>
            <w:tcW w:w="233" w:type="pct"/>
            <w:tcBorders>
              <w:top w:val="nil"/>
              <w:left w:val="nil"/>
              <w:bottom w:val="nil"/>
              <w:right w:val="nil"/>
            </w:tcBorders>
            <w:noWrap/>
            <w:vAlign w:val="bottom"/>
            <w:hideMark/>
          </w:tcPr>
          <w:p w:rsidR="00CB126E" w:rsidRPr="00CB126E" w:rsidP="00CB126E" w14:paraId="3C4A44A4" w14:textId="77777777">
            <w:pPr>
              <w:rPr>
                <w:sz w:val="16"/>
                <w:szCs w:val="16"/>
              </w:rPr>
            </w:pPr>
          </w:p>
        </w:tc>
        <w:tc>
          <w:tcPr>
            <w:tcW w:w="282" w:type="pct"/>
            <w:tcBorders>
              <w:top w:val="single" w:sz="8" w:space="0" w:color="auto"/>
              <w:left w:val="single" w:sz="8" w:space="0" w:color="auto"/>
              <w:bottom w:val="single" w:sz="8" w:space="0" w:color="auto"/>
              <w:right w:val="single" w:sz="8" w:space="0" w:color="auto"/>
            </w:tcBorders>
            <w:shd w:val="clear" w:color="000000" w:fill="F8CBAD"/>
            <w:vAlign w:val="center"/>
            <w:hideMark/>
          </w:tcPr>
          <w:p w:rsidR="00CB126E" w:rsidRPr="00CB126E" w:rsidP="00CB126E" w14:paraId="08380BEB" w14:textId="77777777">
            <w:pPr>
              <w:jc w:val="right"/>
              <w:rPr>
                <w:rFonts w:ascii="Calibri" w:hAnsi="Calibri" w:cs="Calibri"/>
                <w:b/>
                <w:bCs/>
                <w:color w:val="000000"/>
                <w:sz w:val="10"/>
                <w:szCs w:val="10"/>
              </w:rPr>
            </w:pPr>
            <w:r w:rsidRPr="00CB126E">
              <w:rPr>
                <w:rFonts w:ascii="Calibri" w:hAnsi="Calibri" w:cs="Calibri"/>
                <w:b/>
                <w:bCs/>
                <w:color w:val="000000"/>
                <w:sz w:val="10"/>
                <w:szCs w:val="10"/>
              </w:rPr>
              <w:t xml:space="preserve">Totale onere proposta riordino </w:t>
            </w:r>
            <w:r w:rsidRPr="00CB126E">
              <w:rPr>
                <w:rFonts w:ascii="Calibri" w:hAnsi="Calibri" w:cs="Calibri"/>
                <w:b/>
                <w:bCs/>
                <w:color w:val="000000"/>
                <w:sz w:val="10"/>
                <w:szCs w:val="10"/>
              </w:rPr>
              <w:t>l.S</w:t>
            </w:r>
          </w:p>
        </w:tc>
        <w:tc>
          <w:tcPr>
            <w:tcW w:w="376" w:type="pct"/>
            <w:tcBorders>
              <w:top w:val="single" w:sz="8" w:space="0" w:color="auto"/>
              <w:left w:val="single" w:sz="4" w:space="0" w:color="auto"/>
              <w:bottom w:val="single" w:sz="8" w:space="0" w:color="auto"/>
              <w:right w:val="single" w:sz="4" w:space="0" w:color="auto"/>
            </w:tcBorders>
            <w:shd w:val="clear" w:color="000000" w:fill="F8CBAD"/>
            <w:noWrap/>
            <w:vAlign w:val="center"/>
            <w:hideMark/>
          </w:tcPr>
          <w:p w:rsidR="00CB126E" w:rsidRPr="00CB126E" w:rsidP="00CB126E" w14:paraId="692DDCA8" w14:textId="77777777">
            <w:pPr>
              <w:jc w:val="right"/>
              <w:rPr>
                <w:rFonts w:ascii="Calibri" w:hAnsi="Calibri" w:cs="Calibri"/>
                <w:b/>
                <w:bCs/>
                <w:color w:val="000000"/>
                <w:sz w:val="12"/>
                <w:szCs w:val="12"/>
              </w:rPr>
            </w:pPr>
            <w:r w:rsidRPr="00CB126E">
              <w:rPr>
                <w:rFonts w:ascii="Calibri" w:hAnsi="Calibri" w:cs="Calibri"/>
                <w:b/>
                <w:bCs/>
                <w:color w:val="000000"/>
                <w:sz w:val="12"/>
                <w:szCs w:val="12"/>
              </w:rPr>
              <w:t>43.625.108,10</w:t>
            </w:r>
          </w:p>
        </w:tc>
        <w:tc>
          <w:tcPr>
            <w:tcW w:w="411" w:type="pct"/>
            <w:tcBorders>
              <w:top w:val="single" w:sz="8" w:space="0" w:color="auto"/>
              <w:left w:val="nil"/>
              <w:bottom w:val="single" w:sz="8" w:space="0" w:color="auto"/>
              <w:right w:val="single" w:sz="4" w:space="0" w:color="auto"/>
            </w:tcBorders>
            <w:shd w:val="clear" w:color="000000" w:fill="F8CBAD"/>
            <w:noWrap/>
            <w:vAlign w:val="center"/>
            <w:hideMark/>
          </w:tcPr>
          <w:p w:rsidR="00CB126E" w:rsidRPr="00CB126E" w:rsidP="00CB126E" w14:paraId="1F771244" w14:textId="77777777">
            <w:pPr>
              <w:jc w:val="right"/>
              <w:rPr>
                <w:rFonts w:ascii="Calibri" w:hAnsi="Calibri" w:cs="Calibri"/>
                <w:b/>
                <w:bCs/>
                <w:color w:val="000000"/>
                <w:sz w:val="12"/>
                <w:szCs w:val="12"/>
              </w:rPr>
            </w:pPr>
            <w:r w:rsidRPr="00CB126E">
              <w:rPr>
                <w:rFonts w:ascii="Calibri" w:hAnsi="Calibri" w:cs="Calibri"/>
                <w:b/>
                <w:bCs/>
                <w:color w:val="000000"/>
                <w:sz w:val="12"/>
                <w:szCs w:val="12"/>
              </w:rPr>
              <w:t>45.441.417,81</w:t>
            </w:r>
          </w:p>
        </w:tc>
        <w:tc>
          <w:tcPr>
            <w:tcW w:w="411" w:type="pct"/>
            <w:tcBorders>
              <w:top w:val="single" w:sz="8" w:space="0" w:color="auto"/>
              <w:left w:val="nil"/>
              <w:bottom w:val="single" w:sz="8" w:space="0" w:color="auto"/>
              <w:right w:val="single" w:sz="4" w:space="0" w:color="auto"/>
            </w:tcBorders>
            <w:shd w:val="clear" w:color="000000" w:fill="F8CBAD"/>
            <w:noWrap/>
            <w:vAlign w:val="center"/>
            <w:hideMark/>
          </w:tcPr>
          <w:p w:rsidR="00CB126E" w:rsidRPr="00CB126E" w:rsidP="00CB126E" w14:paraId="3604907F" w14:textId="77777777">
            <w:pPr>
              <w:jc w:val="right"/>
              <w:rPr>
                <w:rFonts w:ascii="Calibri" w:hAnsi="Calibri" w:cs="Calibri"/>
                <w:b/>
                <w:bCs/>
                <w:color w:val="000000"/>
                <w:sz w:val="12"/>
                <w:szCs w:val="12"/>
              </w:rPr>
            </w:pPr>
            <w:r w:rsidRPr="00CB126E">
              <w:rPr>
                <w:rFonts w:ascii="Calibri" w:hAnsi="Calibri" w:cs="Calibri"/>
                <w:b/>
                <w:bCs/>
                <w:color w:val="000000"/>
                <w:sz w:val="12"/>
                <w:szCs w:val="12"/>
              </w:rPr>
              <w:t>46.077.805,67</w:t>
            </w:r>
          </w:p>
        </w:tc>
        <w:tc>
          <w:tcPr>
            <w:tcW w:w="411" w:type="pct"/>
            <w:tcBorders>
              <w:top w:val="single" w:sz="8" w:space="0" w:color="auto"/>
              <w:left w:val="nil"/>
              <w:bottom w:val="single" w:sz="8" w:space="0" w:color="auto"/>
              <w:right w:val="single" w:sz="4" w:space="0" w:color="auto"/>
            </w:tcBorders>
            <w:shd w:val="clear" w:color="000000" w:fill="F8CBAD"/>
            <w:noWrap/>
            <w:vAlign w:val="center"/>
            <w:hideMark/>
          </w:tcPr>
          <w:p w:rsidR="00CB126E" w:rsidRPr="00CB126E" w:rsidP="00CB126E" w14:paraId="68283126" w14:textId="77777777">
            <w:pPr>
              <w:jc w:val="right"/>
              <w:rPr>
                <w:rFonts w:ascii="Calibri" w:hAnsi="Calibri" w:cs="Calibri"/>
                <w:b/>
                <w:bCs/>
                <w:color w:val="000000"/>
                <w:sz w:val="12"/>
                <w:szCs w:val="12"/>
              </w:rPr>
            </w:pPr>
            <w:r w:rsidRPr="00CB126E">
              <w:rPr>
                <w:rFonts w:ascii="Calibri" w:hAnsi="Calibri" w:cs="Calibri"/>
                <w:b/>
                <w:bCs/>
                <w:color w:val="000000"/>
                <w:sz w:val="12"/>
                <w:szCs w:val="12"/>
              </w:rPr>
              <w:t>47.502.395,46</w:t>
            </w:r>
          </w:p>
        </w:tc>
        <w:tc>
          <w:tcPr>
            <w:tcW w:w="411" w:type="pct"/>
            <w:tcBorders>
              <w:top w:val="single" w:sz="8" w:space="0" w:color="auto"/>
              <w:left w:val="nil"/>
              <w:bottom w:val="single" w:sz="8" w:space="0" w:color="auto"/>
              <w:right w:val="single" w:sz="4" w:space="0" w:color="auto"/>
            </w:tcBorders>
            <w:shd w:val="clear" w:color="000000" w:fill="F8CBAD"/>
            <w:noWrap/>
            <w:vAlign w:val="center"/>
            <w:hideMark/>
          </w:tcPr>
          <w:p w:rsidR="00CB126E" w:rsidRPr="00CB126E" w:rsidP="00CB126E" w14:paraId="68F276EA" w14:textId="77777777">
            <w:pPr>
              <w:jc w:val="right"/>
              <w:rPr>
                <w:rFonts w:ascii="Calibri" w:hAnsi="Calibri" w:cs="Calibri"/>
                <w:b/>
                <w:bCs/>
                <w:color w:val="000000"/>
                <w:sz w:val="12"/>
                <w:szCs w:val="12"/>
              </w:rPr>
            </w:pPr>
            <w:r w:rsidRPr="00CB126E">
              <w:rPr>
                <w:rFonts w:ascii="Calibri" w:hAnsi="Calibri" w:cs="Calibri"/>
                <w:b/>
                <w:bCs/>
                <w:color w:val="000000"/>
                <w:sz w:val="12"/>
                <w:szCs w:val="12"/>
              </w:rPr>
              <w:t>49.978.529,01</w:t>
            </w:r>
          </w:p>
        </w:tc>
        <w:tc>
          <w:tcPr>
            <w:tcW w:w="411" w:type="pct"/>
            <w:tcBorders>
              <w:top w:val="single" w:sz="8" w:space="0" w:color="auto"/>
              <w:left w:val="nil"/>
              <w:bottom w:val="single" w:sz="8" w:space="0" w:color="auto"/>
              <w:right w:val="single" w:sz="4" w:space="0" w:color="auto"/>
            </w:tcBorders>
            <w:shd w:val="clear" w:color="000000" w:fill="F8CBAD"/>
            <w:noWrap/>
            <w:vAlign w:val="center"/>
            <w:hideMark/>
          </w:tcPr>
          <w:p w:rsidR="00CB126E" w:rsidRPr="00CB126E" w:rsidP="00CB126E" w14:paraId="38C8CF5E" w14:textId="77777777">
            <w:pPr>
              <w:jc w:val="right"/>
              <w:rPr>
                <w:rFonts w:ascii="Calibri" w:hAnsi="Calibri" w:cs="Calibri"/>
                <w:b/>
                <w:bCs/>
                <w:color w:val="000000"/>
                <w:sz w:val="12"/>
                <w:szCs w:val="12"/>
              </w:rPr>
            </w:pPr>
            <w:r w:rsidRPr="00CB126E">
              <w:rPr>
                <w:rFonts w:ascii="Calibri" w:hAnsi="Calibri" w:cs="Calibri"/>
                <w:b/>
                <w:bCs/>
                <w:color w:val="000000"/>
                <w:sz w:val="12"/>
                <w:szCs w:val="12"/>
              </w:rPr>
              <w:t>48.867.096,16</w:t>
            </w:r>
          </w:p>
        </w:tc>
        <w:tc>
          <w:tcPr>
            <w:tcW w:w="411" w:type="pct"/>
            <w:tcBorders>
              <w:top w:val="single" w:sz="8" w:space="0" w:color="auto"/>
              <w:left w:val="nil"/>
              <w:bottom w:val="single" w:sz="8" w:space="0" w:color="auto"/>
              <w:right w:val="single" w:sz="4" w:space="0" w:color="auto"/>
            </w:tcBorders>
            <w:shd w:val="clear" w:color="000000" w:fill="F8CBAD"/>
            <w:noWrap/>
            <w:vAlign w:val="center"/>
            <w:hideMark/>
          </w:tcPr>
          <w:p w:rsidR="00CB126E" w:rsidRPr="00CB126E" w:rsidP="00CB126E" w14:paraId="0AC81342" w14:textId="77777777">
            <w:pPr>
              <w:jc w:val="right"/>
              <w:rPr>
                <w:rFonts w:ascii="Calibri" w:hAnsi="Calibri" w:cs="Calibri"/>
                <w:b/>
                <w:bCs/>
                <w:color w:val="000000"/>
                <w:sz w:val="12"/>
                <w:szCs w:val="12"/>
              </w:rPr>
            </w:pPr>
            <w:r w:rsidRPr="00CB126E">
              <w:rPr>
                <w:rFonts w:ascii="Calibri" w:hAnsi="Calibri" w:cs="Calibri"/>
                <w:b/>
                <w:bCs/>
                <w:color w:val="000000"/>
                <w:sz w:val="12"/>
                <w:szCs w:val="12"/>
              </w:rPr>
              <w:t>48.916.755,85</w:t>
            </w:r>
          </w:p>
        </w:tc>
        <w:tc>
          <w:tcPr>
            <w:tcW w:w="411" w:type="pct"/>
            <w:tcBorders>
              <w:top w:val="single" w:sz="8" w:space="0" w:color="auto"/>
              <w:left w:val="nil"/>
              <w:bottom w:val="single" w:sz="8" w:space="0" w:color="auto"/>
              <w:right w:val="single" w:sz="4" w:space="0" w:color="auto"/>
            </w:tcBorders>
            <w:shd w:val="clear" w:color="000000" w:fill="F8CBAD"/>
            <w:noWrap/>
            <w:vAlign w:val="center"/>
            <w:hideMark/>
          </w:tcPr>
          <w:p w:rsidR="00CB126E" w:rsidRPr="00CB126E" w:rsidP="00CB126E" w14:paraId="389770BE" w14:textId="77777777">
            <w:pPr>
              <w:jc w:val="right"/>
              <w:rPr>
                <w:rFonts w:ascii="Calibri" w:hAnsi="Calibri" w:cs="Calibri"/>
                <w:b/>
                <w:bCs/>
                <w:color w:val="000000"/>
                <w:sz w:val="12"/>
                <w:szCs w:val="12"/>
              </w:rPr>
            </w:pPr>
            <w:r w:rsidRPr="00CB126E">
              <w:rPr>
                <w:rFonts w:ascii="Calibri" w:hAnsi="Calibri" w:cs="Calibri"/>
                <w:b/>
                <w:bCs/>
                <w:color w:val="000000"/>
                <w:sz w:val="12"/>
                <w:szCs w:val="12"/>
              </w:rPr>
              <w:t>50.127.234,36</w:t>
            </w:r>
          </w:p>
        </w:tc>
        <w:tc>
          <w:tcPr>
            <w:tcW w:w="411" w:type="pct"/>
            <w:tcBorders>
              <w:top w:val="single" w:sz="8" w:space="0" w:color="auto"/>
              <w:left w:val="nil"/>
              <w:bottom w:val="single" w:sz="8" w:space="0" w:color="auto"/>
              <w:right w:val="single" w:sz="4" w:space="0" w:color="auto"/>
            </w:tcBorders>
            <w:shd w:val="clear" w:color="000000" w:fill="F8CBAD"/>
            <w:noWrap/>
            <w:vAlign w:val="center"/>
            <w:hideMark/>
          </w:tcPr>
          <w:p w:rsidR="00CB126E" w:rsidRPr="00CB126E" w:rsidP="00CB126E" w14:paraId="24CCF17B" w14:textId="77777777">
            <w:pPr>
              <w:jc w:val="right"/>
              <w:rPr>
                <w:rFonts w:ascii="Calibri" w:hAnsi="Calibri" w:cs="Calibri"/>
                <w:b/>
                <w:bCs/>
                <w:color w:val="000000"/>
                <w:sz w:val="12"/>
                <w:szCs w:val="12"/>
              </w:rPr>
            </w:pPr>
            <w:r w:rsidRPr="00CB126E">
              <w:rPr>
                <w:rFonts w:ascii="Calibri" w:hAnsi="Calibri" w:cs="Calibri"/>
                <w:b/>
                <w:bCs/>
                <w:color w:val="000000"/>
                <w:sz w:val="12"/>
                <w:szCs w:val="12"/>
              </w:rPr>
              <w:t>46.388.098,35</w:t>
            </w:r>
          </w:p>
        </w:tc>
        <w:tc>
          <w:tcPr>
            <w:tcW w:w="411" w:type="pct"/>
            <w:tcBorders>
              <w:top w:val="single" w:sz="8" w:space="0" w:color="auto"/>
              <w:left w:val="nil"/>
              <w:bottom w:val="single" w:sz="8" w:space="0" w:color="auto"/>
              <w:right w:val="single" w:sz="4" w:space="0" w:color="auto"/>
            </w:tcBorders>
            <w:shd w:val="clear" w:color="000000" w:fill="F8CBAD"/>
            <w:noWrap/>
            <w:vAlign w:val="center"/>
            <w:hideMark/>
          </w:tcPr>
          <w:p w:rsidR="00CB126E" w:rsidRPr="00CB126E" w:rsidP="00CB126E" w14:paraId="6558C7F5" w14:textId="77777777">
            <w:pPr>
              <w:jc w:val="right"/>
              <w:rPr>
                <w:rFonts w:ascii="Calibri" w:hAnsi="Calibri" w:cs="Calibri"/>
                <w:b/>
                <w:bCs/>
                <w:color w:val="000000"/>
                <w:sz w:val="12"/>
                <w:szCs w:val="12"/>
              </w:rPr>
            </w:pPr>
            <w:r w:rsidRPr="00CB126E">
              <w:rPr>
                <w:rFonts w:ascii="Calibri" w:hAnsi="Calibri" w:cs="Calibri"/>
                <w:b/>
                <w:bCs/>
                <w:color w:val="000000"/>
                <w:sz w:val="12"/>
                <w:szCs w:val="12"/>
              </w:rPr>
              <w:t>43.909.638,67</w:t>
            </w:r>
          </w:p>
        </w:tc>
        <w:tc>
          <w:tcPr>
            <w:tcW w:w="411" w:type="pct"/>
            <w:tcBorders>
              <w:top w:val="single" w:sz="8" w:space="0" w:color="auto"/>
              <w:left w:val="nil"/>
              <w:bottom w:val="single" w:sz="8" w:space="0" w:color="auto"/>
              <w:right w:val="single" w:sz="8" w:space="0" w:color="auto"/>
            </w:tcBorders>
            <w:shd w:val="clear" w:color="000000" w:fill="F8CBAD"/>
            <w:noWrap/>
            <w:vAlign w:val="center"/>
            <w:hideMark/>
          </w:tcPr>
          <w:p w:rsidR="00CB126E" w:rsidRPr="00CB126E" w:rsidP="00CB126E" w14:paraId="19FBFEC3" w14:textId="77777777">
            <w:pPr>
              <w:jc w:val="right"/>
              <w:rPr>
                <w:rFonts w:ascii="Calibri" w:hAnsi="Calibri" w:cs="Calibri"/>
                <w:b/>
                <w:bCs/>
                <w:color w:val="000000"/>
                <w:sz w:val="12"/>
                <w:szCs w:val="12"/>
              </w:rPr>
            </w:pPr>
            <w:r w:rsidRPr="00CB126E">
              <w:rPr>
                <w:rFonts w:ascii="Calibri" w:hAnsi="Calibri" w:cs="Calibri"/>
                <w:b/>
                <w:bCs/>
                <w:color w:val="000000"/>
                <w:sz w:val="12"/>
                <w:szCs w:val="12"/>
              </w:rPr>
              <w:t>48.675.893,09</w:t>
            </w:r>
          </w:p>
        </w:tc>
      </w:tr>
      <w:tr w14:paraId="2ADFF3BA" w14:textId="77777777" w:rsidTr="00F4620E">
        <w:tblPrEx>
          <w:tblW w:w="5000" w:type="pct"/>
          <w:tblLook w:val="04A0"/>
        </w:tblPrEx>
        <w:trPr>
          <w:trHeight w:hRule="exact" w:val="985"/>
        </w:trPr>
        <w:tc>
          <w:tcPr>
            <w:tcW w:w="233" w:type="pct"/>
            <w:tcBorders>
              <w:top w:val="nil"/>
              <w:left w:val="nil"/>
              <w:bottom w:val="nil"/>
              <w:right w:val="nil"/>
            </w:tcBorders>
            <w:noWrap/>
            <w:vAlign w:val="bottom"/>
            <w:hideMark/>
          </w:tcPr>
          <w:p w:rsidR="00CB126E" w:rsidRPr="00CB126E" w:rsidP="00CB126E" w14:paraId="28376285" w14:textId="77777777">
            <w:pPr>
              <w:rPr>
                <w:sz w:val="16"/>
                <w:szCs w:val="16"/>
              </w:rPr>
            </w:pPr>
          </w:p>
        </w:tc>
        <w:tc>
          <w:tcPr>
            <w:tcW w:w="282" w:type="pct"/>
            <w:tcBorders>
              <w:top w:val="single" w:sz="8" w:space="0" w:color="auto"/>
              <w:left w:val="single" w:sz="8" w:space="0" w:color="auto"/>
              <w:bottom w:val="single" w:sz="8" w:space="0" w:color="auto"/>
              <w:right w:val="nil"/>
            </w:tcBorders>
            <w:shd w:val="clear" w:color="000000" w:fill="D9D9D9"/>
            <w:vAlign w:val="bottom"/>
            <w:hideMark/>
          </w:tcPr>
          <w:p w:rsidR="00CB126E" w:rsidRPr="00CB126E" w:rsidP="00CB126E" w14:paraId="6FCB4561" w14:textId="77777777">
            <w:pPr>
              <w:rPr>
                <w:rFonts w:ascii="Calibri" w:hAnsi="Calibri" w:cs="Calibri"/>
                <w:b/>
                <w:bCs/>
                <w:color w:val="000000"/>
                <w:sz w:val="10"/>
                <w:szCs w:val="10"/>
              </w:rPr>
            </w:pPr>
            <w:r w:rsidRPr="00CB126E">
              <w:rPr>
                <w:rFonts w:ascii="Calibri" w:hAnsi="Calibri" w:cs="Calibri"/>
                <w:b/>
                <w:bCs/>
                <w:color w:val="000000"/>
                <w:sz w:val="10"/>
                <w:szCs w:val="10"/>
              </w:rPr>
              <w:t xml:space="preserve">Risorse DL PA </w:t>
            </w:r>
            <w:r w:rsidRPr="00CB126E">
              <w:rPr>
                <w:rFonts w:ascii="Calibri" w:hAnsi="Calibri" w:cs="Calibri"/>
                <w:b/>
                <w:bCs/>
                <w:color w:val="000000"/>
                <w:sz w:val="10"/>
                <w:szCs w:val="10"/>
              </w:rPr>
              <w:t>l.S</w:t>
            </w:r>
            <w:r w:rsidRPr="00CB126E">
              <w:rPr>
                <w:rFonts w:ascii="Calibri" w:hAnsi="Calibri" w:cs="Calibri"/>
                <w:b/>
                <w:bCs/>
                <w:color w:val="000000"/>
                <w:sz w:val="10"/>
                <w:szCs w:val="10"/>
              </w:rPr>
              <w:t>.</w:t>
            </w:r>
          </w:p>
        </w:tc>
        <w:tc>
          <w:tcPr>
            <w:tcW w:w="376" w:type="pct"/>
            <w:tcBorders>
              <w:top w:val="single" w:sz="8" w:space="0" w:color="auto"/>
              <w:left w:val="single" w:sz="4" w:space="0" w:color="auto"/>
              <w:bottom w:val="single" w:sz="8" w:space="0" w:color="auto"/>
              <w:right w:val="single" w:sz="4" w:space="0" w:color="auto"/>
            </w:tcBorders>
            <w:shd w:val="clear" w:color="000000" w:fill="D9D9D9"/>
            <w:noWrap/>
            <w:vAlign w:val="center"/>
            <w:hideMark/>
          </w:tcPr>
          <w:p w:rsidR="00CB126E" w:rsidRPr="00CB126E" w:rsidP="00CB126E" w14:paraId="64319BDD" w14:textId="77777777">
            <w:pPr>
              <w:jc w:val="right"/>
              <w:rPr>
                <w:rFonts w:ascii="Calibri" w:hAnsi="Calibri" w:cs="Calibri"/>
                <w:b/>
                <w:bCs/>
                <w:color w:val="000000"/>
                <w:sz w:val="12"/>
                <w:szCs w:val="12"/>
              </w:rPr>
            </w:pPr>
            <w:r w:rsidRPr="00CB126E">
              <w:rPr>
                <w:rFonts w:ascii="Calibri" w:hAnsi="Calibri" w:cs="Calibri"/>
                <w:b/>
                <w:bCs/>
                <w:color w:val="000000"/>
                <w:sz w:val="12"/>
                <w:szCs w:val="12"/>
              </w:rPr>
              <w:t>28.000.000,00</w:t>
            </w:r>
          </w:p>
        </w:tc>
        <w:tc>
          <w:tcPr>
            <w:tcW w:w="411" w:type="pct"/>
            <w:tcBorders>
              <w:top w:val="single" w:sz="8" w:space="0" w:color="auto"/>
              <w:left w:val="nil"/>
              <w:bottom w:val="single" w:sz="8" w:space="0" w:color="auto"/>
              <w:right w:val="single" w:sz="8" w:space="0" w:color="auto"/>
            </w:tcBorders>
            <w:shd w:val="clear" w:color="000000" w:fill="D9D9D9"/>
            <w:noWrap/>
            <w:vAlign w:val="center"/>
            <w:hideMark/>
          </w:tcPr>
          <w:p w:rsidR="00CB126E" w:rsidRPr="00CB126E" w:rsidP="00CB126E" w14:paraId="5E35506A" w14:textId="77777777">
            <w:pPr>
              <w:jc w:val="right"/>
              <w:rPr>
                <w:rFonts w:ascii="Calibri" w:hAnsi="Calibri" w:cs="Calibri"/>
                <w:b/>
                <w:bCs/>
                <w:color w:val="000000"/>
                <w:sz w:val="12"/>
                <w:szCs w:val="12"/>
              </w:rPr>
            </w:pPr>
            <w:r w:rsidRPr="00CB126E">
              <w:rPr>
                <w:rFonts w:ascii="Calibri" w:hAnsi="Calibri" w:cs="Calibri"/>
                <w:b/>
                <w:bCs/>
                <w:color w:val="000000"/>
                <w:sz w:val="12"/>
                <w:szCs w:val="12"/>
              </w:rPr>
              <w:t>34.000.000,00</w:t>
            </w:r>
          </w:p>
        </w:tc>
        <w:tc>
          <w:tcPr>
            <w:tcW w:w="411" w:type="pct"/>
            <w:tcBorders>
              <w:top w:val="single" w:sz="8" w:space="0" w:color="auto"/>
              <w:left w:val="single" w:sz="4" w:space="0" w:color="auto"/>
              <w:bottom w:val="single" w:sz="8" w:space="0" w:color="auto"/>
              <w:right w:val="single" w:sz="8" w:space="0" w:color="auto"/>
            </w:tcBorders>
            <w:shd w:val="clear" w:color="000000" w:fill="D9D9D9"/>
            <w:noWrap/>
            <w:vAlign w:val="center"/>
            <w:hideMark/>
          </w:tcPr>
          <w:p w:rsidR="00CB126E" w:rsidRPr="00CB126E" w:rsidP="00CB126E" w14:paraId="3E5AD843" w14:textId="77777777">
            <w:pPr>
              <w:jc w:val="right"/>
              <w:rPr>
                <w:rFonts w:ascii="Calibri" w:hAnsi="Calibri" w:cs="Calibri"/>
                <w:b/>
                <w:bCs/>
                <w:color w:val="000000"/>
                <w:sz w:val="12"/>
                <w:szCs w:val="12"/>
              </w:rPr>
            </w:pPr>
            <w:r w:rsidRPr="00CB126E">
              <w:rPr>
                <w:rFonts w:ascii="Calibri" w:hAnsi="Calibri" w:cs="Calibri"/>
                <w:b/>
                <w:bCs/>
                <w:color w:val="000000"/>
                <w:sz w:val="12"/>
                <w:szCs w:val="12"/>
              </w:rPr>
              <w:t>34.000.000,00</w:t>
            </w:r>
          </w:p>
        </w:tc>
        <w:tc>
          <w:tcPr>
            <w:tcW w:w="411" w:type="pct"/>
            <w:tcBorders>
              <w:top w:val="single" w:sz="8" w:space="0" w:color="auto"/>
              <w:left w:val="single" w:sz="4" w:space="0" w:color="auto"/>
              <w:bottom w:val="single" w:sz="8" w:space="0" w:color="auto"/>
              <w:right w:val="single" w:sz="8" w:space="0" w:color="auto"/>
            </w:tcBorders>
            <w:shd w:val="clear" w:color="000000" w:fill="D9D9D9"/>
            <w:noWrap/>
            <w:vAlign w:val="center"/>
            <w:hideMark/>
          </w:tcPr>
          <w:p w:rsidR="00CB126E" w:rsidRPr="00CB126E" w:rsidP="00CB126E" w14:paraId="3E274F71" w14:textId="77777777">
            <w:pPr>
              <w:jc w:val="right"/>
              <w:rPr>
                <w:rFonts w:ascii="Calibri" w:hAnsi="Calibri" w:cs="Calibri"/>
                <w:b/>
                <w:bCs/>
                <w:color w:val="000000"/>
                <w:sz w:val="12"/>
                <w:szCs w:val="12"/>
              </w:rPr>
            </w:pPr>
            <w:r w:rsidRPr="00CB126E">
              <w:rPr>
                <w:rFonts w:ascii="Calibri" w:hAnsi="Calibri" w:cs="Calibri"/>
                <w:b/>
                <w:bCs/>
                <w:color w:val="000000"/>
                <w:sz w:val="12"/>
                <w:szCs w:val="12"/>
              </w:rPr>
              <w:t>34.000.000,00</w:t>
            </w:r>
          </w:p>
        </w:tc>
        <w:tc>
          <w:tcPr>
            <w:tcW w:w="411" w:type="pct"/>
            <w:tcBorders>
              <w:top w:val="single" w:sz="8" w:space="0" w:color="auto"/>
              <w:left w:val="single" w:sz="4" w:space="0" w:color="auto"/>
              <w:bottom w:val="single" w:sz="8" w:space="0" w:color="auto"/>
              <w:right w:val="single" w:sz="8" w:space="0" w:color="auto"/>
            </w:tcBorders>
            <w:shd w:val="clear" w:color="000000" w:fill="D9D9D9"/>
            <w:noWrap/>
            <w:vAlign w:val="center"/>
            <w:hideMark/>
          </w:tcPr>
          <w:p w:rsidR="00CB126E" w:rsidRPr="00CB126E" w:rsidP="00CB126E" w14:paraId="051F785F" w14:textId="77777777">
            <w:pPr>
              <w:jc w:val="right"/>
              <w:rPr>
                <w:rFonts w:ascii="Calibri" w:hAnsi="Calibri" w:cs="Calibri"/>
                <w:b/>
                <w:bCs/>
                <w:color w:val="000000"/>
                <w:sz w:val="12"/>
                <w:szCs w:val="12"/>
              </w:rPr>
            </w:pPr>
            <w:r w:rsidRPr="00CB126E">
              <w:rPr>
                <w:rFonts w:ascii="Calibri" w:hAnsi="Calibri" w:cs="Calibri"/>
                <w:b/>
                <w:bCs/>
                <w:color w:val="000000"/>
                <w:sz w:val="12"/>
                <w:szCs w:val="12"/>
              </w:rPr>
              <w:t>34.000.000,00</w:t>
            </w:r>
          </w:p>
        </w:tc>
        <w:tc>
          <w:tcPr>
            <w:tcW w:w="411" w:type="pct"/>
            <w:tcBorders>
              <w:top w:val="single" w:sz="8" w:space="0" w:color="auto"/>
              <w:left w:val="single" w:sz="4" w:space="0" w:color="auto"/>
              <w:bottom w:val="single" w:sz="8" w:space="0" w:color="auto"/>
              <w:right w:val="single" w:sz="8" w:space="0" w:color="auto"/>
            </w:tcBorders>
            <w:shd w:val="clear" w:color="000000" w:fill="D9D9D9"/>
            <w:noWrap/>
            <w:vAlign w:val="center"/>
            <w:hideMark/>
          </w:tcPr>
          <w:p w:rsidR="00CB126E" w:rsidRPr="00CB126E" w:rsidP="00CB126E" w14:paraId="23599195" w14:textId="77777777">
            <w:pPr>
              <w:jc w:val="right"/>
              <w:rPr>
                <w:rFonts w:ascii="Calibri" w:hAnsi="Calibri" w:cs="Calibri"/>
                <w:b/>
                <w:bCs/>
                <w:color w:val="000000"/>
                <w:sz w:val="12"/>
                <w:szCs w:val="12"/>
              </w:rPr>
            </w:pPr>
            <w:r w:rsidRPr="00CB126E">
              <w:rPr>
                <w:rFonts w:ascii="Calibri" w:hAnsi="Calibri" w:cs="Calibri"/>
                <w:b/>
                <w:bCs/>
                <w:color w:val="000000"/>
                <w:sz w:val="12"/>
                <w:szCs w:val="12"/>
              </w:rPr>
              <w:t>34.000.000,00</w:t>
            </w:r>
          </w:p>
        </w:tc>
        <w:tc>
          <w:tcPr>
            <w:tcW w:w="411" w:type="pct"/>
            <w:tcBorders>
              <w:top w:val="single" w:sz="8" w:space="0" w:color="auto"/>
              <w:left w:val="single" w:sz="4" w:space="0" w:color="auto"/>
              <w:bottom w:val="single" w:sz="8" w:space="0" w:color="auto"/>
              <w:right w:val="single" w:sz="8" w:space="0" w:color="auto"/>
            </w:tcBorders>
            <w:shd w:val="clear" w:color="000000" w:fill="D9D9D9"/>
            <w:noWrap/>
            <w:vAlign w:val="center"/>
            <w:hideMark/>
          </w:tcPr>
          <w:p w:rsidR="00CB126E" w:rsidRPr="00CB126E" w:rsidP="00CB126E" w14:paraId="3E32B607" w14:textId="77777777">
            <w:pPr>
              <w:jc w:val="right"/>
              <w:rPr>
                <w:rFonts w:ascii="Calibri" w:hAnsi="Calibri" w:cs="Calibri"/>
                <w:b/>
                <w:bCs/>
                <w:color w:val="000000"/>
                <w:sz w:val="12"/>
                <w:szCs w:val="12"/>
              </w:rPr>
            </w:pPr>
            <w:r w:rsidRPr="00CB126E">
              <w:rPr>
                <w:rFonts w:ascii="Calibri" w:hAnsi="Calibri" w:cs="Calibri"/>
                <w:b/>
                <w:bCs/>
                <w:color w:val="000000"/>
                <w:sz w:val="12"/>
                <w:szCs w:val="12"/>
              </w:rPr>
              <w:t>34.000.000,00</w:t>
            </w:r>
          </w:p>
        </w:tc>
        <w:tc>
          <w:tcPr>
            <w:tcW w:w="411" w:type="pct"/>
            <w:tcBorders>
              <w:top w:val="single" w:sz="8" w:space="0" w:color="auto"/>
              <w:left w:val="single" w:sz="4" w:space="0" w:color="auto"/>
              <w:bottom w:val="single" w:sz="8" w:space="0" w:color="auto"/>
              <w:right w:val="single" w:sz="8" w:space="0" w:color="auto"/>
            </w:tcBorders>
            <w:shd w:val="clear" w:color="000000" w:fill="D9D9D9"/>
            <w:noWrap/>
            <w:vAlign w:val="center"/>
            <w:hideMark/>
          </w:tcPr>
          <w:p w:rsidR="00CB126E" w:rsidRPr="00CB126E" w:rsidP="00CB126E" w14:paraId="3A7E0D86" w14:textId="77777777">
            <w:pPr>
              <w:jc w:val="right"/>
              <w:rPr>
                <w:rFonts w:ascii="Calibri" w:hAnsi="Calibri" w:cs="Calibri"/>
                <w:b/>
                <w:bCs/>
                <w:color w:val="000000"/>
                <w:sz w:val="12"/>
                <w:szCs w:val="12"/>
              </w:rPr>
            </w:pPr>
            <w:r w:rsidRPr="00CB126E">
              <w:rPr>
                <w:rFonts w:ascii="Calibri" w:hAnsi="Calibri" w:cs="Calibri"/>
                <w:b/>
                <w:bCs/>
                <w:color w:val="000000"/>
                <w:sz w:val="12"/>
                <w:szCs w:val="12"/>
              </w:rPr>
              <w:t>34.000.000,00</w:t>
            </w:r>
          </w:p>
        </w:tc>
        <w:tc>
          <w:tcPr>
            <w:tcW w:w="411" w:type="pct"/>
            <w:tcBorders>
              <w:top w:val="single" w:sz="8" w:space="0" w:color="auto"/>
              <w:left w:val="single" w:sz="4" w:space="0" w:color="auto"/>
              <w:bottom w:val="single" w:sz="8" w:space="0" w:color="auto"/>
              <w:right w:val="single" w:sz="8" w:space="0" w:color="auto"/>
            </w:tcBorders>
            <w:shd w:val="clear" w:color="000000" w:fill="D9D9D9"/>
            <w:noWrap/>
            <w:vAlign w:val="center"/>
            <w:hideMark/>
          </w:tcPr>
          <w:p w:rsidR="00CB126E" w:rsidRPr="00CB126E" w:rsidP="00CB126E" w14:paraId="10D9A580" w14:textId="77777777">
            <w:pPr>
              <w:jc w:val="right"/>
              <w:rPr>
                <w:rFonts w:ascii="Calibri" w:hAnsi="Calibri" w:cs="Calibri"/>
                <w:b/>
                <w:bCs/>
                <w:color w:val="000000"/>
                <w:sz w:val="12"/>
                <w:szCs w:val="12"/>
              </w:rPr>
            </w:pPr>
            <w:r w:rsidRPr="00CB126E">
              <w:rPr>
                <w:rFonts w:ascii="Calibri" w:hAnsi="Calibri" w:cs="Calibri"/>
                <w:b/>
                <w:bCs/>
                <w:color w:val="000000"/>
                <w:sz w:val="12"/>
                <w:szCs w:val="12"/>
              </w:rPr>
              <w:t>34.000.000,00</w:t>
            </w:r>
          </w:p>
        </w:tc>
        <w:tc>
          <w:tcPr>
            <w:tcW w:w="411" w:type="pct"/>
            <w:tcBorders>
              <w:top w:val="single" w:sz="8" w:space="0" w:color="auto"/>
              <w:left w:val="single" w:sz="4" w:space="0" w:color="auto"/>
              <w:bottom w:val="single" w:sz="8" w:space="0" w:color="auto"/>
              <w:right w:val="single" w:sz="8" w:space="0" w:color="auto"/>
            </w:tcBorders>
            <w:shd w:val="clear" w:color="000000" w:fill="D9D9D9"/>
            <w:noWrap/>
            <w:vAlign w:val="center"/>
            <w:hideMark/>
          </w:tcPr>
          <w:p w:rsidR="00CB126E" w:rsidRPr="00CB126E" w:rsidP="00CB126E" w14:paraId="08AECE7C" w14:textId="77777777">
            <w:pPr>
              <w:jc w:val="right"/>
              <w:rPr>
                <w:rFonts w:ascii="Calibri" w:hAnsi="Calibri" w:cs="Calibri"/>
                <w:b/>
                <w:bCs/>
                <w:color w:val="000000"/>
                <w:sz w:val="12"/>
                <w:szCs w:val="12"/>
              </w:rPr>
            </w:pPr>
            <w:r w:rsidRPr="00CB126E">
              <w:rPr>
                <w:rFonts w:ascii="Calibri" w:hAnsi="Calibri" w:cs="Calibri"/>
                <w:b/>
                <w:bCs/>
                <w:color w:val="000000"/>
                <w:sz w:val="12"/>
                <w:szCs w:val="12"/>
              </w:rPr>
              <w:t>34.000.000,00</w:t>
            </w:r>
          </w:p>
        </w:tc>
        <w:tc>
          <w:tcPr>
            <w:tcW w:w="411" w:type="pct"/>
            <w:tcBorders>
              <w:top w:val="single" w:sz="8" w:space="0" w:color="auto"/>
              <w:left w:val="single" w:sz="4" w:space="0" w:color="auto"/>
              <w:bottom w:val="single" w:sz="8" w:space="0" w:color="auto"/>
              <w:right w:val="single" w:sz="8" w:space="0" w:color="auto"/>
            </w:tcBorders>
            <w:shd w:val="clear" w:color="000000" w:fill="D9D9D9"/>
            <w:noWrap/>
            <w:vAlign w:val="center"/>
            <w:hideMark/>
          </w:tcPr>
          <w:p w:rsidR="00CB126E" w:rsidRPr="00CB126E" w:rsidP="00CB126E" w14:paraId="35341A41" w14:textId="77777777">
            <w:pPr>
              <w:jc w:val="right"/>
              <w:rPr>
                <w:rFonts w:ascii="Calibri" w:hAnsi="Calibri" w:cs="Calibri"/>
                <w:b/>
                <w:bCs/>
                <w:color w:val="000000"/>
                <w:sz w:val="12"/>
                <w:szCs w:val="12"/>
              </w:rPr>
            </w:pPr>
            <w:r w:rsidRPr="00CB126E">
              <w:rPr>
                <w:rFonts w:ascii="Calibri" w:hAnsi="Calibri" w:cs="Calibri"/>
                <w:b/>
                <w:bCs/>
                <w:color w:val="000000"/>
                <w:sz w:val="12"/>
                <w:szCs w:val="12"/>
              </w:rPr>
              <w:t>34.000.000,00</w:t>
            </w:r>
          </w:p>
        </w:tc>
      </w:tr>
      <w:tr w14:paraId="503D8DD2" w14:textId="77777777" w:rsidTr="00F4620E">
        <w:tblPrEx>
          <w:tblW w:w="5000" w:type="pct"/>
          <w:tblLook w:val="04A0"/>
        </w:tblPrEx>
        <w:trPr>
          <w:trHeight w:hRule="exact" w:val="1262"/>
        </w:trPr>
        <w:tc>
          <w:tcPr>
            <w:tcW w:w="233" w:type="pct"/>
            <w:tcBorders>
              <w:top w:val="nil"/>
              <w:left w:val="nil"/>
              <w:bottom w:val="nil"/>
              <w:right w:val="nil"/>
            </w:tcBorders>
            <w:noWrap/>
            <w:vAlign w:val="bottom"/>
            <w:hideMark/>
          </w:tcPr>
          <w:p w:rsidR="00CB126E" w:rsidRPr="00CB126E" w:rsidP="00CB126E" w14:paraId="6C95DE51" w14:textId="77777777">
            <w:pPr>
              <w:rPr>
                <w:sz w:val="16"/>
                <w:szCs w:val="16"/>
              </w:rPr>
            </w:pPr>
          </w:p>
        </w:tc>
        <w:tc>
          <w:tcPr>
            <w:tcW w:w="282" w:type="pct"/>
            <w:tcBorders>
              <w:top w:val="single" w:sz="8" w:space="0" w:color="auto"/>
              <w:left w:val="single" w:sz="8" w:space="0" w:color="auto"/>
              <w:bottom w:val="single" w:sz="8" w:space="0" w:color="auto"/>
              <w:right w:val="nil"/>
            </w:tcBorders>
            <w:shd w:val="clear" w:color="000000" w:fill="D9D9D9"/>
            <w:vAlign w:val="bottom"/>
            <w:hideMark/>
          </w:tcPr>
          <w:p w:rsidR="00CB126E" w:rsidRPr="00CB126E" w:rsidP="00CB126E" w14:paraId="4C7EA8A9" w14:textId="77777777">
            <w:pPr>
              <w:rPr>
                <w:rFonts w:ascii="Calibri" w:hAnsi="Calibri" w:cs="Calibri"/>
                <w:b/>
                <w:bCs/>
                <w:color w:val="000000"/>
                <w:sz w:val="10"/>
                <w:szCs w:val="10"/>
              </w:rPr>
            </w:pPr>
            <w:r w:rsidRPr="00CB126E">
              <w:rPr>
                <w:rFonts w:ascii="Calibri" w:hAnsi="Calibri" w:cs="Calibri"/>
                <w:b/>
                <w:bCs/>
                <w:color w:val="000000"/>
                <w:sz w:val="10"/>
                <w:szCs w:val="10"/>
              </w:rPr>
              <w:t>Risorse mancanti</w:t>
            </w:r>
          </w:p>
        </w:tc>
        <w:tc>
          <w:tcPr>
            <w:tcW w:w="376" w:type="pct"/>
            <w:tcBorders>
              <w:top w:val="single" w:sz="8" w:space="0" w:color="auto"/>
              <w:left w:val="single" w:sz="4" w:space="0" w:color="auto"/>
              <w:bottom w:val="single" w:sz="8" w:space="0" w:color="auto"/>
              <w:right w:val="single" w:sz="4" w:space="0" w:color="auto"/>
            </w:tcBorders>
            <w:shd w:val="clear" w:color="000000" w:fill="D9D9D9"/>
            <w:noWrap/>
            <w:vAlign w:val="center"/>
            <w:hideMark/>
          </w:tcPr>
          <w:p w:rsidR="00CB126E" w:rsidRPr="00CB126E" w:rsidP="00CB126E" w14:paraId="32193024" w14:textId="77777777">
            <w:pPr>
              <w:jc w:val="right"/>
              <w:rPr>
                <w:rFonts w:ascii="Calibri" w:hAnsi="Calibri" w:cs="Calibri"/>
                <w:b/>
                <w:bCs/>
                <w:color w:val="000000"/>
                <w:sz w:val="12"/>
                <w:szCs w:val="12"/>
              </w:rPr>
            </w:pPr>
            <w:r w:rsidRPr="00CB126E">
              <w:rPr>
                <w:rFonts w:ascii="Calibri" w:hAnsi="Calibri" w:cs="Calibri"/>
                <w:b/>
                <w:bCs/>
                <w:color w:val="000000"/>
                <w:sz w:val="12"/>
                <w:szCs w:val="12"/>
              </w:rPr>
              <w:t>-15.625.108,10</w:t>
            </w:r>
          </w:p>
        </w:tc>
        <w:tc>
          <w:tcPr>
            <w:tcW w:w="411" w:type="pct"/>
            <w:tcBorders>
              <w:top w:val="single" w:sz="8" w:space="0" w:color="auto"/>
              <w:left w:val="nil"/>
              <w:bottom w:val="single" w:sz="8" w:space="0" w:color="auto"/>
              <w:right w:val="single" w:sz="4" w:space="0" w:color="auto"/>
            </w:tcBorders>
            <w:shd w:val="clear" w:color="000000" w:fill="D9D9D9"/>
            <w:noWrap/>
            <w:vAlign w:val="center"/>
            <w:hideMark/>
          </w:tcPr>
          <w:p w:rsidR="00CB126E" w:rsidRPr="00CB126E" w:rsidP="00CB126E" w14:paraId="0B589944" w14:textId="77777777">
            <w:pPr>
              <w:jc w:val="right"/>
              <w:rPr>
                <w:rFonts w:ascii="Calibri" w:hAnsi="Calibri" w:cs="Calibri"/>
                <w:b/>
                <w:bCs/>
                <w:color w:val="000000"/>
                <w:sz w:val="12"/>
                <w:szCs w:val="12"/>
              </w:rPr>
            </w:pPr>
            <w:r w:rsidRPr="00CB126E">
              <w:rPr>
                <w:rFonts w:ascii="Calibri" w:hAnsi="Calibri" w:cs="Calibri"/>
                <w:b/>
                <w:bCs/>
                <w:color w:val="000000"/>
                <w:sz w:val="12"/>
                <w:szCs w:val="12"/>
              </w:rPr>
              <w:t>-11.441.417,81</w:t>
            </w:r>
          </w:p>
        </w:tc>
        <w:tc>
          <w:tcPr>
            <w:tcW w:w="411" w:type="pct"/>
            <w:tcBorders>
              <w:top w:val="single" w:sz="8" w:space="0" w:color="auto"/>
              <w:left w:val="nil"/>
              <w:bottom w:val="single" w:sz="8" w:space="0" w:color="auto"/>
              <w:right w:val="single" w:sz="4" w:space="0" w:color="auto"/>
            </w:tcBorders>
            <w:shd w:val="clear" w:color="000000" w:fill="D9D9D9"/>
            <w:noWrap/>
            <w:vAlign w:val="center"/>
            <w:hideMark/>
          </w:tcPr>
          <w:p w:rsidR="00CB126E" w:rsidRPr="00CB126E" w:rsidP="00CB126E" w14:paraId="60FC846B" w14:textId="77777777">
            <w:pPr>
              <w:jc w:val="right"/>
              <w:rPr>
                <w:rFonts w:ascii="Calibri" w:hAnsi="Calibri" w:cs="Calibri"/>
                <w:b/>
                <w:bCs/>
                <w:color w:val="000000"/>
                <w:sz w:val="12"/>
                <w:szCs w:val="12"/>
              </w:rPr>
            </w:pPr>
            <w:r w:rsidRPr="00CB126E">
              <w:rPr>
                <w:rFonts w:ascii="Calibri" w:hAnsi="Calibri" w:cs="Calibri"/>
                <w:b/>
                <w:bCs/>
                <w:color w:val="000000"/>
                <w:sz w:val="12"/>
                <w:szCs w:val="12"/>
              </w:rPr>
              <w:t>-12.077.805,67</w:t>
            </w:r>
          </w:p>
        </w:tc>
        <w:tc>
          <w:tcPr>
            <w:tcW w:w="411" w:type="pct"/>
            <w:tcBorders>
              <w:top w:val="single" w:sz="8" w:space="0" w:color="auto"/>
              <w:left w:val="nil"/>
              <w:bottom w:val="single" w:sz="8" w:space="0" w:color="auto"/>
              <w:right w:val="single" w:sz="4" w:space="0" w:color="auto"/>
            </w:tcBorders>
            <w:shd w:val="clear" w:color="000000" w:fill="D9D9D9"/>
            <w:noWrap/>
            <w:vAlign w:val="center"/>
            <w:hideMark/>
          </w:tcPr>
          <w:p w:rsidR="00CB126E" w:rsidRPr="00CB126E" w:rsidP="00CB126E" w14:paraId="5270D7FC" w14:textId="77777777">
            <w:pPr>
              <w:jc w:val="right"/>
              <w:rPr>
                <w:rFonts w:ascii="Calibri" w:hAnsi="Calibri" w:cs="Calibri"/>
                <w:b/>
                <w:bCs/>
                <w:color w:val="000000"/>
                <w:sz w:val="12"/>
                <w:szCs w:val="12"/>
              </w:rPr>
            </w:pPr>
            <w:r w:rsidRPr="00CB126E">
              <w:rPr>
                <w:rFonts w:ascii="Calibri" w:hAnsi="Calibri" w:cs="Calibri"/>
                <w:b/>
                <w:bCs/>
                <w:color w:val="000000"/>
                <w:sz w:val="12"/>
                <w:szCs w:val="12"/>
              </w:rPr>
              <w:t>-13.502.395,46</w:t>
            </w:r>
          </w:p>
        </w:tc>
        <w:tc>
          <w:tcPr>
            <w:tcW w:w="411" w:type="pct"/>
            <w:tcBorders>
              <w:top w:val="single" w:sz="8" w:space="0" w:color="auto"/>
              <w:left w:val="nil"/>
              <w:bottom w:val="single" w:sz="8" w:space="0" w:color="auto"/>
              <w:right w:val="single" w:sz="4" w:space="0" w:color="auto"/>
            </w:tcBorders>
            <w:shd w:val="clear" w:color="000000" w:fill="D9D9D9"/>
            <w:noWrap/>
            <w:vAlign w:val="center"/>
            <w:hideMark/>
          </w:tcPr>
          <w:p w:rsidR="00CB126E" w:rsidRPr="00CB126E" w:rsidP="00CB126E" w14:paraId="4E1AB397" w14:textId="77777777">
            <w:pPr>
              <w:jc w:val="right"/>
              <w:rPr>
                <w:rFonts w:ascii="Calibri" w:hAnsi="Calibri" w:cs="Calibri"/>
                <w:b/>
                <w:bCs/>
                <w:color w:val="000000"/>
                <w:sz w:val="12"/>
                <w:szCs w:val="12"/>
              </w:rPr>
            </w:pPr>
            <w:r w:rsidRPr="00CB126E">
              <w:rPr>
                <w:rFonts w:ascii="Calibri" w:hAnsi="Calibri" w:cs="Calibri"/>
                <w:b/>
                <w:bCs/>
                <w:color w:val="000000"/>
                <w:sz w:val="12"/>
                <w:szCs w:val="12"/>
              </w:rPr>
              <w:t>-15.978.529,01</w:t>
            </w:r>
          </w:p>
        </w:tc>
        <w:tc>
          <w:tcPr>
            <w:tcW w:w="411" w:type="pct"/>
            <w:tcBorders>
              <w:top w:val="single" w:sz="8" w:space="0" w:color="auto"/>
              <w:left w:val="nil"/>
              <w:bottom w:val="single" w:sz="8" w:space="0" w:color="auto"/>
              <w:right w:val="single" w:sz="4" w:space="0" w:color="auto"/>
            </w:tcBorders>
            <w:shd w:val="clear" w:color="000000" w:fill="D9D9D9"/>
            <w:noWrap/>
            <w:vAlign w:val="center"/>
            <w:hideMark/>
          </w:tcPr>
          <w:p w:rsidR="00CB126E" w:rsidRPr="00CB126E" w:rsidP="00CB126E" w14:paraId="716887E9" w14:textId="77777777">
            <w:pPr>
              <w:jc w:val="right"/>
              <w:rPr>
                <w:rFonts w:ascii="Calibri" w:hAnsi="Calibri" w:cs="Calibri"/>
                <w:b/>
                <w:bCs/>
                <w:color w:val="000000"/>
                <w:sz w:val="12"/>
                <w:szCs w:val="12"/>
              </w:rPr>
            </w:pPr>
            <w:r w:rsidRPr="00CB126E">
              <w:rPr>
                <w:rFonts w:ascii="Calibri" w:hAnsi="Calibri" w:cs="Calibri"/>
                <w:b/>
                <w:bCs/>
                <w:color w:val="000000"/>
                <w:sz w:val="12"/>
                <w:szCs w:val="12"/>
              </w:rPr>
              <w:t>-14.867.096,16</w:t>
            </w:r>
          </w:p>
        </w:tc>
        <w:tc>
          <w:tcPr>
            <w:tcW w:w="411" w:type="pct"/>
            <w:tcBorders>
              <w:top w:val="single" w:sz="8" w:space="0" w:color="auto"/>
              <w:left w:val="nil"/>
              <w:bottom w:val="single" w:sz="8" w:space="0" w:color="auto"/>
              <w:right w:val="single" w:sz="4" w:space="0" w:color="auto"/>
            </w:tcBorders>
            <w:shd w:val="clear" w:color="000000" w:fill="D9D9D9"/>
            <w:noWrap/>
            <w:vAlign w:val="center"/>
            <w:hideMark/>
          </w:tcPr>
          <w:p w:rsidR="00CB126E" w:rsidRPr="00CB126E" w:rsidP="00CB126E" w14:paraId="5232F09A" w14:textId="77777777">
            <w:pPr>
              <w:jc w:val="right"/>
              <w:rPr>
                <w:rFonts w:ascii="Calibri" w:hAnsi="Calibri" w:cs="Calibri"/>
                <w:b/>
                <w:bCs/>
                <w:color w:val="000000"/>
                <w:sz w:val="12"/>
                <w:szCs w:val="12"/>
              </w:rPr>
            </w:pPr>
            <w:r w:rsidRPr="00CB126E">
              <w:rPr>
                <w:rFonts w:ascii="Calibri" w:hAnsi="Calibri" w:cs="Calibri"/>
                <w:b/>
                <w:bCs/>
                <w:color w:val="000000"/>
                <w:sz w:val="12"/>
                <w:szCs w:val="12"/>
              </w:rPr>
              <w:t>-14.916.755,85</w:t>
            </w:r>
          </w:p>
        </w:tc>
        <w:tc>
          <w:tcPr>
            <w:tcW w:w="411" w:type="pct"/>
            <w:tcBorders>
              <w:top w:val="single" w:sz="8" w:space="0" w:color="auto"/>
              <w:left w:val="nil"/>
              <w:bottom w:val="single" w:sz="8" w:space="0" w:color="auto"/>
              <w:right w:val="single" w:sz="4" w:space="0" w:color="auto"/>
            </w:tcBorders>
            <w:shd w:val="clear" w:color="000000" w:fill="FF0000"/>
            <w:noWrap/>
            <w:vAlign w:val="center"/>
            <w:hideMark/>
          </w:tcPr>
          <w:p w:rsidR="00CB126E" w:rsidRPr="00CB126E" w:rsidP="00CB126E" w14:paraId="074520A3" w14:textId="77777777">
            <w:pPr>
              <w:jc w:val="right"/>
              <w:rPr>
                <w:rFonts w:ascii="Calibri" w:hAnsi="Calibri" w:cs="Calibri"/>
                <w:b/>
                <w:bCs/>
                <w:color w:val="000000"/>
                <w:sz w:val="12"/>
                <w:szCs w:val="12"/>
              </w:rPr>
            </w:pPr>
            <w:r w:rsidRPr="00CB126E">
              <w:rPr>
                <w:rFonts w:ascii="Calibri" w:hAnsi="Calibri" w:cs="Calibri"/>
                <w:b/>
                <w:bCs/>
                <w:color w:val="000000"/>
                <w:sz w:val="12"/>
                <w:szCs w:val="12"/>
              </w:rPr>
              <w:t>-16.127.234,36</w:t>
            </w:r>
          </w:p>
        </w:tc>
        <w:tc>
          <w:tcPr>
            <w:tcW w:w="411" w:type="pct"/>
            <w:tcBorders>
              <w:top w:val="single" w:sz="8" w:space="0" w:color="auto"/>
              <w:left w:val="nil"/>
              <w:bottom w:val="single" w:sz="8" w:space="0" w:color="auto"/>
              <w:right w:val="single" w:sz="4" w:space="0" w:color="auto"/>
            </w:tcBorders>
            <w:shd w:val="clear" w:color="000000" w:fill="D9D9D9"/>
            <w:noWrap/>
            <w:vAlign w:val="center"/>
            <w:hideMark/>
          </w:tcPr>
          <w:p w:rsidR="00CB126E" w:rsidRPr="00CB126E" w:rsidP="00CB126E" w14:paraId="0201B4C8" w14:textId="77777777">
            <w:pPr>
              <w:jc w:val="right"/>
              <w:rPr>
                <w:rFonts w:ascii="Calibri" w:hAnsi="Calibri" w:cs="Calibri"/>
                <w:b/>
                <w:bCs/>
                <w:color w:val="000000"/>
                <w:sz w:val="12"/>
                <w:szCs w:val="12"/>
              </w:rPr>
            </w:pPr>
            <w:r w:rsidRPr="00CB126E">
              <w:rPr>
                <w:rFonts w:ascii="Calibri" w:hAnsi="Calibri" w:cs="Calibri"/>
                <w:b/>
                <w:bCs/>
                <w:color w:val="000000"/>
                <w:sz w:val="12"/>
                <w:szCs w:val="12"/>
              </w:rPr>
              <w:t>-12.388.098,35</w:t>
            </w:r>
          </w:p>
        </w:tc>
        <w:tc>
          <w:tcPr>
            <w:tcW w:w="411" w:type="pct"/>
            <w:tcBorders>
              <w:top w:val="single" w:sz="8" w:space="0" w:color="auto"/>
              <w:left w:val="nil"/>
              <w:bottom w:val="single" w:sz="8" w:space="0" w:color="auto"/>
              <w:right w:val="single" w:sz="4" w:space="0" w:color="auto"/>
            </w:tcBorders>
            <w:shd w:val="clear" w:color="000000" w:fill="D9D9D9"/>
            <w:noWrap/>
            <w:vAlign w:val="center"/>
            <w:hideMark/>
          </w:tcPr>
          <w:p w:rsidR="00CB126E" w:rsidRPr="00CB126E" w:rsidP="00CB126E" w14:paraId="16810C8A" w14:textId="77777777">
            <w:pPr>
              <w:jc w:val="right"/>
              <w:rPr>
                <w:rFonts w:ascii="Calibri" w:hAnsi="Calibri" w:cs="Calibri"/>
                <w:b/>
                <w:bCs/>
                <w:color w:val="000000"/>
                <w:sz w:val="12"/>
                <w:szCs w:val="12"/>
              </w:rPr>
            </w:pPr>
            <w:r w:rsidRPr="00CB126E">
              <w:rPr>
                <w:rFonts w:ascii="Calibri" w:hAnsi="Calibri" w:cs="Calibri"/>
                <w:b/>
                <w:bCs/>
                <w:color w:val="000000"/>
                <w:sz w:val="12"/>
                <w:szCs w:val="12"/>
              </w:rPr>
              <w:t>-9.909.638,67</w:t>
            </w:r>
          </w:p>
        </w:tc>
        <w:tc>
          <w:tcPr>
            <w:tcW w:w="411" w:type="pct"/>
            <w:tcBorders>
              <w:top w:val="single" w:sz="8" w:space="0" w:color="auto"/>
              <w:left w:val="nil"/>
              <w:bottom w:val="single" w:sz="8" w:space="0" w:color="auto"/>
              <w:right w:val="single" w:sz="4" w:space="0" w:color="auto"/>
            </w:tcBorders>
            <w:shd w:val="clear" w:color="000000" w:fill="D9D9D9"/>
            <w:noWrap/>
            <w:vAlign w:val="center"/>
            <w:hideMark/>
          </w:tcPr>
          <w:p w:rsidR="00CB126E" w:rsidRPr="00CB126E" w:rsidP="00CB126E" w14:paraId="6FCAC03B" w14:textId="77777777">
            <w:pPr>
              <w:jc w:val="right"/>
              <w:rPr>
                <w:rFonts w:ascii="Calibri" w:hAnsi="Calibri" w:cs="Calibri"/>
                <w:b/>
                <w:bCs/>
                <w:color w:val="000000"/>
                <w:sz w:val="12"/>
                <w:szCs w:val="12"/>
              </w:rPr>
            </w:pPr>
            <w:r w:rsidRPr="00CB126E">
              <w:rPr>
                <w:rFonts w:ascii="Calibri" w:hAnsi="Calibri" w:cs="Calibri"/>
                <w:b/>
                <w:bCs/>
                <w:color w:val="000000"/>
                <w:sz w:val="12"/>
                <w:szCs w:val="12"/>
              </w:rPr>
              <w:t>-14.675.893,09</w:t>
            </w:r>
          </w:p>
        </w:tc>
      </w:tr>
    </w:tbl>
    <w:p w:rsidR="00CB126E" w:rsidP="008D1C69" w14:paraId="32B39FE4" w14:textId="77777777">
      <w:pPr>
        <w:spacing w:after="120"/>
        <w:jc w:val="both"/>
        <w:rPr>
          <w:rFonts w:eastAsia="Calibri"/>
          <w:color w:val="FF0000"/>
        </w:rPr>
      </w:pPr>
    </w:p>
    <w:tbl>
      <w:tblPr>
        <w:tblW w:w="5000" w:type="pct"/>
        <w:tblCellMar>
          <w:left w:w="70" w:type="dxa"/>
          <w:right w:w="70" w:type="dxa"/>
        </w:tblCellMar>
        <w:tblLook w:val="04A0"/>
      </w:tblPr>
      <w:tblGrid>
        <w:gridCol w:w="211"/>
        <w:gridCol w:w="450"/>
        <w:gridCol w:w="817"/>
        <w:gridCol w:w="816"/>
        <w:gridCol w:w="816"/>
        <w:gridCol w:w="816"/>
        <w:gridCol w:w="816"/>
        <w:gridCol w:w="816"/>
        <w:gridCol w:w="816"/>
        <w:gridCol w:w="816"/>
        <w:gridCol w:w="816"/>
        <w:gridCol w:w="816"/>
        <w:gridCol w:w="816"/>
      </w:tblGrid>
      <w:tr w14:paraId="234BC566" w14:textId="77777777">
        <w:tblPrEx>
          <w:tblW w:w="5000" w:type="pct"/>
          <w:tblLook w:val="04A0"/>
        </w:tblPrEx>
        <w:trPr>
          <w:trHeight w:val="435"/>
        </w:trPr>
        <w:tc>
          <w:tcPr>
            <w:tcW w:w="5000" w:type="pct"/>
            <w:gridSpan w:val="13"/>
            <w:tcBorders>
              <w:top w:val="nil"/>
              <w:left w:val="nil"/>
              <w:bottom w:val="nil"/>
              <w:right w:val="nil"/>
            </w:tcBorders>
            <w:shd w:val="clear" w:color="000000" w:fill="FFFFFF"/>
            <w:vAlign w:val="center"/>
            <w:hideMark/>
          </w:tcPr>
          <w:p w:rsidR="005432A2" w:rsidRPr="005432A2" w:rsidP="005432A2" w14:paraId="5EB00F67" w14:textId="77777777">
            <w:pPr>
              <w:jc w:val="center"/>
              <w:rPr>
                <w:rFonts w:ascii="Calibri" w:hAnsi="Calibri" w:cs="Calibri"/>
                <w:b/>
                <w:bCs/>
                <w:color w:val="000000"/>
                <w:sz w:val="36"/>
                <w:szCs w:val="36"/>
              </w:rPr>
            </w:pPr>
            <w:r w:rsidRPr="005432A2">
              <w:rPr>
                <w:rFonts w:ascii="Calibri" w:hAnsi="Calibri" w:cs="Calibri"/>
                <w:b/>
                <w:bCs/>
                <w:color w:val="000000"/>
              </w:rPr>
              <w:t xml:space="preserve">ONERE PROPOSTA MODIFICA D.LGS. 127/2018 </w:t>
            </w:r>
          </w:p>
        </w:tc>
      </w:tr>
      <w:tr w14:paraId="62FA8473" w14:textId="77777777">
        <w:tblPrEx>
          <w:tblW w:w="5000" w:type="pct"/>
          <w:tblLook w:val="04A0"/>
        </w:tblPrEx>
        <w:trPr>
          <w:trHeight w:val="435"/>
        </w:trPr>
        <w:tc>
          <w:tcPr>
            <w:tcW w:w="186" w:type="pct"/>
            <w:tcBorders>
              <w:top w:val="nil"/>
              <w:left w:val="nil"/>
              <w:bottom w:val="nil"/>
              <w:right w:val="nil"/>
            </w:tcBorders>
            <w:shd w:val="clear" w:color="000000" w:fill="FFFFFF"/>
            <w:vAlign w:val="center"/>
            <w:hideMark/>
          </w:tcPr>
          <w:p w:rsidR="005432A2" w:rsidRPr="005432A2" w:rsidP="005432A2" w14:paraId="2CE0B1DF" w14:textId="77777777">
            <w:pPr>
              <w:jc w:val="center"/>
              <w:rPr>
                <w:rFonts w:ascii="Calibri" w:hAnsi="Calibri" w:cs="Calibri"/>
                <w:b/>
                <w:bCs/>
                <w:color w:val="000000"/>
                <w:sz w:val="32"/>
                <w:szCs w:val="32"/>
              </w:rPr>
            </w:pPr>
            <w:r w:rsidRPr="005432A2">
              <w:rPr>
                <w:rFonts w:ascii="Calibri" w:hAnsi="Calibri" w:cs="Calibri"/>
                <w:b/>
                <w:bCs/>
                <w:color w:val="000000"/>
                <w:sz w:val="32"/>
                <w:szCs w:val="32"/>
              </w:rPr>
              <w:t> </w:t>
            </w:r>
          </w:p>
        </w:tc>
        <w:tc>
          <w:tcPr>
            <w:tcW w:w="846" w:type="pct"/>
            <w:tcBorders>
              <w:top w:val="nil"/>
              <w:left w:val="nil"/>
              <w:bottom w:val="nil"/>
              <w:right w:val="nil"/>
            </w:tcBorders>
            <w:shd w:val="clear" w:color="000000" w:fill="FFFFFF"/>
            <w:vAlign w:val="center"/>
            <w:hideMark/>
          </w:tcPr>
          <w:p w:rsidR="005432A2" w:rsidRPr="005432A2" w:rsidP="005432A2" w14:paraId="43148D5B" w14:textId="77777777">
            <w:pPr>
              <w:jc w:val="center"/>
              <w:rPr>
                <w:rFonts w:ascii="Calibri" w:hAnsi="Calibri" w:cs="Calibri"/>
                <w:b/>
                <w:bCs/>
                <w:color w:val="000000"/>
                <w:sz w:val="32"/>
                <w:szCs w:val="32"/>
              </w:rPr>
            </w:pPr>
            <w:r w:rsidRPr="005432A2">
              <w:rPr>
                <w:rFonts w:ascii="Calibri" w:hAnsi="Calibri" w:cs="Calibri"/>
                <w:b/>
                <w:bCs/>
                <w:color w:val="000000"/>
                <w:sz w:val="32"/>
                <w:szCs w:val="32"/>
              </w:rPr>
              <w:t> </w:t>
            </w:r>
          </w:p>
        </w:tc>
        <w:tc>
          <w:tcPr>
            <w:tcW w:w="361" w:type="pct"/>
            <w:tcBorders>
              <w:top w:val="nil"/>
              <w:left w:val="nil"/>
              <w:bottom w:val="nil"/>
              <w:right w:val="nil"/>
            </w:tcBorders>
            <w:shd w:val="clear" w:color="000000" w:fill="FFFFFF"/>
            <w:vAlign w:val="center"/>
            <w:hideMark/>
          </w:tcPr>
          <w:p w:rsidR="005432A2" w:rsidRPr="005432A2" w:rsidP="005432A2" w14:paraId="067FB1A1" w14:textId="77777777">
            <w:pPr>
              <w:jc w:val="center"/>
              <w:rPr>
                <w:rFonts w:ascii="Calibri" w:hAnsi="Calibri" w:cs="Calibri"/>
                <w:b/>
                <w:bCs/>
                <w:color w:val="000000"/>
                <w:sz w:val="32"/>
                <w:szCs w:val="32"/>
              </w:rPr>
            </w:pPr>
            <w:r w:rsidRPr="005432A2">
              <w:rPr>
                <w:rFonts w:ascii="Calibri" w:hAnsi="Calibri" w:cs="Calibri"/>
                <w:b/>
                <w:bCs/>
                <w:color w:val="000000"/>
                <w:sz w:val="32"/>
                <w:szCs w:val="32"/>
              </w:rPr>
              <w:t> </w:t>
            </w:r>
          </w:p>
        </w:tc>
        <w:tc>
          <w:tcPr>
            <w:tcW w:w="361" w:type="pct"/>
            <w:tcBorders>
              <w:top w:val="nil"/>
              <w:left w:val="nil"/>
              <w:bottom w:val="nil"/>
              <w:right w:val="nil"/>
            </w:tcBorders>
            <w:shd w:val="clear" w:color="000000" w:fill="FFFFFF"/>
            <w:vAlign w:val="center"/>
            <w:hideMark/>
          </w:tcPr>
          <w:p w:rsidR="005432A2" w:rsidRPr="005432A2" w:rsidP="005432A2" w14:paraId="6BCE3199" w14:textId="77777777">
            <w:pPr>
              <w:jc w:val="center"/>
              <w:rPr>
                <w:rFonts w:ascii="Calibri" w:hAnsi="Calibri" w:cs="Calibri"/>
                <w:b/>
                <w:bCs/>
                <w:color w:val="000000"/>
                <w:sz w:val="32"/>
                <w:szCs w:val="32"/>
              </w:rPr>
            </w:pPr>
            <w:r w:rsidRPr="005432A2">
              <w:rPr>
                <w:rFonts w:ascii="Calibri" w:hAnsi="Calibri" w:cs="Calibri"/>
                <w:b/>
                <w:bCs/>
                <w:color w:val="000000"/>
                <w:sz w:val="32"/>
                <w:szCs w:val="32"/>
              </w:rPr>
              <w:t> </w:t>
            </w:r>
          </w:p>
        </w:tc>
        <w:tc>
          <w:tcPr>
            <w:tcW w:w="361" w:type="pct"/>
            <w:tcBorders>
              <w:top w:val="nil"/>
              <w:left w:val="nil"/>
              <w:bottom w:val="nil"/>
              <w:right w:val="nil"/>
            </w:tcBorders>
            <w:shd w:val="clear" w:color="000000" w:fill="FFFFFF"/>
            <w:vAlign w:val="center"/>
            <w:hideMark/>
          </w:tcPr>
          <w:p w:rsidR="005432A2" w:rsidRPr="005432A2" w:rsidP="005432A2" w14:paraId="605198B1" w14:textId="00C04DD2">
            <w:pPr>
              <w:jc w:val="center"/>
              <w:rPr>
                <w:rFonts w:ascii="Calibri" w:hAnsi="Calibri" w:cs="Calibri"/>
                <w:b/>
                <w:bCs/>
                <w:color w:val="000000"/>
                <w:sz w:val="32"/>
                <w:szCs w:val="32"/>
              </w:rPr>
            </w:pPr>
          </w:p>
        </w:tc>
        <w:tc>
          <w:tcPr>
            <w:tcW w:w="361" w:type="pct"/>
            <w:tcBorders>
              <w:top w:val="nil"/>
              <w:left w:val="nil"/>
              <w:bottom w:val="nil"/>
              <w:right w:val="nil"/>
            </w:tcBorders>
            <w:shd w:val="clear" w:color="000000" w:fill="FFFFFF"/>
            <w:vAlign w:val="center"/>
            <w:hideMark/>
          </w:tcPr>
          <w:p w:rsidR="005432A2" w:rsidRPr="005432A2" w:rsidP="005432A2" w14:paraId="355B9D89" w14:textId="77777777">
            <w:pPr>
              <w:jc w:val="center"/>
              <w:rPr>
                <w:rFonts w:ascii="Calibri" w:hAnsi="Calibri" w:cs="Calibri"/>
                <w:b/>
                <w:bCs/>
                <w:color w:val="000000"/>
                <w:sz w:val="32"/>
                <w:szCs w:val="32"/>
              </w:rPr>
            </w:pPr>
            <w:r w:rsidRPr="005432A2">
              <w:rPr>
                <w:rFonts w:ascii="Calibri" w:hAnsi="Calibri" w:cs="Calibri"/>
                <w:b/>
                <w:bCs/>
                <w:color w:val="000000"/>
                <w:sz w:val="32"/>
                <w:szCs w:val="32"/>
              </w:rPr>
              <w:t> </w:t>
            </w:r>
          </w:p>
        </w:tc>
        <w:tc>
          <w:tcPr>
            <w:tcW w:w="361" w:type="pct"/>
            <w:tcBorders>
              <w:top w:val="nil"/>
              <w:left w:val="nil"/>
              <w:bottom w:val="nil"/>
              <w:right w:val="nil"/>
            </w:tcBorders>
            <w:shd w:val="clear" w:color="000000" w:fill="FFFFFF"/>
            <w:vAlign w:val="center"/>
            <w:hideMark/>
          </w:tcPr>
          <w:p w:rsidR="005432A2" w:rsidRPr="005432A2" w:rsidP="005432A2" w14:paraId="16B76571" w14:textId="77777777">
            <w:pPr>
              <w:jc w:val="center"/>
              <w:rPr>
                <w:rFonts w:ascii="Calibri" w:hAnsi="Calibri" w:cs="Calibri"/>
                <w:b/>
                <w:bCs/>
                <w:color w:val="000000"/>
                <w:sz w:val="32"/>
                <w:szCs w:val="32"/>
              </w:rPr>
            </w:pPr>
            <w:r w:rsidRPr="005432A2">
              <w:rPr>
                <w:rFonts w:ascii="Calibri" w:hAnsi="Calibri" w:cs="Calibri"/>
                <w:b/>
                <w:bCs/>
                <w:color w:val="000000"/>
                <w:sz w:val="32"/>
                <w:szCs w:val="32"/>
              </w:rPr>
              <w:t> </w:t>
            </w:r>
          </w:p>
        </w:tc>
        <w:tc>
          <w:tcPr>
            <w:tcW w:w="361" w:type="pct"/>
            <w:tcBorders>
              <w:top w:val="nil"/>
              <w:left w:val="nil"/>
              <w:bottom w:val="nil"/>
              <w:right w:val="nil"/>
            </w:tcBorders>
            <w:shd w:val="clear" w:color="000000" w:fill="FFFFFF"/>
            <w:vAlign w:val="center"/>
            <w:hideMark/>
          </w:tcPr>
          <w:p w:rsidR="005432A2" w:rsidRPr="005432A2" w:rsidP="005432A2" w14:paraId="14BB5D45" w14:textId="77777777">
            <w:pPr>
              <w:jc w:val="center"/>
              <w:rPr>
                <w:rFonts w:ascii="Calibri" w:hAnsi="Calibri" w:cs="Calibri"/>
                <w:b/>
                <w:bCs/>
                <w:color w:val="000000"/>
                <w:sz w:val="32"/>
                <w:szCs w:val="32"/>
              </w:rPr>
            </w:pPr>
            <w:r w:rsidRPr="005432A2">
              <w:rPr>
                <w:rFonts w:ascii="Calibri" w:hAnsi="Calibri" w:cs="Calibri"/>
                <w:b/>
                <w:bCs/>
                <w:color w:val="000000"/>
                <w:sz w:val="32"/>
                <w:szCs w:val="32"/>
              </w:rPr>
              <w:t> </w:t>
            </w:r>
          </w:p>
        </w:tc>
        <w:tc>
          <w:tcPr>
            <w:tcW w:w="361" w:type="pct"/>
            <w:tcBorders>
              <w:top w:val="nil"/>
              <w:left w:val="nil"/>
              <w:bottom w:val="nil"/>
              <w:right w:val="nil"/>
            </w:tcBorders>
            <w:shd w:val="clear" w:color="000000" w:fill="FFFFFF"/>
            <w:vAlign w:val="center"/>
            <w:hideMark/>
          </w:tcPr>
          <w:p w:rsidR="005432A2" w:rsidRPr="005432A2" w:rsidP="005432A2" w14:paraId="72F5E2E6" w14:textId="77777777">
            <w:pPr>
              <w:jc w:val="center"/>
              <w:rPr>
                <w:rFonts w:ascii="Calibri" w:hAnsi="Calibri" w:cs="Calibri"/>
                <w:b/>
                <w:bCs/>
                <w:color w:val="000000"/>
                <w:sz w:val="32"/>
                <w:szCs w:val="32"/>
              </w:rPr>
            </w:pPr>
            <w:r w:rsidRPr="005432A2">
              <w:rPr>
                <w:rFonts w:ascii="Calibri" w:hAnsi="Calibri" w:cs="Calibri"/>
                <w:b/>
                <w:bCs/>
                <w:color w:val="000000"/>
                <w:sz w:val="32"/>
                <w:szCs w:val="32"/>
              </w:rPr>
              <w:t> </w:t>
            </w:r>
          </w:p>
        </w:tc>
        <w:tc>
          <w:tcPr>
            <w:tcW w:w="361" w:type="pct"/>
            <w:tcBorders>
              <w:top w:val="nil"/>
              <w:left w:val="nil"/>
              <w:bottom w:val="nil"/>
              <w:right w:val="nil"/>
            </w:tcBorders>
            <w:shd w:val="clear" w:color="000000" w:fill="FFFFFF"/>
            <w:vAlign w:val="center"/>
            <w:hideMark/>
          </w:tcPr>
          <w:p w:rsidR="005432A2" w:rsidRPr="005432A2" w:rsidP="005432A2" w14:paraId="5E0E92A8" w14:textId="77777777">
            <w:pPr>
              <w:jc w:val="center"/>
              <w:rPr>
                <w:rFonts w:ascii="Calibri" w:hAnsi="Calibri" w:cs="Calibri"/>
                <w:b/>
                <w:bCs/>
                <w:color w:val="000000"/>
                <w:sz w:val="32"/>
                <w:szCs w:val="32"/>
              </w:rPr>
            </w:pPr>
            <w:r w:rsidRPr="005432A2">
              <w:rPr>
                <w:rFonts w:ascii="Calibri" w:hAnsi="Calibri" w:cs="Calibri"/>
                <w:b/>
                <w:bCs/>
                <w:color w:val="000000"/>
                <w:sz w:val="32"/>
                <w:szCs w:val="32"/>
              </w:rPr>
              <w:t> </w:t>
            </w:r>
          </w:p>
        </w:tc>
        <w:tc>
          <w:tcPr>
            <w:tcW w:w="361" w:type="pct"/>
            <w:tcBorders>
              <w:top w:val="nil"/>
              <w:left w:val="nil"/>
              <w:bottom w:val="nil"/>
              <w:right w:val="nil"/>
            </w:tcBorders>
            <w:shd w:val="clear" w:color="000000" w:fill="FFFFFF"/>
            <w:vAlign w:val="center"/>
            <w:hideMark/>
          </w:tcPr>
          <w:p w:rsidR="005432A2" w:rsidRPr="005432A2" w:rsidP="005432A2" w14:paraId="701D0FAB" w14:textId="77777777">
            <w:pPr>
              <w:jc w:val="center"/>
              <w:rPr>
                <w:rFonts w:ascii="Calibri" w:hAnsi="Calibri" w:cs="Calibri"/>
                <w:b/>
                <w:bCs/>
                <w:color w:val="000000"/>
                <w:sz w:val="32"/>
                <w:szCs w:val="32"/>
              </w:rPr>
            </w:pPr>
            <w:r w:rsidRPr="005432A2">
              <w:rPr>
                <w:rFonts w:ascii="Calibri" w:hAnsi="Calibri" w:cs="Calibri"/>
                <w:b/>
                <w:bCs/>
                <w:color w:val="000000"/>
                <w:sz w:val="32"/>
                <w:szCs w:val="32"/>
              </w:rPr>
              <w:t> </w:t>
            </w:r>
          </w:p>
        </w:tc>
        <w:tc>
          <w:tcPr>
            <w:tcW w:w="361" w:type="pct"/>
            <w:tcBorders>
              <w:top w:val="nil"/>
              <w:left w:val="nil"/>
              <w:bottom w:val="nil"/>
              <w:right w:val="nil"/>
            </w:tcBorders>
            <w:shd w:val="clear" w:color="000000" w:fill="FFFFFF"/>
            <w:vAlign w:val="center"/>
            <w:hideMark/>
          </w:tcPr>
          <w:p w:rsidR="005432A2" w:rsidRPr="005432A2" w:rsidP="005432A2" w14:paraId="25EF0EC1" w14:textId="77777777">
            <w:pPr>
              <w:jc w:val="center"/>
              <w:rPr>
                <w:rFonts w:ascii="Calibri" w:hAnsi="Calibri" w:cs="Calibri"/>
                <w:b/>
                <w:bCs/>
                <w:color w:val="000000"/>
                <w:sz w:val="32"/>
                <w:szCs w:val="32"/>
              </w:rPr>
            </w:pPr>
            <w:r w:rsidRPr="005432A2">
              <w:rPr>
                <w:rFonts w:ascii="Calibri" w:hAnsi="Calibri" w:cs="Calibri"/>
                <w:b/>
                <w:bCs/>
                <w:color w:val="000000"/>
                <w:sz w:val="32"/>
                <w:szCs w:val="32"/>
              </w:rPr>
              <w:t> </w:t>
            </w:r>
          </w:p>
        </w:tc>
        <w:tc>
          <w:tcPr>
            <w:tcW w:w="361" w:type="pct"/>
            <w:tcBorders>
              <w:top w:val="nil"/>
              <w:left w:val="nil"/>
              <w:bottom w:val="nil"/>
              <w:right w:val="nil"/>
            </w:tcBorders>
            <w:shd w:val="clear" w:color="000000" w:fill="FFFFFF"/>
            <w:vAlign w:val="center"/>
            <w:hideMark/>
          </w:tcPr>
          <w:p w:rsidR="005432A2" w:rsidRPr="005432A2" w:rsidP="005432A2" w14:paraId="5F15D0DD" w14:textId="77777777">
            <w:pPr>
              <w:jc w:val="center"/>
              <w:rPr>
                <w:rFonts w:ascii="Calibri" w:hAnsi="Calibri" w:cs="Calibri"/>
                <w:b/>
                <w:bCs/>
                <w:color w:val="000000"/>
                <w:sz w:val="32"/>
                <w:szCs w:val="32"/>
              </w:rPr>
            </w:pPr>
            <w:r w:rsidRPr="005432A2">
              <w:rPr>
                <w:rFonts w:ascii="Calibri" w:hAnsi="Calibri" w:cs="Calibri"/>
                <w:b/>
                <w:bCs/>
                <w:color w:val="000000"/>
                <w:sz w:val="32"/>
                <w:szCs w:val="32"/>
              </w:rPr>
              <w:t> </w:t>
            </w:r>
          </w:p>
        </w:tc>
      </w:tr>
      <w:tr w14:paraId="6A004904" w14:textId="77777777">
        <w:tblPrEx>
          <w:tblW w:w="5000" w:type="pct"/>
          <w:tblLook w:val="04A0"/>
        </w:tblPrEx>
        <w:trPr>
          <w:trHeight w:val="330"/>
        </w:trPr>
        <w:tc>
          <w:tcPr>
            <w:tcW w:w="186" w:type="pct"/>
            <w:tcBorders>
              <w:top w:val="nil"/>
              <w:left w:val="nil"/>
              <w:bottom w:val="nil"/>
              <w:right w:val="nil"/>
            </w:tcBorders>
            <w:noWrap/>
            <w:vAlign w:val="bottom"/>
            <w:hideMark/>
          </w:tcPr>
          <w:p w:rsidR="005432A2" w:rsidRPr="005432A2" w:rsidP="005432A2" w14:paraId="3FB82BA2" w14:textId="77777777">
            <w:pPr>
              <w:jc w:val="center"/>
              <w:rPr>
                <w:rFonts w:ascii="Calibri" w:hAnsi="Calibri" w:cs="Calibri"/>
                <w:b/>
                <w:bCs/>
                <w:color w:val="000000"/>
                <w:sz w:val="32"/>
                <w:szCs w:val="32"/>
              </w:rPr>
            </w:pPr>
          </w:p>
        </w:tc>
        <w:tc>
          <w:tcPr>
            <w:tcW w:w="846" w:type="pct"/>
            <w:tcBorders>
              <w:top w:val="nil"/>
              <w:left w:val="nil"/>
              <w:bottom w:val="nil"/>
              <w:right w:val="nil"/>
            </w:tcBorders>
            <w:vAlign w:val="bottom"/>
            <w:hideMark/>
          </w:tcPr>
          <w:p w:rsidR="005432A2" w:rsidRPr="005432A2" w:rsidP="005432A2" w14:paraId="176EC95C" w14:textId="77777777">
            <w:pPr>
              <w:rPr>
                <w:sz w:val="20"/>
                <w:szCs w:val="20"/>
              </w:rPr>
            </w:pPr>
          </w:p>
        </w:tc>
        <w:tc>
          <w:tcPr>
            <w:tcW w:w="361" w:type="pct"/>
            <w:tcBorders>
              <w:top w:val="single" w:sz="8" w:space="0" w:color="auto"/>
              <w:left w:val="single" w:sz="8" w:space="0" w:color="auto"/>
              <w:bottom w:val="nil"/>
              <w:right w:val="single" w:sz="8" w:space="0" w:color="auto"/>
            </w:tcBorders>
            <w:shd w:val="clear" w:color="000000" w:fill="EDEDED"/>
            <w:vAlign w:val="center"/>
            <w:hideMark/>
          </w:tcPr>
          <w:p w:rsidR="005432A2" w:rsidRPr="005432A2" w:rsidP="005432A2" w14:paraId="102F8A4B" w14:textId="77777777">
            <w:pPr>
              <w:jc w:val="center"/>
              <w:rPr>
                <w:rFonts w:ascii="Calibri" w:hAnsi="Calibri" w:cs="Calibri"/>
                <w:b/>
                <w:bCs/>
                <w:sz w:val="12"/>
                <w:szCs w:val="12"/>
              </w:rPr>
            </w:pPr>
            <w:r w:rsidRPr="005432A2">
              <w:rPr>
                <w:rFonts w:ascii="Calibri" w:hAnsi="Calibri" w:cs="Calibri"/>
                <w:b/>
                <w:bCs/>
                <w:sz w:val="12"/>
                <w:szCs w:val="12"/>
              </w:rPr>
              <w:t>2026</w:t>
            </w:r>
          </w:p>
        </w:tc>
        <w:tc>
          <w:tcPr>
            <w:tcW w:w="361" w:type="pct"/>
            <w:tcBorders>
              <w:top w:val="single" w:sz="8" w:space="0" w:color="auto"/>
              <w:left w:val="nil"/>
              <w:bottom w:val="nil"/>
              <w:right w:val="single" w:sz="8" w:space="0" w:color="auto"/>
            </w:tcBorders>
            <w:shd w:val="clear" w:color="000000" w:fill="EDEDED"/>
            <w:vAlign w:val="center"/>
            <w:hideMark/>
          </w:tcPr>
          <w:p w:rsidR="005432A2" w:rsidRPr="005432A2" w:rsidP="005432A2" w14:paraId="0AD917BF" w14:textId="77777777">
            <w:pPr>
              <w:jc w:val="center"/>
              <w:rPr>
                <w:rFonts w:ascii="Calibri" w:hAnsi="Calibri" w:cs="Calibri"/>
                <w:b/>
                <w:bCs/>
                <w:sz w:val="12"/>
                <w:szCs w:val="12"/>
              </w:rPr>
            </w:pPr>
            <w:r w:rsidRPr="005432A2">
              <w:rPr>
                <w:rFonts w:ascii="Calibri" w:hAnsi="Calibri" w:cs="Calibri"/>
                <w:b/>
                <w:bCs/>
                <w:sz w:val="12"/>
                <w:szCs w:val="12"/>
              </w:rPr>
              <w:t>2027</w:t>
            </w:r>
          </w:p>
        </w:tc>
        <w:tc>
          <w:tcPr>
            <w:tcW w:w="361" w:type="pct"/>
            <w:tcBorders>
              <w:top w:val="single" w:sz="8" w:space="0" w:color="auto"/>
              <w:left w:val="nil"/>
              <w:bottom w:val="nil"/>
              <w:right w:val="single" w:sz="8" w:space="0" w:color="auto"/>
            </w:tcBorders>
            <w:shd w:val="clear" w:color="000000" w:fill="EDEDED"/>
            <w:vAlign w:val="center"/>
            <w:hideMark/>
          </w:tcPr>
          <w:p w:rsidR="005432A2" w:rsidRPr="005432A2" w:rsidP="005432A2" w14:paraId="4570AC37" w14:textId="77777777">
            <w:pPr>
              <w:jc w:val="center"/>
              <w:rPr>
                <w:rFonts w:ascii="Calibri" w:hAnsi="Calibri" w:cs="Calibri"/>
                <w:b/>
                <w:bCs/>
                <w:sz w:val="12"/>
                <w:szCs w:val="12"/>
              </w:rPr>
            </w:pPr>
            <w:r w:rsidRPr="005432A2">
              <w:rPr>
                <w:rFonts w:ascii="Calibri" w:hAnsi="Calibri" w:cs="Calibri"/>
                <w:b/>
                <w:bCs/>
                <w:sz w:val="12"/>
                <w:szCs w:val="12"/>
              </w:rPr>
              <w:t>2028</w:t>
            </w:r>
          </w:p>
        </w:tc>
        <w:tc>
          <w:tcPr>
            <w:tcW w:w="361" w:type="pct"/>
            <w:tcBorders>
              <w:top w:val="single" w:sz="8" w:space="0" w:color="auto"/>
              <w:left w:val="nil"/>
              <w:bottom w:val="nil"/>
              <w:right w:val="single" w:sz="8" w:space="0" w:color="auto"/>
            </w:tcBorders>
            <w:shd w:val="clear" w:color="000000" w:fill="EDEDED"/>
            <w:vAlign w:val="center"/>
            <w:hideMark/>
          </w:tcPr>
          <w:p w:rsidR="005432A2" w:rsidRPr="005432A2" w:rsidP="005432A2" w14:paraId="0E8B8BCE" w14:textId="77777777">
            <w:pPr>
              <w:jc w:val="center"/>
              <w:rPr>
                <w:rFonts w:ascii="Calibri" w:hAnsi="Calibri" w:cs="Calibri"/>
                <w:b/>
                <w:bCs/>
                <w:sz w:val="12"/>
                <w:szCs w:val="12"/>
              </w:rPr>
            </w:pPr>
            <w:r w:rsidRPr="005432A2">
              <w:rPr>
                <w:rFonts w:ascii="Calibri" w:hAnsi="Calibri" w:cs="Calibri"/>
                <w:b/>
                <w:bCs/>
                <w:sz w:val="12"/>
                <w:szCs w:val="12"/>
              </w:rPr>
              <w:t>2029</w:t>
            </w:r>
          </w:p>
        </w:tc>
        <w:tc>
          <w:tcPr>
            <w:tcW w:w="361" w:type="pct"/>
            <w:tcBorders>
              <w:top w:val="single" w:sz="8" w:space="0" w:color="auto"/>
              <w:left w:val="nil"/>
              <w:bottom w:val="nil"/>
              <w:right w:val="single" w:sz="8" w:space="0" w:color="auto"/>
            </w:tcBorders>
            <w:shd w:val="clear" w:color="000000" w:fill="EDEDED"/>
            <w:vAlign w:val="center"/>
            <w:hideMark/>
          </w:tcPr>
          <w:p w:rsidR="005432A2" w:rsidRPr="005432A2" w:rsidP="005432A2" w14:paraId="1A7F1ECD" w14:textId="77777777">
            <w:pPr>
              <w:jc w:val="center"/>
              <w:rPr>
                <w:rFonts w:ascii="Calibri" w:hAnsi="Calibri" w:cs="Calibri"/>
                <w:b/>
                <w:bCs/>
                <w:sz w:val="12"/>
                <w:szCs w:val="12"/>
              </w:rPr>
            </w:pPr>
            <w:r w:rsidRPr="005432A2">
              <w:rPr>
                <w:rFonts w:ascii="Calibri" w:hAnsi="Calibri" w:cs="Calibri"/>
                <w:b/>
                <w:bCs/>
                <w:sz w:val="12"/>
                <w:szCs w:val="12"/>
              </w:rPr>
              <w:t>2030</w:t>
            </w:r>
          </w:p>
        </w:tc>
        <w:tc>
          <w:tcPr>
            <w:tcW w:w="361" w:type="pct"/>
            <w:tcBorders>
              <w:top w:val="single" w:sz="8" w:space="0" w:color="auto"/>
              <w:left w:val="nil"/>
              <w:bottom w:val="nil"/>
              <w:right w:val="single" w:sz="8" w:space="0" w:color="auto"/>
            </w:tcBorders>
            <w:shd w:val="clear" w:color="000000" w:fill="EDEDED"/>
            <w:vAlign w:val="center"/>
            <w:hideMark/>
          </w:tcPr>
          <w:p w:rsidR="005432A2" w:rsidRPr="005432A2" w:rsidP="005432A2" w14:paraId="19CD6475" w14:textId="77777777">
            <w:pPr>
              <w:jc w:val="center"/>
              <w:rPr>
                <w:rFonts w:ascii="Calibri" w:hAnsi="Calibri" w:cs="Calibri"/>
                <w:b/>
                <w:bCs/>
                <w:sz w:val="12"/>
                <w:szCs w:val="12"/>
              </w:rPr>
            </w:pPr>
            <w:r w:rsidRPr="005432A2">
              <w:rPr>
                <w:rFonts w:ascii="Calibri" w:hAnsi="Calibri" w:cs="Calibri"/>
                <w:b/>
                <w:bCs/>
                <w:sz w:val="12"/>
                <w:szCs w:val="12"/>
              </w:rPr>
              <w:t>2031</w:t>
            </w:r>
          </w:p>
        </w:tc>
        <w:tc>
          <w:tcPr>
            <w:tcW w:w="361" w:type="pct"/>
            <w:tcBorders>
              <w:top w:val="single" w:sz="8" w:space="0" w:color="auto"/>
              <w:left w:val="nil"/>
              <w:bottom w:val="nil"/>
              <w:right w:val="single" w:sz="8" w:space="0" w:color="auto"/>
            </w:tcBorders>
            <w:shd w:val="clear" w:color="000000" w:fill="EDEDED"/>
            <w:vAlign w:val="center"/>
            <w:hideMark/>
          </w:tcPr>
          <w:p w:rsidR="005432A2" w:rsidRPr="005432A2" w:rsidP="005432A2" w14:paraId="7793A901" w14:textId="77777777">
            <w:pPr>
              <w:jc w:val="center"/>
              <w:rPr>
                <w:rFonts w:ascii="Calibri" w:hAnsi="Calibri" w:cs="Calibri"/>
                <w:b/>
                <w:bCs/>
                <w:sz w:val="12"/>
                <w:szCs w:val="12"/>
              </w:rPr>
            </w:pPr>
            <w:r w:rsidRPr="005432A2">
              <w:rPr>
                <w:rFonts w:ascii="Calibri" w:hAnsi="Calibri" w:cs="Calibri"/>
                <w:b/>
                <w:bCs/>
                <w:sz w:val="12"/>
                <w:szCs w:val="12"/>
              </w:rPr>
              <w:t>2032</w:t>
            </w:r>
          </w:p>
        </w:tc>
        <w:tc>
          <w:tcPr>
            <w:tcW w:w="361" w:type="pct"/>
            <w:tcBorders>
              <w:top w:val="single" w:sz="8" w:space="0" w:color="auto"/>
              <w:left w:val="nil"/>
              <w:bottom w:val="nil"/>
              <w:right w:val="single" w:sz="8" w:space="0" w:color="auto"/>
            </w:tcBorders>
            <w:shd w:val="clear" w:color="000000" w:fill="EDEDED"/>
            <w:vAlign w:val="center"/>
            <w:hideMark/>
          </w:tcPr>
          <w:p w:rsidR="005432A2" w:rsidRPr="005432A2" w:rsidP="005432A2" w14:paraId="76C776A8" w14:textId="77777777">
            <w:pPr>
              <w:jc w:val="center"/>
              <w:rPr>
                <w:rFonts w:ascii="Calibri" w:hAnsi="Calibri" w:cs="Calibri"/>
                <w:b/>
                <w:bCs/>
                <w:sz w:val="12"/>
                <w:szCs w:val="12"/>
              </w:rPr>
            </w:pPr>
            <w:r w:rsidRPr="005432A2">
              <w:rPr>
                <w:rFonts w:ascii="Calibri" w:hAnsi="Calibri" w:cs="Calibri"/>
                <w:b/>
                <w:bCs/>
                <w:sz w:val="12"/>
                <w:szCs w:val="12"/>
              </w:rPr>
              <w:t>2033</w:t>
            </w:r>
          </w:p>
        </w:tc>
        <w:tc>
          <w:tcPr>
            <w:tcW w:w="361" w:type="pct"/>
            <w:tcBorders>
              <w:top w:val="single" w:sz="8" w:space="0" w:color="auto"/>
              <w:left w:val="nil"/>
              <w:bottom w:val="nil"/>
              <w:right w:val="single" w:sz="8" w:space="0" w:color="auto"/>
            </w:tcBorders>
            <w:shd w:val="clear" w:color="000000" w:fill="EDEDED"/>
            <w:vAlign w:val="center"/>
            <w:hideMark/>
          </w:tcPr>
          <w:p w:rsidR="005432A2" w:rsidRPr="005432A2" w:rsidP="005432A2" w14:paraId="5D200F6E" w14:textId="77777777">
            <w:pPr>
              <w:jc w:val="center"/>
              <w:rPr>
                <w:rFonts w:ascii="Calibri" w:hAnsi="Calibri" w:cs="Calibri"/>
                <w:b/>
                <w:bCs/>
                <w:sz w:val="12"/>
                <w:szCs w:val="12"/>
              </w:rPr>
            </w:pPr>
            <w:r w:rsidRPr="005432A2">
              <w:rPr>
                <w:rFonts w:ascii="Calibri" w:hAnsi="Calibri" w:cs="Calibri"/>
                <w:b/>
                <w:bCs/>
                <w:sz w:val="12"/>
                <w:szCs w:val="12"/>
              </w:rPr>
              <w:t>2034</w:t>
            </w:r>
          </w:p>
        </w:tc>
        <w:tc>
          <w:tcPr>
            <w:tcW w:w="361" w:type="pct"/>
            <w:tcBorders>
              <w:top w:val="single" w:sz="8" w:space="0" w:color="auto"/>
              <w:left w:val="nil"/>
              <w:bottom w:val="nil"/>
              <w:right w:val="single" w:sz="8" w:space="0" w:color="auto"/>
            </w:tcBorders>
            <w:shd w:val="clear" w:color="000000" w:fill="EDEDED"/>
            <w:vAlign w:val="center"/>
            <w:hideMark/>
          </w:tcPr>
          <w:p w:rsidR="005432A2" w:rsidRPr="005432A2" w:rsidP="005432A2" w14:paraId="31FCC74D" w14:textId="77777777">
            <w:pPr>
              <w:jc w:val="center"/>
              <w:rPr>
                <w:rFonts w:ascii="Calibri" w:hAnsi="Calibri" w:cs="Calibri"/>
                <w:b/>
                <w:bCs/>
                <w:sz w:val="12"/>
                <w:szCs w:val="12"/>
              </w:rPr>
            </w:pPr>
            <w:r w:rsidRPr="005432A2">
              <w:rPr>
                <w:rFonts w:ascii="Calibri" w:hAnsi="Calibri" w:cs="Calibri"/>
                <w:b/>
                <w:bCs/>
                <w:sz w:val="12"/>
                <w:szCs w:val="12"/>
              </w:rPr>
              <w:t>2035</w:t>
            </w:r>
          </w:p>
        </w:tc>
        <w:tc>
          <w:tcPr>
            <w:tcW w:w="361" w:type="pct"/>
            <w:tcBorders>
              <w:top w:val="single" w:sz="8" w:space="0" w:color="auto"/>
              <w:left w:val="nil"/>
              <w:bottom w:val="nil"/>
              <w:right w:val="single" w:sz="8" w:space="0" w:color="auto"/>
            </w:tcBorders>
            <w:shd w:val="clear" w:color="000000" w:fill="EDEDED"/>
            <w:vAlign w:val="center"/>
            <w:hideMark/>
          </w:tcPr>
          <w:p w:rsidR="005432A2" w:rsidRPr="005432A2" w:rsidP="005432A2" w14:paraId="4976B4BB" w14:textId="77777777">
            <w:pPr>
              <w:jc w:val="center"/>
              <w:rPr>
                <w:rFonts w:ascii="Calibri" w:hAnsi="Calibri" w:cs="Calibri"/>
                <w:b/>
                <w:bCs/>
                <w:sz w:val="12"/>
                <w:szCs w:val="12"/>
              </w:rPr>
            </w:pPr>
            <w:r w:rsidRPr="005432A2">
              <w:rPr>
                <w:rFonts w:ascii="Calibri" w:hAnsi="Calibri" w:cs="Calibri"/>
                <w:b/>
                <w:bCs/>
                <w:sz w:val="12"/>
                <w:szCs w:val="12"/>
              </w:rPr>
              <w:t>2035</w:t>
            </w:r>
          </w:p>
        </w:tc>
      </w:tr>
      <w:tr w14:paraId="0E1C5C56" w14:textId="77777777">
        <w:tblPrEx>
          <w:tblW w:w="5000" w:type="pct"/>
          <w:tblLook w:val="04A0"/>
        </w:tblPrEx>
        <w:trPr>
          <w:trHeight w:val="645"/>
        </w:trPr>
        <w:tc>
          <w:tcPr>
            <w:tcW w:w="186" w:type="pct"/>
            <w:tcBorders>
              <w:top w:val="nil"/>
              <w:left w:val="nil"/>
              <w:bottom w:val="nil"/>
              <w:right w:val="nil"/>
            </w:tcBorders>
            <w:noWrap/>
            <w:vAlign w:val="center"/>
            <w:hideMark/>
          </w:tcPr>
          <w:p w:rsidR="005432A2" w:rsidRPr="005432A2" w:rsidP="005432A2" w14:paraId="27FE0B8D" w14:textId="77777777">
            <w:pPr>
              <w:jc w:val="center"/>
              <w:rPr>
                <w:rFonts w:ascii="Calibri" w:hAnsi="Calibri" w:cs="Calibri"/>
                <w:b/>
                <w:bCs/>
                <w:sz w:val="8"/>
                <w:szCs w:val="8"/>
              </w:rPr>
            </w:pPr>
          </w:p>
        </w:tc>
        <w:tc>
          <w:tcPr>
            <w:tcW w:w="846" w:type="pct"/>
            <w:tcBorders>
              <w:top w:val="single" w:sz="8" w:space="0" w:color="auto"/>
              <w:left w:val="single" w:sz="8" w:space="0" w:color="auto"/>
              <w:bottom w:val="single" w:sz="4" w:space="0" w:color="auto"/>
              <w:right w:val="nil"/>
            </w:tcBorders>
            <w:vAlign w:val="center"/>
            <w:hideMark/>
          </w:tcPr>
          <w:p w:rsidR="005432A2" w:rsidRPr="005432A2" w:rsidP="005432A2" w14:paraId="580DE5AE" w14:textId="77777777">
            <w:pPr>
              <w:rPr>
                <w:rFonts w:ascii="Calibri" w:hAnsi="Calibri" w:cs="Calibri"/>
                <w:color w:val="000000"/>
                <w:sz w:val="8"/>
                <w:szCs w:val="8"/>
              </w:rPr>
            </w:pPr>
            <w:r w:rsidRPr="005432A2">
              <w:rPr>
                <w:rFonts w:ascii="Calibri" w:hAnsi="Calibri" w:cs="Calibri"/>
                <w:color w:val="000000"/>
                <w:sz w:val="8"/>
                <w:szCs w:val="8"/>
              </w:rPr>
              <w:t>Personale non direttivo e non dirigente ordinari</w:t>
            </w:r>
          </w:p>
        </w:tc>
        <w:tc>
          <w:tcPr>
            <w:tcW w:w="361" w:type="pct"/>
            <w:tcBorders>
              <w:top w:val="single" w:sz="8" w:space="0" w:color="auto"/>
              <w:left w:val="single" w:sz="8" w:space="0" w:color="auto"/>
              <w:bottom w:val="single" w:sz="4" w:space="0" w:color="auto"/>
              <w:right w:val="single" w:sz="4" w:space="0" w:color="auto"/>
            </w:tcBorders>
            <w:noWrap/>
            <w:vAlign w:val="center"/>
            <w:hideMark/>
          </w:tcPr>
          <w:p w:rsidR="005432A2" w:rsidRPr="005432A2" w:rsidP="005432A2" w14:paraId="28312CAA" w14:textId="77777777">
            <w:pPr>
              <w:jc w:val="right"/>
              <w:rPr>
                <w:rFonts w:ascii="Calibri" w:hAnsi="Calibri" w:cs="Calibri"/>
                <w:color w:val="000000"/>
                <w:sz w:val="12"/>
                <w:szCs w:val="12"/>
              </w:rPr>
            </w:pPr>
            <w:r w:rsidRPr="005432A2">
              <w:rPr>
                <w:rFonts w:ascii="Calibri" w:hAnsi="Calibri" w:cs="Calibri"/>
                <w:color w:val="000000"/>
                <w:sz w:val="12"/>
                <w:szCs w:val="12"/>
              </w:rPr>
              <w:t>21.520.903,49</w:t>
            </w:r>
          </w:p>
        </w:tc>
        <w:tc>
          <w:tcPr>
            <w:tcW w:w="361" w:type="pct"/>
            <w:tcBorders>
              <w:top w:val="single" w:sz="8" w:space="0" w:color="auto"/>
              <w:left w:val="nil"/>
              <w:bottom w:val="single" w:sz="4" w:space="0" w:color="auto"/>
              <w:right w:val="single" w:sz="4" w:space="0" w:color="auto"/>
            </w:tcBorders>
            <w:noWrap/>
            <w:vAlign w:val="center"/>
            <w:hideMark/>
          </w:tcPr>
          <w:p w:rsidR="005432A2" w:rsidRPr="005432A2" w:rsidP="005432A2" w14:paraId="018B312E" w14:textId="77777777">
            <w:pPr>
              <w:jc w:val="right"/>
              <w:rPr>
                <w:rFonts w:ascii="Calibri" w:hAnsi="Calibri" w:cs="Calibri"/>
                <w:color w:val="000000"/>
                <w:sz w:val="12"/>
                <w:szCs w:val="12"/>
              </w:rPr>
            </w:pPr>
            <w:r w:rsidRPr="005432A2">
              <w:rPr>
                <w:rFonts w:ascii="Calibri" w:hAnsi="Calibri" w:cs="Calibri"/>
                <w:color w:val="000000"/>
                <w:sz w:val="12"/>
                <w:szCs w:val="12"/>
              </w:rPr>
              <w:t>31.307.385,58</w:t>
            </w:r>
          </w:p>
        </w:tc>
        <w:tc>
          <w:tcPr>
            <w:tcW w:w="361" w:type="pct"/>
            <w:tcBorders>
              <w:top w:val="single" w:sz="8" w:space="0" w:color="auto"/>
              <w:left w:val="nil"/>
              <w:bottom w:val="single" w:sz="4" w:space="0" w:color="auto"/>
              <w:right w:val="single" w:sz="4" w:space="0" w:color="auto"/>
            </w:tcBorders>
            <w:noWrap/>
            <w:vAlign w:val="center"/>
            <w:hideMark/>
          </w:tcPr>
          <w:p w:rsidR="005432A2" w:rsidRPr="005432A2" w:rsidP="005432A2" w14:paraId="53EA66C2" w14:textId="77777777">
            <w:pPr>
              <w:jc w:val="right"/>
              <w:rPr>
                <w:rFonts w:ascii="Calibri" w:hAnsi="Calibri" w:cs="Calibri"/>
                <w:color w:val="000000"/>
                <w:sz w:val="12"/>
                <w:szCs w:val="12"/>
              </w:rPr>
            </w:pPr>
            <w:r w:rsidRPr="005432A2">
              <w:rPr>
                <w:rFonts w:ascii="Calibri" w:hAnsi="Calibri" w:cs="Calibri"/>
                <w:color w:val="000000"/>
                <w:sz w:val="12"/>
                <w:szCs w:val="12"/>
              </w:rPr>
              <w:t>33.041.533,44</w:t>
            </w:r>
          </w:p>
        </w:tc>
        <w:tc>
          <w:tcPr>
            <w:tcW w:w="361" w:type="pct"/>
            <w:tcBorders>
              <w:top w:val="single" w:sz="8" w:space="0" w:color="auto"/>
              <w:left w:val="nil"/>
              <w:bottom w:val="single" w:sz="4" w:space="0" w:color="auto"/>
              <w:right w:val="single" w:sz="4" w:space="0" w:color="auto"/>
            </w:tcBorders>
            <w:noWrap/>
            <w:vAlign w:val="center"/>
            <w:hideMark/>
          </w:tcPr>
          <w:p w:rsidR="005432A2" w:rsidRPr="005432A2" w:rsidP="005432A2" w14:paraId="62751165" w14:textId="77777777">
            <w:pPr>
              <w:jc w:val="right"/>
              <w:rPr>
                <w:rFonts w:ascii="Calibri" w:hAnsi="Calibri" w:cs="Calibri"/>
                <w:color w:val="000000"/>
                <w:sz w:val="12"/>
                <w:szCs w:val="12"/>
              </w:rPr>
            </w:pPr>
            <w:r w:rsidRPr="005432A2">
              <w:rPr>
                <w:rFonts w:ascii="Calibri" w:hAnsi="Calibri" w:cs="Calibri"/>
                <w:color w:val="000000"/>
                <w:sz w:val="12"/>
                <w:szCs w:val="12"/>
              </w:rPr>
              <w:t>26.802.226,62</w:t>
            </w:r>
          </w:p>
        </w:tc>
        <w:tc>
          <w:tcPr>
            <w:tcW w:w="361" w:type="pct"/>
            <w:tcBorders>
              <w:top w:val="single" w:sz="8" w:space="0" w:color="auto"/>
              <w:left w:val="nil"/>
              <w:bottom w:val="single" w:sz="4" w:space="0" w:color="auto"/>
              <w:right w:val="single" w:sz="4" w:space="0" w:color="auto"/>
            </w:tcBorders>
            <w:noWrap/>
            <w:vAlign w:val="center"/>
            <w:hideMark/>
          </w:tcPr>
          <w:p w:rsidR="005432A2" w:rsidRPr="005432A2" w:rsidP="005432A2" w14:paraId="40292ABB" w14:textId="77777777">
            <w:pPr>
              <w:jc w:val="right"/>
              <w:rPr>
                <w:rFonts w:ascii="Calibri" w:hAnsi="Calibri" w:cs="Calibri"/>
                <w:color w:val="000000"/>
                <w:sz w:val="12"/>
                <w:szCs w:val="12"/>
              </w:rPr>
            </w:pPr>
            <w:r w:rsidRPr="005432A2">
              <w:rPr>
                <w:rFonts w:ascii="Calibri" w:hAnsi="Calibri" w:cs="Calibri"/>
                <w:color w:val="000000"/>
                <w:sz w:val="12"/>
                <w:szCs w:val="12"/>
              </w:rPr>
              <w:t>27.279.953,73</w:t>
            </w:r>
          </w:p>
        </w:tc>
        <w:tc>
          <w:tcPr>
            <w:tcW w:w="361" w:type="pct"/>
            <w:tcBorders>
              <w:top w:val="single" w:sz="8" w:space="0" w:color="auto"/>
              <w:left w:val="nil"/>
              <w:bottom w:val="single" w:sz="4" w:space="0" w:color="auto"/>
              <w:right w:val="single" w:sz="4" w:space="0" w:color="auto"/>
            </w:tcBorders>
            <w:noWrap/>
            <w:vAlign w:val="center"/>
            <w:hideMark/>
          </w:tcPr>
          <w:p w:rsidR="005432A2" w:rsidRPr="005432A2" w:rsidP="005432A2" w14:paraId="06591603" w14:textId="77777777">
            <w:pPr>
              <w:jc w:val="right"/>
              <w:rPr>
                <w:rFonts w:ascii="Calibri" w:hAnsi="Calibri" w:cs="Calibri"/>
                <w:color w:val="000000"/>
                <w:sz w:val="12"/>
                <w:szCs w:val="12"/>
              </w:rPr>
            </w:pPr>
            <w:r w:rsidRPr="005432A2">
              <w:rPr>
                <w:rFonts w:ascii="Calibri" w:hAnsi="Calibri" w:cs="Calibri"/>
                <w:color w:val="000000"/>
                <w:sz w:val="12"/>
                <w:szCs w:val="12"/>
              </w:rPr>
              <w:t>22.277.072,34</w:t>
            </w:r>
          </w:p>
        </w:tc>
        <w:tc>
          <w:tcPr>
            <w:tcW w:w="361" w:type="pct"/>
            <w:tcBorders>
              <w:top w:val="single" w:sz="8" w:space="0" w:color="auto"/>
              <w:left w:val="nil"/>
              <w:bottom w:val="single" w:sz="4" w:space="0" w:color="auto"/>
              <w:right w:val="single" w:sz="4" w:space="0" w:color="auto"/>
            </w:tcBorders>
            <w:noWrap/>
            <w:vAlign w:val="center"/>
            <w:hideMark/>
          </w:tcPr>
          <w:p w:rsidR="005432A2" w:rsidRPr="005432A2" w:rsidP="005432A2" w14:paraId="22AE2EE8" w14:textId="77777777">
            <w:pPr>
              <w:jc w:val="right"/>
              <w:rPr>
                <w:rFonts w:ascii="Calibri" w:hAnsi="Calibri" w:cs="Calibri"/>
                <w:color w:val="000000"/>
                <w:sz w:val="12"/>
                <w:szCs w:val="12"/>
              </w:rPr>
            </w:pPr>
            <w:r w:rsidRPr="005432A2">
              <w:rPr>
                <w:rFonts w:ascii="Calibri" w:hAnsi="Calibri" w:cs="Calibri"/>
                <w:color w:val="000000"/>
                <w:sz w:val="12"/>
                <w:szCs w:val="12"/>
              </w:rPr>
              <w:t>19.330.236,08</w:t>
            </w:r>
          </w:p>
        </w:tc>
        <w:tc>
          <w:tcPr>
            <w:tcW w:w="361" w:type="pct"/>
            <w:tcBorders>
              <w:top w:val="single" w:sz="8" w:space="0" w:color="auto"/>
              <w:left w:val="nil"/>
              <w:bottom w:val="single" w:sz="4" w:space="0" w:color="auto"/>
              <w:right w:val="single" w:sz="4" w:space="0" w:color="auto"/>
            </w:tcBorders>
            <w:noWrap/>
            <w:vAlign w:val="center"/>
            <w:hideMark/>
          </w:tcPr>
          <w:p w:rsidR="005432A2" w:rsidRPr="005432A2" w:rsidP="005432A2" w14:paraId="0F4A4E81" w14:textId="77777777">
            <w:pPr>
              <w:jc w:val="right"/>
              <w:rPr>
                <w:rFonts w:ascii="Calibri" w:hAnsi="Calibri" w:cs="Calibri"/>
                <w:color w:val="000000"/>
                <w:sz w:val="12"/>
                <w:szCs w:val="12"/>
              </w:rPr>
            </w:pPr>
            <w:r w:rsidRPr="005432A2">
              <w:rPr>
                <w:rFonts w:ascii="Calibri" w:hAnsi="Calibri" w:cs="Calibri"/>
                <w:color w:val="000000"/>
                <w:sz w:val="12"/>
                <w:szCs w:val="12"/>
              </w:rPr>
              <w:t>18.874.579,60</w:t>
            </w:r>
          </w:p>
        </w:tc>
        <w:tc>
          <w:tcPr>
            <w:tcW w:w="361" w:type="pct"/>
            <w:tcBorders>
              <w:top w:val="single" w:sz="8" w:space="0" w:color="auto"/>
              <w:left w:val="nil"/>
              <w:bottom w:val="single" w:sz="4" w:space="0" w:color="auto"/>
              <w:right w:val="single" w:sz="4" w:space="0" w:color="auto"/>
            </w:tcBorders>
            <w:noWrap/>
            <w:vAlign w:val="center"/>
            <w:hideMark/>
          </w:tcPr>
          <w:p w:rsidR="005432A2" w:rsidRPr="005432A2" w:rsidP="005432A2" w14:paraId="30B264A2" w14:textId="77777777">
            <w:pPr>
              <w:jc w:val="right"/>
              <w:rPr>
                <w:rFonts w:ascii="Calibri" w:hAnsi="Calibri" w:cs="Calibri"/>
                <w:color w:val="000000"/>
                <w:sz w:val="12"/>
                <w:szCs w:val="12"/>
              </w:rPr>
            </w:pPr>
            <w:r w:rsidRPr="005432A2">
              <w:rPr>
                <w:rFonts w:ascii="Calibri" w:hAnsi="Calibri" w:cs="Calibri"/>
                <w:color w:val="000000"/>
                <w:sz w:val="12"/>
                <w:szCs w:val="12"/>
              </w:rPr>
              <w:t>13.602.563,96</w:t>
            </w:r>
          </w:p>
        </w:tc>
        <w:tc>
          <w:tcPr>
            <w:tcW w:w="361" w:type="pct"/>
            <w:tcBorders>
              <w:top w:val="single" w:sz="8" w:space="0" w:color="auto"/>
              <w:left w:val="nil"/>
              <w:bottom w:val="single" w:sz="4" w:space="0" w:color="auto"/>
              <w:right w:val="single" w:sz="4" w:space="0" w:color="auto"/>
            </w:tcBorders>
            <w:noWrap/>
            <w:vAlign w:val="center"/>
            <w:hideMark/>
          </w:tcPr>
          <w:p w:rsidR="005432A2" w:rsidRPr="005432A2" w:rsidP="005432A2" w14:paraId="46CB766A" w14:textId="77777777">
            <w:pPr>
              <w:jc w:val="right"/>
              <w:rPr>
                <w:rFonts w:ascii="Calibri" w:hAnsi="Calibri" w:cs="Calibri"/>
                <w:color w:val="000000"/>
                <w:sz w:val="12"/>
                <w:szCs w:val="12"/>
              </w:rPr>
            </w:pPr>
            <w:r w:rsidRPr="005432A2">
              <w:rPr>
                <w:rFonts w:ascii="Calibri" w:hAnsi="Calibri" w:cs="Calibri"/>
                <w:color w:val="000000"/>
                <w:sz w:val="12"/>
                <w:szCs w:val="12"/>
              </w:rPr>
              <w:t>9.998.155,60</w:t>
            </w:r>
          </w:p>
        </w:tc>
        <w:tc>
          <w:tcPr>
            <w:tcW w:w="361" w:type="pct"/>
            <w:tcBorders>
              <w:top w:val="single" w:sz="8" w:space="0" w:color="auto"/>
              <w:left w:val="nil"/>
              <w:bottom w:val="single" w:sz="4" w:space="0" w:color="auto"/>
              <w:right w:val="single" w:sz="8" w:space="0" w:color="auto"/>
            </w:tcBorders>
            <w:noWrap/>
            <w:vAlign w:val="center"/>
            <w:hideMark/>
          </w:tcPr>
          <w:p w:rsidR="005432A2" w:rsidRPr="005432A2" w:rsidP="005432A2" w14:paraId="068A9901" w14:textId="77777777">
            <w:pPr>
              <w:jc w:val="right"/>
              <w:rPr>
                <w:rFonts w:ascii="Calibri" w:hAnsi="Calibri" w:cs="Calibri"/>
                <w:color w:val="000000"/>
                <w:sz w:val="12"/>
                <w:szCs w:val="12"/>
              </w:rPr>
            </w:pPr>
            <w:r w:rsidRPr="005432A2">
              <w:rPr>
                <w:rFonts w:ascii="Calibri" w:hAnsi="Calibri" w:cs="Calibri"/>
                <w:color w:val="000000"/>
                <w:sz w:val="12"/>
                <w:szCs w:val="12"/>
              </w:rPr>
              <w:t>28.407.054,77</w:t>
            </w:r>
          </w:p>
        </w:tc>
      </w:tr>
      <w:tr w14:paraId="7FC4CF95" w14:textId="77777777">
        <w:tblPrEx>
          <w:tblW w:w="5000" w:type="pct"/>
          <w:tblLook w:val="04A0"/>
        </w:tblPrEx>
        <w:trPr>
          <w:trHeight w:val="645"/>
        </w:trPr>
        <w:tc>
          <w:tcPr>
            <w:tcW w:w="186" w:type="pct"/>
            <w:tcBorders>
              <w:top w:val="nil"/>
              <w:left w:val="nil"/>
              <w:bottom w:val="nil"/>
              <w:right w:val="nil"/>
            </w:tcBorders>
            <w:noWrap/>
            <w:vAlign w:val="center"/>
            <w:hideMark/>
          </w:tcPr>
          <w:p w:rsidR="005432A2" w:rsidRPr="005432A2" w:rsidP="005432A2" w14:paraId="710EFFB8" w14:textId="77777777">
            <w:pPr>
              <w:jc w:val="right"/>
              <w:rPr>
                <w:rFonts w:ascii="Calibri" w:hAnsi="Calibri" w:cs="Calibri"/>
                <w:color w:val="000000"/>
                <w:sz w:val="8"/>
                <w:szCs w:val="8"/>
              </w:rPr>
            </w:pPr>
          </w:p>
        </w:tc>
        <w:tc>
          <w:tcPr>
            <w:tcW w:w="846" w:type="pct"/>
            <w:tcBorders>
              <w:top w:val="nil"/>
              <w:left w:val="single" w:sz="8" w:space="0" w:color="auto"/>
              <w:bottom w:val="single" w:sz="4" w:space="0" w:color="auto"/>
              <w:right w:val="nil"/>
            </w:tcBorders>
            <w:vAlign w:val="center"/>
            <w:hideMark/>
          </w:tcPr>
          <w:p w:rsidR="005432A2" w:rsidRPr="005432A2" w:rsidP="005432A2" w14:paraId="677523B0" w14:textId="77777777">
            <w:pPr>
              <w:rPr>
                <w:rFonts w:ascii="Calibri" w:hAnsi="Calibri" w:cs="Calibri"/>
                <w:color w:val="000000"/>
                <w:sz w:val="8"/>
                <w:szCs w:val="8"/>
              </w:rPr>
            </w:pPr>
            <w:r w:rsidRPr="005432A2">
              <w:rPr>
                <w:rFonts w:ascii="Calibri" w:hAnsi="Calibri" w:cs="Calibri"/>
                <w:color w:val="000000"/>
                <w:sz w:val="8"/>
                <w:szCs w:val="8"/>
              </w:rPr>
              <w:t>Personale non direttivo e non dirigente specialisti</w:t>
            </w:r>
          </w:p>
        </w:tc>
        <w:tc>
          <w:tcPr>
            <w:tcW w:w="361" w:type="pct"/>
            <w:tcBorders>
              <w:top w:val="nil"/>
              <w:left w:val="single" w:sz="8" w:space="0" w:color="auto"/>
              <w:bottom w:val="single" w:sz="4" w:space="0" w:color="auto"/>
              <w:right w:val="single" w:sz="4" w:space="0" w:color="auto"/>
            </w:tcBorders>
            <w:noWrap/>
            <w:vAlign w:val="center"/>
            <w:hideMark/>
          </w:tcPr>
          <w:p w:rsidR="005432A2" w:rsidRPr="005432A2" w:rsidP="005432A2" w14:paraId="13E6FBDE" w14:textId="77777777">
            <w:pPr>
              <w:jc w:val="right"/>
              <w:rPr>
                <w:rFonts w:ascii="Calibri" w:hAnsi="Calibri" w:cs="Calibri"/>
                <w:color w:val="000000"/>
                <w:sz w:val="12"/>
                <w:szCs w:val="12"/>
              </w:rPr>
            </w:pPr>
            <w:r w:rsidRPr="005432A2">
              <w:rPr>
                <w:rFonts w:ascii="Calibri" w:hAnsi="Calibri" w:cs="Calibri"/>
                <w:color w:val="000000"/>
                <w:sz w:val="12"/>
                <w:szCs w:val="12"/>
              </w:rPr>
              <w:t>12.027.375,47</w:t>
            </w:r>
          </w:p>
        </w:tc>
        <w:tc>
          <w:tcPr>
            <w:tcW w:w="361" w:type="pct"/>
            <w:tcBorders>
              <w:top w:val="nil"/>
              <w:left w:val="nil"/>
              <w:bottom w:val="single" w:sz="4" w:space="0" w:color="auto"/>
              <w:right w:val="single" w:sz="4" w:space="0" w:color="auto"/>
            </w:tcBorders>
            <w:noWrap/>
            <w:vAlign w:val="center"/>
            <w:hideMark/>
          </w:tcPr>
          <w:p w:rsidR="005432A2" w:rsidRPr="005432A2" w:rsidP="005432A2" w14:paraId="1F5940D4" w14:textId="77777777">
            <w:pPr>
              <w:jc w:val="right"/>
              <w:rPr>
                <w:rFonts w:ascii="Calibri" w:hAnsi="Calibri" w:cs="Calibri"/>
                <w:color w:val="000000"/>
                <w:sz w:val="12"/>
                <w:szCs w:val="12"/>
              </w:rPr>
            </w:pPr>
            <w:r w:rsidRPr="005432A2">
              <w:rPr>
                <w:rFonts w:ascii="Calibri" w:hAnsi="Calibri" w:cs="Calibri"/>
                <w:color w:val="000000"/>
                <w:sz w:val="12"/>
                <w:szCs w:val="12"/>
              </w:rPr>
              <w:t>3.882.832,96</w:t>
            </w:r>
          </w:p>
        </w:tc>
        <w:tc>
          <w:tcPr>
            <w:tcW w:w="361" w:type="pct"/>
            <w:tcBorders>
              <w:top w:val="nil"/>
              <w:left w:val="nil"/>
              <w:bottom w:val="single" w:sz="4" w:space="0" w:color="auto"/>
              <w:right w:val="single" w:sz="4" w:space="0" w:color="auto"/>
            </w:tcBorders>
            <w:noWrap/>
            <w:vAlign w:val="center"/>
            <w:hideMark/>
          </w:tcPr>
          <w:p w:rsidR="005432A2" w:rsidRPr="005432A2" w:rsidP="005432A2" w14:paraId="3E18BBF0" w14:textId="77777777">
            <w:pPr>
              <w:jc w:val="right"/>
              <w:rPr>
                <w:rFonts w:ascii="Calibri" w:hAnsi="Calibri" w:cs="Calibri"/>
                <w:color w:val="000000"/>
                <w:sz w:val="12"/>
                <w:szCs w:val="12"/>
              </w:rPr>
            </w:pPr>
            <w:r w:rsidRPr="005432A2">
              <w:rPr>
                <w:rFonts w:ascii="Calibri" w:hAnsi="Calibri" w:cs="Calibri"/>
                <w:color w:val="000000"/>
                <w:sz w:val="12"/>
                <w:szCs w:val="12"/>
              </w:rPr>
              <w:t>3.496.726,82</w:t>
            </w:r>
          </w:p>
        </w:tc>
        <w:tc>
          <w:tcPr>
            <w:tcW w:w="361" w:type="pct"/>
            <w:tcBorders>
              <w:top w:val="nil"/>
              <w:left w:val="nil"/>
              <w:bottom w:val="single" w:sz="4" w:space="0" w:color="auto"/>
              <w:right w:val="single" w:sz="4" w:space="0" w:color="auto"/>
            </w:tcBorders>
            <w:noWrap/>
            <w:vAlign w:val="center"/>
            <w:hideMark/>
          </w:tcPr>
          <w:p w:rsidR="005432A2" w:rsidRPr="005432A2" w:rsidP="005432A2" w14:paraId="55EEC57F" w14:textId="77777777">
            <w:pPr>
              <w:jc w:val="right"/>
              <w:rPr>
                <w:rFonts w:ascii="Calibri" w:hAnsi="Calibri" w:cs="Calibri"/>
                <w:color w:val="000000"/>
                <w:sz w:val="12"/>
                <w:szCs w:val="12"/>
              </w:rPr>
            </w:pPr>
            <w:r w:rsidRPr="005432A2">
              <w:rPr>
                <w:rFonts w:ascii="Calibri" w:hAnsi="Calibri" w:cs="Calibri"/>
                <w:color w:val="000000"/>
                <w:sz w:val="12"/>
                <w:szCs w:val="12"/>
              </w:rPr>
              <w:t>10.734.944,42</w:t>
            </w:r>
          </w:p>
        </w:tc>
        <w:tc>
          <w:tcPr>
            <w:tcW w:w="361" w:type="pct"/>
            <w:tcBorders>
              <w:top w:val="nil"/>
              <w:left w:val="nil"/>
              <w:bottom w:val="single" w:sz="4" w:space="0" w:color="auto"/>
              <w:right w:val="single" w:sz="4" w:space="0" w:color="auto"/>
            </w:tcBorders>
            <w:noWrap/>
            <w:vAlign w:val="center"/>
            <w:hideMark/>
          </w:tcPr>
          <w:p w:rsidR="005432A2" w:rsidRPr="005432A2" w:rsidP="005432A2" w14:paraId="441B74C6" w14:textId="77777777">
            <w:pPr>
              <w:jc w:val="right"/>
              <w:rPr>
                <w:rFonts w:ascii="Calibri" w:hAnsi="Calibri" w:cs="Calibri"/>
                <w:color w:val="000000"/>
                <w:sz w:val="12"/>
                <w:szCs w:val="12"/>
              </w:rPr>
            </w:pPr>
            <w:r w:rsidRPr="005432A2">
              <w:rPr>
                <w:rFonts w:ascii="Calibri" w:hAnsi="Calibri" w:cs="Calibri"/>
                <w:color w:val="000000"/>
                <w:sz w:val="12"/>
                <w:szCs w:val="12"/>
              </w:rPr>
              <w:t>12.267.631,39</w:t>
            </w:r>
          </w:p>
        </w:tc>
        <w:tc>
          <w:tcPr>
            <w:tcW w:w="361" w:type="pct"/>
            <w:tcBorders>
              <w:top w:val="nil"/>
              <w:left w:val="nil"/>
              <w:bottom w:val="single" w:sz="4" w:space="0" w:color="auto"/>
              <w:right w:val="single" w:sz="4" w:space="0" w:color="auto"/>
            </w:tcBorders>
            <w:noWrap/>
            <w:vAlign w:val="center"/>
            <w:hideMark/>
          </w:tcPr>
          <w:p w:rsidR="005432A2" w:rsidRPr="005432A2" w:rsidP="005432A2" w14:paraId="6C5BAF63" w14:textId="77777777">
            <w:pPr>
              <w:jc w:val="right"/>
              <w:rPr>
                <w:rFonts w:ascii="Calibri" w:hAnsi="Calibri" w:cs="Calibri"/>
                <w:color w:val="000000"/>
                <w:sz w:val="12"/>
                <w:szCs w:val="12"/>
              </w:rPr>
            </w:pPr>
            <w:r w:rsidRPr="005432A2">
              <w:rPr>
                <w:rFonts w:ascii="Calibri" w:hAnsi="Calibri" w:cs="Calibri"/>
                <w:color w:val="000000"/>
                <w:sz w:val="12"/>
                <w:szCs w:val="12"/>
              </w:rPr>
              <w:t>16.627.817,19</w:t>
            </w:r>
          </w:p>
        </w:tc>
        <w:tc>
          <w:tcPr>
            <w:tcW w:w="361" w:type="pct"/>
            <w:tcBorders>
              <w:top w:val="nil"/>
              <w:left w:val="nil"/>
              <w:bottom w:val="single" w:sz="4" w:space="0" w:color="auto"/>
              <w:right w:val="single" w:sz="4" w:space="0" w:color="auto"/>
            </w:tcBorders>
            <w:noWrap/>
            <w:vAlign w:val="center"/>
            <w:hideMark/>
          </w:tcPr>
          <w:p w:rsidR="005432A2" w:rsidRPr="005432A2" w:rsidP="005432A2" w14:paraId="1464528B" w14:textId="77777777">
            <w:pPr>
              <w:jc w:val="right"/>
              <w:rPr>
                <w:rFonts w:ascii="Calibri" w:hAnsi="Calibri" w:cs="Calibri"/>
                <w:color w:val="000000"/>
                <w:sz w:val="12"/>
                <w:szCs w:val="12"/>
              </w:rPr>
            </w:pPr>
            <w:r w:rsidRPr="005432A2">
              <w:rPr>
                <w:rFonts w:ascii="Calibri" w:hAnsi="Calibri" w:cs="Calibri"/>
                <w:color w:val="000000"/>
                <w:sz w:val="12"/>
                <w:szCs w:val="12"/>
              </w:rPr>
              <w:t>20.205.473,16</w:t>
            </w:r>
          </w:p>
        </w:tc>
        <w:tc>
          <w:tcPr>
            <w:tcW w:w="361" w:type="pct"/>
            <w:tcBorders>
              <w:top w:val="nil"/>
              <w:left w:val="nil"/>
              <w:bottom w:val="single" w:sz="4" w:space="0" w:color="auto"/>
              <w:right w:val="single" w:sz="4" w:space="0" w:color="auto"/>
            </w:tcBorders>
            <w:noWrap/>
            <w:vAlign w:val="center"/>
            <w:hideMark/>
          </w:tcPr>
          <w:p w:rsidR="005432A2" w:rsidRPr="005432A2" w:rsidP="005432A2" w14:paraId="67BF4F6C" w14:textId="77777777">
            <w:pPr>
              <w:jc w:val="right"/>
              <w:rPr>
                <w:rFonts w:ascii="Calibri" w:hAnsi="Calibri" w:cs="Calibri"/>
                <w:color w:val="000000"/>
                <w:sz w:val="12"/>
                <w:szCs w:val="12"/>
              </w:rPr>
            </w:pPr>
            <w:r w:rsidRPr="005432A2">
              <w:rPr>
                <w:rFonts w:ascii="Calibri" w:hAnsi="Calibri" w:cs="Calibri"/>
                <w:color w:val="000000"/>
                <w:sz w:val="12"/>
                <w:szCs w:val="12"/>
              </w:rPr>
              <w:t>22.420.879,00</w:t>
            </w:r>
          </w:p>
        </w:tc>
        <w:tc>
          <w:tcPr>
            <w:tcW w:w="361" w:type="pct"/>
            <w:tcBorders>
              <w:top w:val="nil"/>
              <w:left w:val="nil"/>
              <w:bottom w:val="single" w:sz="4" w:space="0" w:color="auto"/>
              <w:right w:val="single" w:sz="4" w:space="0" w:color="auto"/>
            </w:tcBorders>
            <w:noWrap/>
            <w:vAlign w:val="center"/>
            <w:hideMark/>
          </w:tcPr>
          <w:p w:rsidR="005432A2" w:rsidRPr="005432A2" w:rsidP="005432A2" w14:paraId="3156D387" w14:textId="77777777">
            <w:pPr>
              <w:jc w:val="right"/>
              <w:rPr>
                <w:rFonts w:ascii="Calibri" w:hAnsi="Calibri" w:cs="Calibri"/>
                <w:color w:val="000000"/>
                <w:sz w:val="12"/>
                <w:szCs w:val="12"/>
              </w:rPr>
            </w:pPr>
            <w:r w:rsidRPr="005432A2">
              <w:rPr>
                <w:rFonts w:ascii="Calibri" w:hAnsi="Calibri" w:cs="Calibri"/>
                <w:color w:val="000000"/>
                <w:sz w:val="12"/>
                <w:szCs w:val="12"/>
              </w:rPr>
              <w:t>24.546.578,12</w:t>
            </w:r>
          </w:p>
        </w:tc>
        <w:tc>
          <w:tcPr>
            <w:tcW w:w="361" w:type="pct"/>
            <w:tcBorders>
              <w:top w:val="nil"/>
              <w:left w:val="nil"/>
              <w:bottom w:val="single" w:sz="4" w:space="0" w:color="auto"/>
              <w:right w:val="single" w:sz="4" w:space="0" w:color="auto"/>
            </w:tcBorders>
            <w:noWrap/>
            <w:vAlign w:val="center"/>
            <w:hideMark/>
          </w:tcPr>
          <w:p w:rsidR="005432A2" w:rsidRPr="005432A2" w:rsidP="005432A2" w14:paraId="6AFDAE18" w14:textId="77777777">
            <w:pPr>
              <w:jc w:val="right"/>
              <w:rPr>
                <w:rFonts w:ascii="Calibri" w:hAnsi="Calibri" w:cs="Calibri"/>
                <w:color w:val="000000"/>
                <w:sz w:val="12"/>
                <w:szCs w:val="12"/>
              </w:rPr>
            </w:pPr>
            <w:r w:rsidRPr="005432A2">
              <w:rPr>
                <w:rFonts w:ascii="Calibri" w:hAnsi="Calibri" w:cs="Calibri"/>
                <w:color w:val="000000"/>
                <w:sz w:val="12"/>
                <w:szCs w:val="12"/>
              </w:rPr>
              <w:t>26.098.368,82</w:t>
            </w:r>
          </w:p>
        </w:tc>
        <w:tc>
          <w:tcPr>
            <w:tcW w:w="361" w:type="pct"/>
            <w:tcBorders>
              <w:top w:val="nil"/>
              <w:left w:val="nil"/>
              <w:bottom w:val="single" w:sz="4" w:space="0" w:color="auto"/>
              <w:right w:val="single" w:sz="8" w:space="0" w:color="auto"/>
            </w:tcBorders>
            <w:noWrap/>
            <w:vAlign w:val="center"/>
            <w:hideMark/>
          </w:tcPr>
          <w:p w:rsidR="005432A2" w:rsidRPr="005432A2" w:rsidP="005432A2" w14:paraId="210CB692" w14:textId="77777777">
            <w:pPr>
              <w:jc w:val="right"/>
              <w:rPr>
                <w:rFonts w:ascii="Calibri" w:hAnsi="Calibri" w:cs="Calibri"/>
                <w:color w:val="000000"/>
                <w:sz w:val="12"/>
                <w:szCs w:val="12"/>
              </w:rPr>
            </w:pPr>
            <w:r w:rsidRPr="005432A2">
              <w:rPr>
                <w:rFonts w:ascii="Calibri" w:hAnsi="Calibri" w:cs="Calibri"/>
                <w:color w:val="000000"/>
                <w:sz w:val="12"/>
                <w:szCs w:val="12"/>
              </w:rPr>
              <w:t>12.350.188,68</w:t>
            </w:r>
          </w:p>
        </w:tc>
      </w:tr>
      <w:tr w14:paraId="50E81EAC" w14:textId="77777777">
        <w:tblPrEx>
          <w:tblW w:w="5000" w:type="pct"/>
          <w:tblLook w:val="04A0"/>
        </w:tblPrEx>
        <w:trPr>
          <w:trHeight w:val="645"/>
        </w:trPr>
        <w:tc>
          <w:tcPr>
            <w:tcW w:w="186" w:type="pct"/>
            <w:tcBorders>
              <w:top w:val="nil"/>
              <w:left w:val="nil"/>
              <w:bottom w:val="nil"/>
              <w:right w:val="nil"/>
            </w:tcBorders>
            <w:noWrap/>
            <w:vAlign w:val="center"/>
            <w:hideMark/>
          </w:tcPr>
          <w:p w:rsidR="005432A2" w:rsidRPr="005432A2" w:rsidP="005432A2" w14:paraId="3C5C9172" w14:textId="77777777">
            <w:pPr>
              <w:jc w:val="right"/>
              <w:rPr>
                <w:rFonts w:ascii="Calibri" w:hAnsi="Calibri" w:cs="Calibri"/>
                <w:color w:val="000000"/>
                <w:sz w:val="8"/>
                <w:szCs w:val="8"/>
              </w:rPr>
            </w:pPr>
          </w:p>
        </w:tc>
        <w:tc>
          <w:tcPr>
            <w:tcW w:w="846" w:type="pct"/>
            <w:tcBorders>
              <w:top w:val="nil"/>
              <w:left w:val="single" w:sz="8" w:space="0" w:color="auto"/>
              <w:bottom w:val="single" w:sz="4" w:space="0" w:color="auto"/>
              <w:right w:val="nil"/>
            </w:tcBorders>
            <w:vAlign w:val="center"/>
            <w:hideMark/>
          </w:tcPr>
          <w:p w:rsidR="005432A2" w:rsidRPr="005432A2" w:rsidP="005432A2" w14:paraId="4644A83E" w14:textId="77777777">
            <w:pPr>
              <w:rPr>
                <w:rFonts w:ascii="Calibri" w:hAnsi="Calibri" w:cs="Calibri"/>
                <w:color w:val="000000"/>
                <w:sz w:val="8"/>
                <w:szCs w:val="8"/>
              </w:rPr>
            </w:pPr>
            <w:r w:rsidRPr="005432A2">
              <w:rPr>
                <w:rFonts w:ascii="Calibri" w:hAnsi="Calibri" w:cs="Calibri"/>
                <w:color w:val="000000"/>
                <w:sz w:val="8"/>
                <w:szCs w:val="8"/>
              </w:rPr>
              <w:t>Personale direttivo ordinari e specialisti</w:t>
            </w:r>
          </w:p>
        </w:tc>
        <w:tc>
          <w:tcPr>
            <w:tcW w:w="361" w:type="pct"/>
            <w:tcBorders>
              <w:top w:val="nil"/>
              <w:left w:val="single" w:sz="8" w:space="0" w:color="auto"/>
              <w:bottom w:val="single" w:sz="4" w:space="0" w:color="auto"/>
              <w:right w:val="single" w:sz="4" w:space="0" w:color="auto"/>
            </w:tcBorders>
            <w:noWrap/>
            <w:vAlign w:val="center"/>
            <w:hideMark/>
          </w:tcPr>
          <w:p w:rsidR="005432A2" w:rsidRPr="005432A2" w:rsidP="005432A2" w14:paraId="52F72698" w14:textId="77777777">
            <w:pPr>
              <w:jc w:val="right"/>
              <w:rPr>
                <w:rFonts w:ascii="Calibri" w:hAnsi="Calibri" w:cs="Calibri"/>
                <w:color w:val="000000"/>
                <w:sz w:val="12"/>
                <w:szCs w:val="12"/>
              </w:rPr>
            </w:pPr>
            <w:r w:rsidRPr="005432A2">
              <w:rPr>
                <w:rFonts w:ascii="Calibri" w:hAnsi="Calibri" w:cs="Calibri"/>
                <w:color w:val="000000"/>
                <w:sz w:val="12"/>
                <w:szCs w:val="12"/>
              </w:rPr>
              <w:t>6.802.242,77</w:t>
            </w:r>
          </w:p>
        </w:tc>
        <w:tc>
          <w:tcPr>
            <w:tcW w:w="361" w:type="pct"/>
            <w:tcBorders>
              <w:top w:val="nil"/>
              <w:left w:val="nil"/>
              <w:bottom w:val="single" w:sz="4" w:space="0" w:color="auto"/>
              <w:right w:val="single" w:sz="4" w:space="0" w:color="auto"/>
            </w:tcBorders>
            <w:noWrap/>
            <w:vAlign w:val="center"/>
            <w:hideMark/>
          </w:tcPr>
          <w:p w:rsidR="005432A2" w:rsidRPr="005432A2" w:rsidP="005432A2" w14:paraId="6E90676A" w14:textId="77777777">
            <w:pPr>
              <w:jc w:val="right"/>
              <w:rPr>
                <w:rFonts w:ascii="Calibri" w:hAnsi="Calibri" w:cs="Calibri"/>
                <w:color w:val="000000"/>
                <w:sz w:val="12"/>
                <w:szCs w:val="12"/>
              </w:rPr>
            </w:pPr>
            <w:r w:rsidRPr="005432A2">
              <w:rPr>
                <w:rFonts w:ascii="Calibri" w:hAnsi="Calibri" w:cs="Calibri"/>
                <w:color w:val="000000"/>
                <w:sz w:val="12"/>
                <w:szCs w:val="12"/>
              </w:rPr>
              <w:t>6.678.473,66</w:t>
            </w:r>
          </w:p>
        </w:tc>
        <w:tc>
          <w:tcPr>
            <w:tcW w:w="361" w:type="pct"/>
            <w:tcBorders>
              <w:top w:val="nil"/>
              <w:left w:val="nil"/>
              <w:bottom w:val="single" w:sz="4" w:space="0" w:color="auto"/>
              <w:right w:val="single" w:sz="4" w:space="0" w:color="auto"/>
            </w:tcBorders>
            <w:noWrap/>
            <w:vAlign w:val="center"/>
            <w:hideMark/>
          </w:tcPr>
          <w:p w:rsidR="005432A2" w:rsidRPr="005432A2" w:rsidP="005432A2" w14:paraId="34DC3150" w14:textId="77777777">
            <w:pPr>
              <w:jc w:val="right"/>
              <w:rPr>
                <w:rFonts w:ascii="Calibri" w:hAnsi="Calibri" w:cs="Calibri"/>
                <w:color w:val="000000"/>
                <w:sz w:val="12"/>
                <w:szCs w:val="12"/>
              </w:rPr>
            </w:pPr>
            <w:r w:rsidRPr="005432A2">
              <w:rPr>
                <w:rFonts w:ascii="Calibri" w:hAnsi="Calibri" w:cs="Calibri"/>
                <w:color w:val="000000"/>
                <w:sz w:val="12"/>
                <w:szCs w:val="12"/>
              </w:rPr>
              <w:t>6.033.807,84</w:t>
            </w:r>
          </w:p>
        </w:tc>
        <w:tc>
          <w:tcPr>
            <w:tcW w:w="361" w:type="pct"/>
            <w:tcBorders>
              <w:top w:val="nil"/>
              <w:left w:val="nil"/>
              <w:bottom w:val="single" w:sz="4" w:space="0" w:color="auto"/>
              <w:right w:val="single" w:sz="4" w:space="0" w:color="auto"/>
            </w:tcBorders>
            <w:noWrap/>
            <w:vAlign w:val="center"/>
            <w:hideMark/>
          </w:tcPr>
          <w:p w:rsidR="005432A2" w:rsidRPr="005432A2" w:rsidP="005432A2" w14:paraId="7E5CA1CD" w14:textId="77777777">
            <w:pPr>
              <w:jc w:val="right"/>
              <w:rPr>
                <w:rFonts w:ascii="Calibri" w:hAnsi="Calibri" w:cs="Calibri"/>
                <w:color w:val="000000"/>
                <w:sz w:val="12"/>
                <w:szCs w:val="12"/>
              </w:rPr>
            </w:pPr>
            <w:r w:rsidRPr="005432A2">
              <w:rPr>
                <w:rFonts w:ascii="Calibri" w:hAnsi="Calibri" w:cs="Calibri"/>
                <w:color w:val="000000"/>
                <w:sz w:val="12"/>
                <w:szCs w:val="12"/>
              </w:rPr>
              <w:t>5.136.255,48</w:t>
            </w:r>
          </w:p>
        </w:tc>
        <w:tc>
          <w:tcPr>
            <w:tcW w:w="361" w:type="pct"/>
            <w:tcBorders>
              <w:top w:val="nil"/>
              <w:left w:val="nil"/>
              <w:bottom w:val="single" w:sz="4" w:space="0" w:color="auto"/>
              <w:right w:val="single" w:sz="4" w:space="0" w:color="auto"/>
            </w:tcBorders>
            <w:noWrap/>
            <w:vAlign w:val="center"/>
            <w:hideMark/>
          </w:tcPr>
          <w:p w:rsidR="005432A2" w:rsidRPr="005432A2" w:rsidP="005432A2" w14:paraId="42B82A36" w14:textId="77777777">
            <w:pPr>
              <w:jc w:val="right"/>
              <w:rPr>
                <w:rFonts w:ascii="Calibri" w:hAnsi="Calibri" w:cs="Calibri"/>
                <w:color w:val="000000"/>
                <w:sz w:val="12"/>
                <w:szCs w:val="12"/>
              </w:rPr>
            </w:pPr>
            <w:r w:rsidRPr="005432A2">
              <w:rPr>
                <w:rFonts w:ascii="Calibri" w:hAnsi="Calibri" w:cs="Calibri"/>
                <w:color w:val="000000"/>
                <w:sz w:val="12"/>
                <w:szCs w:val="12"/>
              </w:rPr>
              <w:t>6.654.115,67</w:t>
            </w:r>
          </w:p>
        </w:tc>
        <w:tc>
          <w:tcPr>
            <w:tcW w:w="361" w:type="pct"/>
            <w:tcBorders>
              <w:top w:val="nil"/>
              <w:left w:val="nil"/>
              <w:bottom w:val="single" w:sz="4" w:space="0" w:color="auto"/>
              <w:right w:val="single" w:sz="4" w:space="0" w:color="auto"/>
            </w:tcBorders>
            <w:noWrap/>
            <w:vAlign w:val="center"/>
            <w:hideMark/>
          </w:tcPr>
          <w:p w:rsidR="005432A2" w:rsidRPr="005432A2" w:rsidP="005432A2" w14:paraId="2E383375" w14:textId="77777777">
            <w:pPr>
              <w:jc w:val="right"/>
              <w:rPr>
                <w:rFonts w:ascii="Calibri" w:hAnsi="Calibri" w:cs="Calibri"/>
                <w:color w:val="000000"/>
                <w:sz w:val="12"/>
                <w:szCs w:val="12"/>
              </w:rPr>
            </w:pPr>
            <w:r w:rsidRPr="005432A2">
              <w:rPr>
                <w:rFonts w:ascii="Calibri" w:hAnsi="Calibri" w:cs="Calibri"/>
                <w:color w:val="000000"/>
                <w:sz w:val="12"/>
                <w:szCs w:val="12"/>
              </w:rPr>
              <w:t>5.595.636,98</w:t>
            </w:r>
          </w:p>
        </w:tc>
        <w:tc>
          <w:tcPr>
            <w:tcW w:w="361" w:type="pct"/>
            <w:tcBorders>
              <w:top w:val="nil"/>
              <w:left w:val="nil"/>
              <w:bottom w:val="single" w:sz="4" w:space="0" w:color="auto"/>
              <w:right w:val="single" w:sz="4" w:space="0" w:color="auto"/>
            </w:tcBorders>
            <w:noWrap/>
            <w:vAlign w:val="center"/>
            <w:hideMark/>
          </w:tcPr>
          <w:p w:rsidR="005432A2" w:rsidRPr="005432A2" w:rsidP="005432A2" w14:paraId="3D1AE12D" w14:textId="77777777">
            <w:pPr>
              <w:jc w:val="right"/>
              <w:rPr>
                <w:rFonts w:ascii="Calibri" w:hAnsi="Calibri" w:cs="Calibri"/>
                <w:color w:val="000000"/>
                <w:sz w:val="12"/>
                <w:szCs w:val="12"/>
              </w:rPr>
            </w:pPr>
            <w:r w:rsidRPr="005432A2">
              <w:rPr>
                <w:rFonts w:ascii="Calibri" w:hAnsi="Calibri" w:cs="Calibri"/>
                <w:color w:val="000000"/>
                <w:sz w:val="12"/>
                <w:szCs w:val="12"/>
              </w:rPr>
              <w:t>5.153.321,35</w:t>
            </w:r>
          </w:p>
        </w:tc>
        <w:tc>
          <w:tcPr>
            <w:tcW w:w="361" w:type="pct"/>
            <w:tcBorders>
              <w:top w:val="nil"/>
              <w:left w:val="nil"/>
              <w:bottom w:val="single" w:sz="4" w:space="0" w:color="auto"/>
              <w:right w:val="single" w:sz="4" w:space="0" w:color="auto"/>
            </w:tcBorders>
            <w:noWrap/>
            <w:vAlign w:val="center"/>
            <w:hideMark/>
          </w:tcPr>
          <w:p w:rsidR="005432A2" w:rsidRPr="005432A2" w:rsidP="005432A2" w14:paraId="4B3D54BD" w14:textId="77777777">
            <w:pPr>
              <w:jc w:val="right"/>
              <w:rPr>
                <w:rFonts w:ascii="Calibri" w:hAnsi="Calibri" w:cs="Calibri"/>
                <w:color w:val="000000"/>
                <w:sz w:val="12"/>
                <w:szCs w:val="12"/>
              </w:rPr>
            </w:pPr>
            <w:r w:rsidRPr="005432A2">
              <w:rPr>
                <w:rFonts w:ascii="Calibri" w:hAnsi="Calibri" w:cs="Calibri"/>
                <w:color w:val="000000"/>
                <w:sz w:val="12"/>
                <w:szCs w:val="12"/>
              </w:rPr>
              <w:t>4.639.977,84</w:t>
            </w:r>
          </w:p>
        </w:tc>
        <w:tc>
          <w:tcPr>
            <w:tcW w:w="361" w:type="pct"/>
            <w:tcBorders>
              <w:top w:val="nil"/>
              <w:left w:val="nil"/>
              <w:bottom w:val="single" w:sz="4" w:space="0" w:color="auto"/>
              <w:right w:val="single" w:sz="4" w:space="0" w:color="auto"/>
            </w:tcBorders>
            <w:noWrap/>
            <w:vAlign w:val="center"/>
            <w:hideMark/>
          </w:tcPr>
          <w:p w:rsidR="005432A2" w:rsidRPr="005432A2" w:rsidP="005432A2" w14:paraId="0AE8A4E4" w14:textId="77777777">
            <w:pPr>
              <w:jc w:val="right"/>
              <w:rPr>
                <w:rFonts w:ascii="Calibri" w:hAnsi="Calibri" w:cs="Calibri"/>
                <w:color w:val="000000"/>
                <w:sz w:val="12"/>
                <w:szCs w:val="12"/>
              </w:rPr>
            </w:pPr>
            <w:r w:rsidRPr="005432A2">
              <w:rPr>
                <w:rFonts w:ascii="Calibri" w:hAnsi="Calibri" w:cs="Calibri"/>
                <w:color w:val="000000"/>
                <w:sz w:val="12"/>
                <w:szCs w:val="12"/>
              </w:rPr>
              <w:t>4.616.959,69</w:t>
            </w:r>
          </w:p>
        </w:tc>
        <w:tc>
          <w:tcPr>
            <w:tcW w:w="361" w:type="pct"/>
            <w:tcBorders>
              <w:top w:val="nil"/>
              <w:left w:val="nil"/>
              <w:bottom w:val="single" w:sz="4" w:space="0" w:color="auto"/>
              <w:right w:val="single" w:sz="4" w:space="0" w:color="auto"/>
            </w:tcBorders>
            <w:noWrap/>
            <w:vAlign w:val="center"/>
            <w:hideMark/>
          </w:tcPr>
          <w:p w:rsidR="005432A2" w:rsidRPr="005432A2" w:rsidP="005432A2" w14:paraId="1A0A6438" w14:textId="77777777">
            <w:pPr>
              <w:jc w:val="right"/>
              <w:rPr>
                <w:rFonts w:ascii="Calibri" w:hAnsi="Calibri" w:cs="Calibri"/>
                <w:color w:val="000000"/>
                <w:sz w:val="12"/>
                <w:szCs w:val="12"/>
              </w:rPr>
            </w:pPr>
            <w:r w:rsidRPr="005432A2">
              <w:rPr>
                <w:rFonts w:ascii="Calibri" w:hAnsi="Calibri" w:cs="Calibri"/>
                <w:color w:val="000000"/>
                <w:sz w:val="12"/>
                <w:szCs w:val="12"/>
              </w:rPr>
              <w:t>4.536.779,69</w:t>
            </w:r>
          </w:p>
        </w:tc>
        <w:tc>
          <w:tcPr>
            <w:tcW w:w="361" w:type="pct"/>
            <w:tcBorders>
              <w:top w:val="nil"/>
              <w:left w:val="nil"/>
              <w:bottom w:val="single" w:sz="4" w:space="0" w:color="auto"/>
              <w:right w:val="single" w:sz="8" w:space="0" w:color="auto"/>
            </w:tcBorders>
            <w:noWrap/>
            <w:vAlign w:val="center"/>
            <w:hideMark/>
          </w:tcPr>
          <w:p w:rsidR="005432A2" w:rsidRPr="005432A2" w:rsidP="005432A2" w14:paraId="1BB38453" w14:textId="77777777">
            <w:pPr>
              <w:jc w:val="right"/>
              <w:rPr>
                <w:rFonts w:ascii="Calibri" w:hAnsi="Calibri" w:cs="Calibri"/>
                <w:color w:val="000000"/>
                <w:sz w:val="12"/>
                <w:szCs w:val="12"/>
              </w:rPr>
            </w:pPr>
            <w:r w:rsidRPr="005432A2">
              <w:rPr>
                <w:rFonts w:ascii="Calibri" w:hAnsi="Calibri" w:cs="Calibri"/>
                <w:color w:val="000000"/>
                <w:sz w:val="12"/>
                <w:szCs w:val="12"/>
              </w:rPr>
              <w:t>4.610.684,25</w:t>
            </w:r>
          </w:p>
        </w:tc>
      </w:tr>
      <w:tr w14:paraId="74E80F5D" w14:textId="77777777">
        <w:tblPrEx>
          <w:tblW w:w="5000" w:type="pct"/>
          <w:tblLook w:val="04A0"/>
        </w:tblPrEx>
        <w:trPr>
          <w:trHeight w:val="645"/>
        </w:trPr>
        <w:tc>
          <w:tcPr>
            <w:tcW w:w="186" w:type="pct"/>
            <w:tcBorders>
              <w:top w:val="nil"/>
              <w:left w:val="nil"/>
              <w:bottom w:val="nil"/>
              <w:right w:val="nil"/>
            </w:tcBorders>
            <w:noWrap/>
            <w:vAlign w:val="center"/>
            <w:hideMark/>
          </w:tcPr>
          <w:p w:rsidR="005432A2" w:rsidRPr="005432A2" w:rsidP="005432A2" w14:paraId="73ED8100" w14:textId="77777777">
            <w:pPr>
              <w:jc w:val="right"/>
              <w:rPr>
                <w:rFonts w:ascii="Calibri" w:hAnsi="Calibri" w:cs="Calibri"/>
                <w:color w:val="000000"/>
                <w:sz w:val="8"/>
                <w:szCs w:val="8"/>
              </w:rPr>
            </w:pPr>
          </w:p>
        </w:tc>
        <w:tc>
          <w:tcPr>
            <w:tcW w:w="846" w:type="pct"/>
            <w:tcBorders>
              <w:top w:val="nil"/>
              <w:left w:val="single" w:sz="8" w:space="0" w:color="auto"/>
              <w:bottom w:val="single" w:sz="8" w:space="0" w:color="auto"/>
              <w:right w:val="nil"/>
            </w:tcBorders>
            <w:vAlign w:val="center"/>
            <w:hideMark/>
          </w:tcPr>
          <w:p w:rsidR="005432A2" w:rsidRPr="005432A2" w:rsidP="005432A2" w14:paraId="797AD901" w14:textId="77777777">
            <w:pPr>
              <w:rPr>
                <w:rFonts w:ascii="Calibri" w:hAnsi="Calibri" w:cs="Calibri"/>
                <w:color w:val="000000"/>
                <w:sz w:val="8"/>
                <w:szCs w:val="8"/>
              </w:rPr>
            </w:pPr>
            <w:r w:rsidRPr="005432A2">
              <w:rPr>
                <w:rFonts w:ascii="Calibri" w:hAnsi="Calibri" w:cs="Calibri"/>
                <w:color w:val="000000"/>
                <w:sz w:val="8"/>
                <w:szCs w:val="8"/>
              </w:rPr>
              <w:t>Personale dirigente</w:t>
            </w:r>
          </w:p>
        </w:tc>
        <w:tc>
          <w:tcPr>
            <w:tcW w:w="361" w:type="pct"/>
            <w:tcBorders>
              <w:top w:val="nil"/>
              <w:left w:val="single" w:sz="8" w:space="0" w:color="auto"/>
              <w:bottom w:val="single" w:sz="8" w:space="0" w:color="auto"/>
              <w:right w:val="single" w:sz="4" w:space="0" w:color="auto"/>
            </w:tcBorders>
            <w:noWrap/>
            <w:vAlign w:val="center"/>
            <w:hideMark/>
          </w:tcPr>
          <w:p w:rsidR="005432A2" w:rsidRPr="005432A2" w:rsidP="005432A2" w14:paraId="78E3ECE0" w14:textId="77777777">
            <w:pPr>
              <w:jc w:val="right"/>
              <w:rPr>
                <w:rFonts w:ascii="Calibri" w:hAnsi="Calibri" w:cs="Calibri"/>
                <w:color w:val="000000"/>
                <w:sz w:val="12"/>
                <w:szCs w:val="12"/>
              </w:rPr>
            </w:pPr>
            <w:r w:rsidRPr="005432A2">
              <w:rPr>
                <w:rFonts w:ascii="Calibri" w:hAnsi="Calibri" w:cs="Calibri"/>
                <w:color w:val="000000"/>
                <w:sz w:val="12"/>
                <w:szCs w:val="12"/>
              </w:rPr>
              <w:t>845.530,53</w:t>
            </w:r>
          </w:p>
        </w:tc>
        <w:tc>
          <w:tcPr>
            <w:tcW w:w="361" w:type="pct"/>
            <w:tcBorders>
              <w:top w:val="nil"/>
              <w:left w:val="nil"/>
              <w:bottom w:val="single" w:sz="8" w:space="0" w:color="auto"/>
              <w:right w:val="single" w:sz="4" w:space="0" w:color="auto"/>
            </w:tcBorders>
            <w:noWrap/>
            <w:vAlign w:val="center"/>
            <w:hideMark/>
          </w:tcPr>
          <w:p w:rsidR="005432A2" w:rsidRPr="005432A2" w:rsidP="005432A2" w14:paraId="5B0354C5" w14:textId="77777777">
            <w:pPr>
              <w:jc w:val="right"/>
              <w:rPr>
                <w:rFonts w:ascii="Calibri" w:hAnsi="Calibri" w:cs="Calibri"/>
                <w:color w:val="000000"/>
                <w:sz w:val="12"/>
                <w:szCs w:val="12"/>
              </w:rPr>
            </w:pPr>
            <w:r w:rsidRPr="005432A2">
              <w:rPr>
                <w:rFonts w:ascii="Calibri" w:hAnsi="Calibri" w:cs="Calibri"/>
                <w:color w:val="000000"/>
                <w:sz w:val="12"/>
                <w:szCs w:val="12"/>
              </w:rPr>
              <w:t>1.042.537,22</w:t>
            </w:r>
          </w:p>
        </w:tc>
        <w:tc>
          <w:tcPr>
            <w:tcW w:w="361" w:type="pct"/>
            <w:tcBorders>
              <w:top w:val="nil"/>
              <w:left w:val="nil"/>
              <w:bottom w:val="single" w:sz="8" w:space="0" w:color="auto"/>
              <w:right w:val="single" w:sz="4" w:space="0" w:color="auto"/>
            </w:tcBorders>
            <w:noWrap/>
            <w:vAlign w:val="center"/>
            <w:hideMark/>
          </w:tcPr>
          <w:p w:rsidR="005432A2" w:rsidRPr="005432A2" w:rsidP="005432A2" w14:paraId="29D7EC19" w14:textId="77777777">
            <w:pPr>
              <w:jc w:val="right"/>
              <w:rPr>
                <w:rFonts w:ascii="Calibri" w:hAnsi="Calibri" w:cs="Calibri"/>
                <w:color w:val="000000"/>
                <w:sz w:val="12"/>
                <w:szCs w:val="12"/>
              </w:rPr>
            </w:pPr>
            <w:r w:rsidRPr="005432A2">
              <w:rPr>
                <w:rFonts w:ascii="Calibri" w:hAnsi="Calibri" w:cs="Calibri"/>
                <w:color w:val="000000"/>
                <w:sz w:val="12"/>
                <w:szCs w:val="12"/>
              </w:rPr>
              <w:t>940.114,98</w:t>
            </w:r>
          </w:p>
        </w:tc>
        <w:tc>
          <w:tcPr>
            <w:tcW w:w="361" w:type="pct"/>
            <w:tcBorders>
              <w:top w:val="nil"/>
              <w:left w:val="nil"/>
              <w:bottom w:val="single" w:sz="8" w:space="0" w:color="auto"/>
              <w:right w:val="single" w:sz="4" w:space="0" w:color="auto"/>
            </w:tcBorders>
            <w:noWrap/>
            <w:vAlign w:val="center"/>
            <w:hideMark/>
          </w:tcPr>
          <w:p w:rsidR="005432A2" w:rsidRPr="005432A2" w:rsidP="005432A2" w14:paraId="5B894F73" w14:textId="77777777">
            <w:pPr>
              <w:jc w:val="right"/>
              <w:rPr>
                <w:rFonts w:ascii="Calibri" w:hAnsi="Calibri" w:cs="Calibri"/>
                <w:color w:val="000000"/>
                <w:sz w:val="12"/>
                <w:szCs w:val="12"/>
              </w:rPr>
            </w:pPr>
            <w:r w:rsidRPr="005432A2">
              <w:rPr>
                <w:rFonts w:ascii="Calibri" w:hAnsi="Calibri" w:cs="Calibri"/>
                <w:color w:val="000000"/>
                <w:sz w:val="12"/>
                <w:szCs w:val="12"/>
              </w:rPr>
              <w:t>2.184.024,86</w:t>
            </w:r>
          </w:p>
        </w:tc>
        <w:tc>
          <w:tcPr>
            <w:tcW w:w="361" w:type="pct"/>
            <w:tcBorders>
              <w:top w:val="nil"/>
              <w:left w:val="nil"/>
              <w:bottom w:val="single" w:sz="8" w:space="0" w:color="auto"/>
              <w:right w:val="single" w:sz="4" w:space="0" w:color="auto"/>
            </w:tcBorders>
            <w:noWrap/>
            <w:vAlign w:val="center"/>
            <w:hideMark/>
          </w:tcPr>
          <w:p w:rsidR="005432A2" w:rsidRPr="005432A2" w:rsidP="005432A2" w14:paraId="3DB9DCD9" w14:textId="77777777">
            <w:pPr>
              <w:jc w:val="right"/>
              <w:rPr>
                <w:rFonts w:ascii="Calibri" w:hAnsi="Calibri" w:cs="Calibri"/>
                <w:color w:val="000000"/>
                <w:sz w:val="12"/>
                <w:szCs w:val="12"/>
              </w:rPr>
            </w:pPr>
            <w:r w:rsidRPr="005432A2">
              <w:rPr>
                <w:rFonts w:ascii="Calibri" w:hAnsi="Calibri" w:cs="Calibri"/>
                <w:color w:val="000000"/>
                <w:sz w:val="12"/>
                <w:szCs w:val="12"/>
              </w:rPr>
              <w:t>994.012,47</w:t>
            </w:r>
          </w:p>
        </w:tc>
        <w:tc>
          <w:tcPr>
            <w:tcW w:w="361" w:type="pct"/>
            <w:tcBorders>
              <w:top w:val="nil"/>
              <w:left w:val="nil"/>
              <w:bottom w:val="single" w:sz="8" w:space="0" w:color="auto"/>
              <w:right w:val="single" w:sz="4" w:space="0" w:color="auto"/>
            </w:tcBorders>
            <w:noWrap/>
            <w:vAlign w:val="center"/>
            <w:hideMark/>
          </w:tcPr>
          <w:p w:rsidR="005432A2" w:rsidRPr="005432A2" w:rsidP="005432A2" w14:paraId="1E5A4428" w14:textId="77777777">
            <w:pPr>
              <w:jc w:val="right"/>
              <w:rPr>
                <w:rFonts w:ascii="Calibri" w:hAnsi="Calibri" w:cs="Calibri"/>
                <w:color w:val="000000"/>
                <w:sz w:val="12"/>
                <w:szCs w:val="12"/>
              </w:rPr>
            </w:pPr>
            <w:r w:rsidRPr="005432A2">
              <w:rPr>
                <w:rFonts w:ascii="Calibri" w:hAnsi="Calibri" w:cs="Calibri"/>
                <w:color w:val="000000"/>
                <w:sz w:val="12"/>
                <w:szCs w:val="12"/>
              </w:rPr>
              <w:t>1.645.638,73</w:t>
            </w:r>
          </w:p>
        </w:tc>
        <w:tc>
          <w:tcPr>
            <w:tcW w:w="361" w:type="pct"/>
            <w:tcBorders>
              <w:top w:val="nil"/>
              <w:left w:val="nil"/>
              <w:bottom w:val="single" w:sz="8" w:space="0" w:color="auto"/>
              <w:right w:val="single" w:sz="4" w:space="0" w:color="auto"/>
            </w:tcBorders>
            <w:noWrap/>
            <w:vAlign w:val="center"/>
            <w:hideMark/>
          </w:tcPr>
          <w:p w:rsidR="005432A2" w:rsidRPr="005432A2" w:rsidP="005432A2" w14:paraId="07F56569" w14:textId="77777777">
            <w:pPr>
              <w:jc w:val="right"/>
              <w:rPr>
                <w:rFonts w:ascii="Calibri" w:hAnsi="Calibri" w:cs="Calibri"/>
                <w:color w:val="000000"/>
                <w:sz w:val="12"/>
                <w:szCs w:val="12"/>
              </w:rPr>
            </w:pPr>
            <w:r w:rsidRPr="005432A2">
              <w:rPr>
                <w:rFonts w:ascii="Calibri" w:hAnsi="Calibri" w:cs="Calibri"/>
                <w:color w:val="000000"/>
                <w:sz w:val="12"/>
                <w:szCs w:val="12"/>
              </w:rPr>
              <w:t>1.504.029,28</w:t>
            </w:r>
          </w:p>
        </w:tc>
        <w:tc>
          <w:tcPr>
            <w:tcW w:w="361" w:type="pct"/>
            <w:tcBorders>
              <w:top w:val="nil"/>
              <w:left w:val="nil"/>
              <w:bottom w:val="single" w:sz="8" w:space="0" w:color="auto"/>
              <w:right w:val="single" w:sz="4" w:space="0" w:color="auto"/>
            </w:tcBorders>
            <w:noWrap/>
            <w:vAlign w:val="center"/>
            <w:hideMark/>
          </w:tcPr>
          <w:p w:rsidR="005432A2" w:rsidRPr="005432A2" w:rsidP="005432A2" w14:paraId="6C402D6E" w14:textId="77777777">
            <w:pPr>
              <w:jc w:val="right"/>
              <w:rPr>
                <w:rFonts w:ascii="Calibri" w:hAnsi="Calibri" w:cs="Calibri"/>
                <w:color w:val="000000"/>
                <w:sz w:val="12"/>
                <w:szCs w:val="12"/>
              </w:rPr>
            </w:pPr>
            <w:r w:rsidRPr="005432A2">
              <w:rPr>
                <w:rFonts w:ascii="Calibri" w:hAnsi="Calibri" w:cs="Calibri"/>
                <w:color w:val="000000"/>
                <w:sz w:val="12"/>
                <w:szCs w:val="12"/>
              </w:rPr>
              <w:t>1.400.702,22</w:t>
            </w:r>
          </w:p>
        </w:tc>
        <w:tc>
          <w:tcPr>
            <w:tcW w:w="361" w:type="pct"/>
            <w:tcBorders>
              <w:top w:val="nil"/>
              <w:left w:val="nil"/>
              <w:bottom w:val="single" w:sz="8" w:space="0" w:color="auto"/>
              <w:right w:val="single" w:sz="4" w:space="0" w:color="auto"/>
            </w:tcBorders>
            <w:noWrap/>
            <w:vAlign w:val="center"/>
            <w:hideMark/>
          </w:tcPr>
          <w:p w:rsidR="005432A2" w:rsidRPr="005432A2" w:rsidP="005432A2" w14:paraId="751BCF51" w14:textId="77777777">
            <w:pPr>
              <w:jc w:val="right"/>
              <w:rPr>
                <w:rFonts w:ascii="Calibri" w:hAnsi="Calibri" w:cs="Calibri"/>
                <w:color w:val="000000"/>
                <w:sz w:val="12"/>
                <w:szCs w:val="12"/>
              </w:rPr>
            </w:pPr>
            <w:r w:rsidRPr="005432A2">
              <w:rPr>
                <w:rFonts w:ascii="Calibri" w:hAnsi="Calibri" w:cs="Calibri"/>
                <w:color w:val="000000"/>
                <w:sz w:val="12"/>
                <w:szCs w:val="12"/>
              </w:rPr>
              <w:t>1.039.096,82</w:t>
            </w:r>
          </w:p>
        </w:tc>
        <w:tc>
          <w:tcPr>
            <w:tcW w:w="361" w:type="pct"/>
            <w:tcBorders>
              <w:top w:val="nil"/>
              <w:left w:val="nil"/>
              <w:bottom w:val="single" w:sz="8" w:space="0" w:color="auto"/>
              <w:right w:val="single" w:sz="4" w:space="0" w:color="auto"/>
            </w:tcBorders>
            <w:noWrap/>
            <w:vAlign w:val="center"/>
            <w:hideMark/>
          </w:tcPr>
          <w:p w:rsidR="005432A2" w:rsidRPr="005432A2" w:rsidP="005432A2" w14:paraId="46ED4818" w14:textId="77777777">
            <w:pPr>
              <w:jc w:val="right"/>
              <w:rPr>
                <w:rFonts w:ascii="Calibri" w:hAnsi="Calibri" w:cs="Calibri"/>
                <w:color w:val="000000"/>
                <w:sz w:val="12"/>
                <w:szCs w:val="12"/>
              </w:rPr>
            </w:pPr>
            <w:r w:rsidRPr="005432A2">
              <w:rPr>
                <w:rFonts w:ascii="Calibri" w:hAnsi="Calibri" w:cs="Calibri"/>
                <w:color w:val="000000"/>
                <w:sz w:val="12"/>
                <w:szCs w:val="12"/>
              </w:rPr>
              <w:t>831.436,00</w:t>
            </w:r>
          </w:p>
        </w:tc>
        <w:tc>
          <w:tcPr>
            <w:tcW w:w="361" w:type="pct"/>
            <w:tcBorders>
              <w:top w:val="nil"/>
              <w:left w:val="nil"/>
              <w:bottom w:val="single" w:sz="8" w:space="0" w:color="auto"/>
              <w:right w:val="single" w:sz="8" w:space="0" w:color="auto"/>
            </w:tcBorders>
            <w:noWrap/>
            <w:vAlign w:val="center"/>
            <w:hideMark/>
          </w:tcPr>
          <w:p w:rsidR="005432A2" w:rsidRPr="005432A2" w:rsidP="005432A2" w14:paraId="17F38954" w14:textId="77777777">
            <w:pPr>
              <w:jc w:val="right"/>
              <w:rPr>
                <w:rFonts w:ascii="Calibri" w:hAnsi="Calibri" w:cs="Calibri"/>
                <w:color w:val="000000"/>
                <w:sz w:val="12"/>
                <w:szCs w:val="12"/>
              </w:rPr>
            </w:pPr>
            <w:r w:rsidRPr="005432A2">
              <w:rPr>
                <w:rFonts w:ascii="Calibri" w:hAnsi="Calibri" w:cs="Calibri"/>
                <w:color w:val="000000"/>
                <w:sz w:val="12"/>
                <w:szCs w:val="12"/>
              </w:rPr>
              <w:t>597.680,70</w:t>
            </w:r>
          </w:p>
        </w:tc>
      </w:tr>
      <w:tr w14:paraId="487D81A7" w14:textId="77777777">
        <w:tblPrEx>
          <w:tblW w:w="5000" w:type="pct"/>
          <w:tblLook w:val="04A0"/>
        </w:tblPrEx>
        <w:trPr>
          <w:trHeight w:val="435"/>
        </w:trPr>
        <w:tc>
          <w:tcPr>
            <w:tcW w:w="186" w:type="pct"/>
            <w:tcBorders>
              <w:top w:val="nil"/>
              <w:left w:val="nil"/>
              <w:bottom w:val="nil"/>
              <w:right w:val="nil"/>
            </w:tcBorders>
            <w:noWrap/>
            <w:vAlign w:val="bottom"/>
            <w:hideMark/>
          </w:tcPr>
          <w:p w:rsidR="005432A2" w:rsidRPr="005432A2" w:rsidP="005432A2" w14:paraId="05A2574D" w14:textId="77777777">
            <w:pPr>
              <w:jc w:val="right"/>
              <w:rPr>
                <w:rFonts w:ascii="Calibri" w:hAnsi="Calibri" w:cs="Calibri"/>
                <w:color w:val="000000"/>
                <w:sz w:val="8"/>
                <w:szCs w:val="8"/>
              </w:rPr>
            </w:pPr>
          </w:p>
        </w:tc>
        <w:tc>
          <w:tcPr>
            <w:tcW w:w="846" w:type="pct"/>
            <w:tcBorders>
              <w:top w:val="nil"/>
              <w:left w:val="single" w:sz="8" w:space="0" w:color="auto"/>
              <w:bottom w:val="single" w:sz="8" w:space="0" w:color="auto"/>
              <w:right w:val="nil"/>
            </w:tcBorders>
            <w:shd w:val="clear" w:color="000000" w:fill="F8CBAD"/>
            <w:vAlign w:val="center"/>
            <w:hideMark/>
          </w:tcPr>
          <w:p w:rsidR="005432A2" w:rsidRPr="005432A2" w:rsidP="005432A2" w14:paraId="3FFBE9D5" w14:textId="77777777">
            <w:pPr>
              <w:jc w:val="right"/>
              <w:rPr>
                <w:rFonts w:ascii="Calibri" w:hAnsi="Calibri" w:cs="Calibri"/>
                <w:b/>
                <w:bCs/>
                <w:color w:val="000000"/>
                <w:sz w:val="8"/>
                <w:szCs w:val="8"/>
              </w:rPr>
            </w:pPr>
            <w:r w:rsidRPr="005432A2">
              <w:rPr>
                <w:rFonts w:ascii="Calibri" w:hAnsi="Calibri" w:cs="Calibri"/>
                <w:b/>
                <w:bCs/>
                <w:color w:val="000000"/>
                <w:sz w:val="8"/>
                <w:szCs w:val="8"/>
              </w:rPr>
              <w:t>Maggior onere</w:t>
            </w:r>
          </w:p>
        </w:tc>
        <w:tc>
          <w:tcPr>
            <w:tcW w:w="361" w:type="pct"/>
            <w:tcBorders>
              <w:top w:val="nil"/>
              <w:left w:val="single" w:sz="8" w:space="0" w:color="auto"/>
              <w:bottom w:val="single" w:sz="8" w:space="0" w:color="auto"/>
              <w:right w:val="single" w:sz="4" w:space="0" w:color="auto"/>
            </w:tcBorders>
            <w:noWrap/>
            <w:vAlign w:val="bottom"/>
            <w:hideMark/>
          </w:tcPr>
          <w:p w:rsidR="005432A2" w:rsidRPr="005432A2" w:rsidP="005432A2" w14:paraId="3E466772" w14:textId="77777777">
            <w:pPr>
              <w:jc w:val="right"/>
              <w:rPr>
                <w:rFonts w:ascii="Calibri" w:hAnsi="Calibri" w:cs="Calibri"/>
                <w:b/>
                <w:bCs/>
                <w:color w:val="000000"/>
                <w:sz w:val="12"/>
                <w:szCs w:val="12"/>
              </w:rPr>
            </w:pPr>
            <w:r w:rsidRPr="005432A2">
              <w:rPr>
                <w:rFonts w:ascii="Calibri" w:hAnsi="Calibri" w:cs="Calibri"/>
                <w:b/>
                <w:bCs/>
                <w:color w:val="000000"/>
                <w:sz w:val="12"/>
                <w:szCs w:val="12"/>
              </w:rPr>
              <w:t>41.196.052,26</w:t>
            </w:r>
          </w:p>
        </w:tc>
        <w:tc>
          <w:tcPr>
            <w:tcW w:w="361" w:type="pct"/>
            <w:tcBorders>
              <w:top w:val="nil"/>
              <w:left w:val="single" w:sz="8" w:space="0" w:color="auto"/>
              <w:bottom w:val="single" w:sz="8" w:space="0" w:color="auto"/>
              <w:right w:val="single" w:sz="4" w:space="0" w:color="auto"/>
            </w:tcBorders>
            <w:noWrap/>
            <w:vAlign w:val="bottom"/>
            <w:hideMark/>
          </w:tcPr>
          <w:p w:rsidR="005432A2" w:rsidRPr="005432A2" w:rsidP="005432A2" w14:paraId="2DFB5CCD" w14:textId="77777777">
            <w:pPr>
              <w:jc w:val="right"/>
              <w:rPr>
                <w:rFonts w:ascii="Calibri" w:hAnsi="Calibri" w:cs="Calibri"/>
                <w:b/>
                <w:bCs/>
                <w:color w:val="000000"/>
                <w:sz w:val="12"/>
                <w:szCs w:val="12"/>
              </w:rPr>
            </w:pPr>
            <w:r w:rsidRPr="005432A2">
              <w:rPr>
                <w:rFonts w:ascii="Calibri" w:hAnsi="Calibri" w:cs="Calibri"/>
                <w:b/>
                <w:bCs/>
                <w:color w:val="000000"/>
                <w:sz w:val="12"/>
                <w:szCs w:val="12"/>
              </w:rPr>
              <w:t>42.911.229,43</w:t>
            </w:r>
          </w:p>
        </w:tc>
        <w:tc>
          <w:tcPr>
            <w:tcW w:w="361" w:type="pct"/>
            <w:tcBorders>
              <w:top w:val="nil"/>
              <w:left w:val="single" w:sz="8" w:space="0" w:color="auto"/>
              <w:bottom w:val="single" w:sz="8" w:space="0" w:color="auto"/>
              <w:right w:val="single" w:sz="4" w:space="0" w:color="auto"/>
            </w:tcBorders>
            <w:noWrap/>
            <w:vAlign w:val="bottom"/>
            <w:hideMark/>
          </w:tcPr>
          <w:p w:rsidR="005432A2" w:rsidRPr="005432A2" w:rsidP="005432A2" w14:paraId="1F23FCE4" w14:textId="77777777">
            <w:pPr>
              <w:jc w:val="right"/>
              <w:rPr>
                <w:rFonts w:ascii="Calibri" w:hAnsi="Calibri" w:cs="Calibri"/>
                <w:b/>
                <w:bCs/>
                <w:color w:val="000000"/>
                <w:sz w:val="12"/>
                <w:szCs w:val="12"/>
              </w:rPr>
            </w:pPr>
            <w:r w:rsidRPr="005432A2">
              <w:rPr>
                <w:rFonts w:ascii="Calibri" w:hAnsi="Calibri" w:cs="Calibri"/>
                <w:b/>
                <w:bCs/>
                <w:color w:val="000000"/>
                <w:sz w:val="12"/>
                <w:szCs w:val="12"/>
              </w:rPr>
              <w:t>43.512.183,08</w:t>
            </w:r>
          </w:p>
        </w:tc>
        <w:tc>
          <w:tcPr>
            <w:tcW w:w="361" w:type="pct"/>
            <w:tcBorders>
              <w:top w:val="nil"/>
              <w:left w:val="single" w:sz="8" w:space="0" w:color="auto"/>
              <w:bottom w:val="single" w:sz="8" w:space="0" w:color="auto"/>
              <w:right w:val="single" w:sz="4" w:space="0" w:color="auto"/>
            </w:tcBorders>
            <w:noWrap/>
            <w:vAlign w:val="bottom"/>
            <w:hideMark/>
          </w:tcPr>
          <w:p w:rsidR="005432A2" w:rsidRPr="005432A2" w:rsidP="005432A2" w14:paraId="42A97731" w14:textId="77777777">
            <w:pPr>
              <w:jc w:val="right"/>
              <w:rPr>
                <w:rFonts w:ascii="Calibri" w:hAnsi="Calibri" w:cs="Calibri"/>
                <w:b/>
                <w:bCs/>
                <w:color w:val="000000"/>
                <w:sz w:val="12"/>
                <w:szCs w:val="12"/>
              </w:rPr>
            </w:pPr>
            <w:r w:rsidRPr="005432A2">
              <w:rPr>
                <w:rFonts w:ascii="Calibri" w:hAnsi="Calibri" w:cs="Calibri"/>
                <w:b/>
                <w:bCs/>
                <w:color w:val="000000"/>
                <w:sz w:val="12"/>
                <w:szCs w:val="12"/>
              </w:rPr>
              <w:t>44.857.451,38</w:t>
            </w:r>
          </w:p>
        </w:tc>
        <w:tc>
          <w:tcPr>
            <w:tcW w:w="361" w:type="pct"/>
            <w:tcBorders>
              <w:top w:val="nil"/>
              <w:left w:val="single" w:sz="8" w:space="0" w:color="auto"/>
              <w:bottom w:val="single" w:sz="8" w:space="0" w:color="auto"/>
              <w:right w:val="single" w:sz="4" w:space="0" w:color="auto"/>
            </w:tcBorders>
            <w:noWrap/>
            <w:vAlign w:val="bottom"/>
            <w:hideMark/>
          </w:tcPr>
          <w:p w:rsidR="005432A2" w:rsidRPr="005432A2" w:rsidP="005432A2" w14:paraId="7A4E6DC3" w14:textId="77777777">
            <w:pPr>
              <w:jc w:val="right"/>
              <w:rPr>
                <w:rFonts w:ascii="Calibri" w:hAnsi="Calibri" w:cs="Calibri"/>
                <w:b/>
                <w:bCs/>
                <w:color w:val="000000"/>
                <w:sz w:val="12"/>
                <w:szCs w:val="12"/>
              </w:rPr>
            </w:pPr>
            <w:r w:rsidRPr="005432A2">
              <w:rPr>
                <w:rFonts w:ascii="Calibri" w:hAnsi="Calibri" w:cs="Calibri"/>
                <w:b/>
                <w:bCs/>
                <w:color w:val="000000"/>
                <w:sz w:val="12"/>
                <w:szCs w:val="12"/>
              </w:rPr>
              <w:t>47.195.713,26</w:t>
            </w:r>
          </w:p>
        </w:tc>
        <w:tc>
          <w:tcPr>
            <w:tcW w:w="361" w:type="pct"/>
            <w:tcBorders>
              <w:top w:val="nil"/>
              <w:left w:val="single" w:sz="8" w:space="0" w:color="auto"/>
              <w:bottom w:val="single" w:sz="8" w:space="0" w:color="auto"/>
              <w:right w:val="single" w:sz="4" w:space="0" w:color="auto"/>
            </w:tcBorders>
            <w:noWrap/>
            <w:vAlign w:val="bottom"/>
            <w:hideMark/>
          </w:tcPr>
          <w:p w:rsidR="005432A2" w:rsidRPr="005432A2" w:rsidP="005432A2" w14:paraId="2DD5BF50" w14:textId="77777777">
            <w:pPr>
              <w:jc w:val="right"/>
              <w:rPr>
                <w:rFonts w:ascii="Calibri" w:hAnsi="Calibri" w:cs="Calibri"/>
                <w:b/>
                <w:bCs/>
                <w:color w:val="000000"/>
                <w:sz w:val="12"/>
                <w:szCs w:val="12"/>
              </w:rPr>
            </w:pPr>
            <w:r w:rsidRPr="005432A2">
              <w:rPr>
                <w:rFonts w:ascii="Calibri" w:hAnsi="Calibri" w:cs="Calibri"/>
                <w:b/>
                <w:bCs/>
                <w:color w:val="000000"/>
                <w:sz w:val="12"/>
                <w:szCs w:val="12"/>
              </w:rPr>
              <w:t>46.146.165,24</w:t>
            </w:r>
          </w:p>
        </w:tc>
        <w:tc>
          <w:tcPr>
            <w:tcW w:w="361" w:type="pct"/>
            <w:tcBorders>
              <w:top w:val="nil"/>
              <w:left w:val="single" w:sz="8" w:space="0" w:color="auto"/>
              <w:bottom w:val="single" w:sz="8" w:space="0" w:color="auto"/>
              <w:right w:val="single" w:sz="4" w:space="0" w:color="auto"/>
            </w:tcBorders>
            <w:noWrap/>
            <w:vAlign w:val="bottom"/>
            <w:hideMark/>
          </w:tcPr>
          <w:p w:rsidR="005432A2" w:rsidRPr="005432A2" w:rsidP="005432A2" w14:paraId="7C192212" w14:textId="77777777">
            <w:pPr>
              <w:jc w:val="right"/>
              <w:rPr>
                <w:rFonts w:ascii="Calibri" w:hAnsi="Calibri" w:cs="Calibri"/>
                <w:b/>
                <w:bCs/>
                <w:color w:val="000000"/>
                <w:sz w:val="12"/>
                <w:szCs w:val="12"/>
              </w:rPr>
            </w:pPr>
            <w:r w:rsidRPr="005432A2">
              <w:rPr>
                <w:rFonts w:ascii="Calibri" w:hAnsi="Calibri" w:cs="Calibri"/>
                <w:b/>
                <w:bCs/>
                <w:color w:val="000000"/>
                <w:sz w:val="12"/>
                <w:szCs w:val="12"/>
              </w:rPr>
              <w:t>46.193.059,87</w:t>
            </w:r>
          </w:p>
        </w:tc>
        <w:tc>
          <w:tcPr>
            <w:tcW w:w="361" w:type="pct"/>
            <w:tcBorders>
              <w:top w:val="nil"/>
              <w:left w:val="single" w:sz="8" w:space="0" w:color="auto"/>
              <w:bottom w:val="single" w:sz="8" w:space="0" w:color="auto"/>
              <w:right w:val="single" w:sz="4" w:space="0" w:color="auto"/>
            </w:tcBorders>
            <w:noWrap/>
            <w:vAlign w:val="bottom"/>
            <w:hideMark/>
          </w:tcPr>
          <w:p w:rsidR="005432A2" w:rsidRPr="005432A2" w:rsidP="005432A2" w14:paraId="6B3D0DB7" w14:textId="77777777">
            <w:pPr>
              <w:jc w:val="right"/>
              <w:rPr>
                <w:rFonts w:ascii="Calibri" w:hAnsi="Calibri" w:cs="Calibri"/>
                <w:b/>
                <w:bCs/>
                <w:color w:val="000000"/>
                <w:sz w:val="12"/>
                <w:szCs w:val="12"/>
              </w:rPr>
            </w:pPr>
            <w:r w:rsidRPr="005432A2">
              <w:rPr>
                <w:rFonts w:ascii="Calibri" w:hAnsi="Calibri" w:cs="Calibri"/>
                <w:b/>
                <w:bCs/>
                <w:color w:val="000000"/>
                <w:sz w:val="12"/>
                <w:szCs w:val="12"/>
              </w:rPr>
              <w:t>47.336.138,67</w:t>
            </w:r>
          </w:p>
        </w:tc>
        <w:tc>
          <w:tcPr>
            <w:tcW w:w="361" w:type="pct"/>
            <w:tcBorders>
              <w:top w:val="nil"/>
              <w:left w:val="single" w:sz="8" w:space="0" w:color="auto"/>
              <w:bottom w:val="single" w:sz="8" w:space="0" w:color="auto"/>
              <w:right w:val="single" w:sz="4" w:space="0" w:color="auto"/>
            </w:tcBorders>
            <w:noWrap/>
            <w:vAlign w:val="bottom"/>
            <w:hideMark/>
          </w:tcPr>
          <w:p w:rsidR="005432A2" w:rsidRPr="005432A2" w:rsidP="005432A2" w14:paraId="20440504" w14:textId="77777777">
            <w:pPr>
              <w:jc w:val="right"/>
              <w:rPr>
                <w:rFonts w:ascii="Calibri" w:hAnsi="Calibri" w:cs="Calibri"/>
                <w:b/>
                <w:bCs/>
                <w:color w:val="000000"/>
                <w:sz w:val="12"/>
                <w:szCs w:val="12"/>
              </w:rPr>
            </w:pPr>
            <w:r w:rsidRPr="005432A2">
              <w:rPr>
                <w:rFonts w:ascii="Calibri" w:hAnsi="Calibri" w:cs="Calibri"/>
                <w:b/>
                <w:bCs/>
                <w:color w:val="000000"/>
                <w:sz w:val="12"/>
                <w:szCs w:val="12"/>
              </w:rPr>
              <w:t>43.805.198,59</w:t>
            </w:r>
          </w:p>
        </w:tc>
        <w:tc>
          <w:tcPr>
            <w:tcW w:w="361" w:type="pct"/>
            <w:tcBorders>
              <w:top w:val="nil"/>
              <w:left w:val="single" w:sz="8" w:space="0" w:color="auto"/>
              <w:bottom w:val="single" w:sz="8" w:space="0" w:color="auto"/>
              <w:right w:val="single" w:sz="4" w:space="0" w:color="auto"/>
            </w:tcBorders>
            <w:noWrap/>
            <w:vAlign w:val="bottom"/>
            <w:hideMark/>
          </w:tcPr>
          <w:p w:rsidR="005432A2" w:rsidRPr="005432A2" w:rsidP="005432A2" w14:paraId="6C8134B4" w14:textId="77777777">
            <w:pPr>
              <w:jc w:val="right"/>
              <w:rPr>
                <w:rFonts w:ascii="Calibri" w:hAnsi="Calibri" w:cs="Calibri"/>
                <w:b/>
                <w:bCs/>
                <w:color w:val="000000"/>
                <w:sz w:val="12"/>
                <w:szCs w:val="12"/>
              </w:rPr>
            </w:pPr>
            <w:r w:rsidRPr="005432A2">
              <w:rPr>
                <w:rFonts w:ascii="Calibri" w:hAnsi="Calibri" w:cs="Calibri"/>
                <w:b/>
                <w:bCs/>
                <w:color w:val="000000"/>
                <w:sz w:val="12"/>
                <w:szCs w:val="12"/>
              </w:rPr>
              <w:t>41.464.740,11</w:t>
            </w:r>
          </w:p>
        </w:tc>
        <w:tc>
          <w:tcPr>
            <w:tcW w:w="361" w:type="pct"/>
            <w:tcBorders>
              <w:top w:val="nil"/>
              <w:left w:val="single" w:sz="8" w:space="0" w:color="auto"/>
              <w:bottom w:val="single" w:sz="8" w:space="0" w:color="auto"/>
              <w:right w:val="single" w:sz="8" w:space="0" w:color="auto"/>
            </w:tcBorders>
            <w:noWrap/>
            <w:vAlign w:val="bottom"/>
            <w:hideMark/>
          </w:tcPr>
          <w:p w:rsidR="005432A2" w:rsidRPr="005432A2" w:rsidP="005432A2" w14:paraId="33CFDDD2" w14:textId="77777777">
            <w:pPr>
              <w:jc w:val="right"/>
              <w:rPr>
                <w:rFonts w:ascii="Calibri" w:hAnsi="Calibri" w:cs="Calibri"/>
                <w:b/>
                <w:bCs/>
                <w:color w:val="000000"/>
                <w:sz w:val="12"/>
                <w:szCs w:val="12"/>
              </w:rPr>
            </w:pPr>
            <w:r w:rsidRPr="005432A2">
              <w:rPr>
                <w:rFonts w:ascii="Calibri" w:hAnsi="Calibri" w:cs="Calibri"/>
                <w:b/>
                <w:bCs/>
                <w:color w:val="000000"/>
                <w:sz w:val="12"/>
                <w:szCs w:val="12"/>
              </w:rPr>
              <w:t>45.965.608,40</w:t>
            </w:r>
          </w:p>
        </w:tc>
      </w:tr>
      <w:tr w14:paraId="09E53BCE" w14:textId="77777777">
        <w:tblPrEx>
          <w:tblW w:w="5000" w:type="pct"/>
          <w:tblLook w:val="04A0"/>
        </w:tblPrEx>
        <w:trPr>
          <w:trHeight w:val="465"/>
        </w:trPr>
        <w:tc>
          <w:tcPr>
            <w:tcW w:w="186" w:type="pct"/>
            <w:tcBorders>
              <w:top w:val="nil"/>
              <w:left w:val="nil"/>
              <w:bottom w:val="nil"/>
              <w:right w:val="nil"/>
            </w:tcBorders>
            <w:noWrap/>
            <w:vAlign w:val="bottom"/>
            <w:hideMark/>
          </w:tcPr>
          <w:p w:rsidR="005432A2" w:rsidRPr="005432A2" w:rsidP="005432A2" w14:paraId="11E3BEA2" w14:textId="77777777">
            <w:pPr>
              <w:jc w:val="right"/>
              <w:rPr>
                <w:rFonts w:ascii="Calibri" w:hAnsi="Calibri" w:cs="Calibri"/>
                <w:b/>
                <w:bCs/>
                <w:color w:val="000000"/>
                <w:sz w:val="8"/>
                <w:szCs w:val="8"/>
              </w:rPr>
            </w:pPr>
          </w:p>
        </w:tc>
        <w:tc>
          <w:tcPr>
            <w:tcW w:w="846" w:type="pct"/>
            <w:tcBorders>
              <w:top w:val="nil"/>
              <w:left w:val="single" w:sz="8" w:space="0" w:color="auto"/>
              <w:bottom w:val="single" w:sz="8" w:space="0" w:color="auto"/>
              <w:right w:val="nil"/>
            </w:tcBorders>
            <w:vAlign w:val="center"/>
            <w:hideMark/>
          </w:tcPr>
          <w:p w:rsidR="005432A2" w:rsidRPr="005432A2" w:rsidP="005432A2" w14:paraId="691513F5" w14:textId="77777777">
            <w:pPr>
              <w:jc w:val="right"/>
              <w:rPr>
                <w:rFonts w:ascii="Calibri" w:hAnsi="Calibri" w:cs="Calibri"/>
                <w:b/>
                <w:bCs/>
                <w:color w:val="000000"/>
                <w:sz w:val="8"/>
                <w:szCs w:val="8"/>
              </w:rPr>
            </w:pPr>
            <w:r w:rsidRPr="005432A2">
              <w:rPr>
                <w:rFonts w:ascii="Calibri" w:hAnsi="Calibri" w:cs="Calibri"/>
                <w:b/>
                <w:bCs/>
                <w:color w:val="000000"/>
                <w:sz w:val="8"/>
                <w:szCs w:val="8"/>
              </w:rPr>
              <w:t>Oneri indiretti</w:t>
            </w:r>
          </w:p>
        </w:tc>
        <w:tc>
          <w:tcPr>
            <w:tcW w:w="361" w:type="pct"/>
            <w:tcBorders>
              <w:top w:val="nil"/>
              <w:left w:val="single" w:sz="8" w:space="0" w:color="auto"/>
              <w:bottom w:val="single" w:sz="8" w:space="0" w:color="auto"/>
              <w:right w:val="single" w:sz="4" w:space="0" w:color="auto"/>
            </w:tcBorders>
            <w:noWrap/>
            <w:vAlign w:val="center"/>
            <w:hideMark/>
          </w:tcPr>
          <w:p w:rsidR="005432A2" w:rsidRPr="005432A2" w:rsidP="005432A2" w14:paraId="68AB864D" w14:textId="77777777">
            <w:pPr>
              <w:jc w:val="right"/>
              <w:rPr>
                <w:rFonts w:ascii="Calibri" w:hAnsi="Calibri" w:cs="Calibri"/>
                <w:b/>
                <w:bCs/>
                <w:color w:val="000000"/>
                <w:sz w:val="12"/>
                <w:szCs w:val="12"/>
              </w:rPr>
            </w:pPr>
            <w:r w:rsidRPr="005432A2">
              <w:rPr>
                <w:rFonts w:ascii="Calibri" w:hAnsi="Calibri" w:cs="Calibri"/>
                <w:b/>
                <w:bCs/>
                <w:color w:val="000000"/>
                <w:sz w:val="12"/>
                <w:szCs w:val="12"/>
              </w:rPr>
              <w:t>2.429.055,84</w:t>
            </w:r>
          </w:p>
        </w:tc>
        <w:tc>
          <w:tcPr>
            <w:tcW w:w="361" w:type="pct"/>
            <w:tcBorders>
              <w:top w:val="nil"/>
              <w:left w:val="nil"/>
              <w:bottom w:val="single" w:sz="8" w:space="0" w:color="auto"/>
              <w:right w:val="single" w:sz="4" w:space="0" w:color="auto"/>
            </w:tcBorders>
            <w:noWrap/>
            <w:vAlign w:val="center"/>
            <w:hideMark/>
          </w:tcPr>
          <w:p w:rsidR="005432A2" w:rsidRPr="005432A2" w:rsidP="005432A2" w14:paraId="174C322F" w14:textId="77777777">
            <w:pPr>
              <w:jc w:val="right"/>
              <w:rPr>
                <w:rFonts w:ascii="Calibri" w:hAnsi="Calibri" w:cs="Calibri"/>
                <w:b/>
                <w:bCs/>
                <w:color w:val="000000"/>
                <w:sz w:val="12"/>
                <w:szCs w:val="12"/>
              </w:rPr>
            </w:pPr>
            <w:r w:rsidRPr="005432A2">
              <w:rPr>
                <w:rFonts w:ascii="Calibri" w:hAnsi="Calibri" w:cs="Calibri"/>
                <w:b/>
                <w:bCs/>
                <w:color w:val="000000"/>
                <w:sz w:val="12"/>
                <w:szCs w:val="12"/>
              </w:rPr>
              <w:t>2.530.188,38</w:t>
            </w:r>
          </w:p>
        </w:tc>
        <w:tc>
          <w:tcPr>
            <w:tcW w:w="361" w:type="pct"/>
            <w:tcBorders>
              <w:top w:val="nil"/>
              <w:left w:val="nil"/>
              <w:bottom w:val="single" w:sz="8" w:space="0" w:color="auto"/>
              <w:right w:val="single" w:sz="4" w:space="0" w:color="auto"/>
            </w:tcBorders>
            <w:noWrap/>
            <w:vAlign w:val="center"/>
            <w:hideMark/>
          </w:tcPr>
          <w:p w:rsidR="005432A2" w:rsidRPr="005432A2" w:rsidP="005432A2" w14:paraId="612DF25D" w14:textId="77777777">
            <w:pPr>
              <w:jc w:val="right"/>
              <w:rPr>
                <w:rFonts w:ascii="Calibri" w:hAnsi="Calibri" w:cs="Calibri"/>
                <w:b/>
                <w:bCs/>
                <w:color w:val="000000"/>
                <w:sz w:val="12"/>
                <w:szCs w:val="12"/>
              </w:rPr>
            </w:pPr>
            <w:r w:rsidRPr="005432A2">
              <w:rPr>
                <w:rFonts w:ascii="Calibri" w:hAnsi="Calibri" w:cs="Calibri"/>
                <w:b/>
                <w:bCs/>
                <w:color w:val="000000"/>
                <w:sz w:val="12"/>
                <w:szCs w:val="12"/>
              </w:rPr>
              <w:t>2.565.622,60</w:t>
            </w:r>
          </w:p>
        </w:tc>
        <w:tc>
          <w:tcPr>
            <w:tcW w:w="361" w:type="pct"/>
            <w:tcBorders>
              <w:top w:val="nil"/>
              <w:left w:val="nil"/>
              <w:bottom w:val="single" w:sz="8" w:space="0" w:color="auto"/>
              <w:right w:val="single" w:sz="4" w:space="0" w:color="auto"/>
            </w:tcBorders>
            <w:noWrap/>
            <w:vAlign w:val="center"/>
            <w:hideMark/>
          </w:tcPr>
          <w:p w:rsidR="005432A2" w:rsidRPr="005432A2" w:rsidP="005432A2" w14:paraId="3AB7C9F4" w14:textId="77777777">
            <w:pPr>
              <w:jc w:val="right"/>
              <w:rPr>
                <w:rFonts w:ascii="Calibri" w:hAnsi="Calibri" w:cs="Calibri"/>
                <w:b/>
                <w:bCs/>
                <w:color w:val="000000"/>
                <w:sz w:val="12"/>
                <w:szCs w:val="12"/>
              </w:rPr>
            </w:pPr>
            <w:r w:rsidRPr="005432A2">
              <w:rPr>
                <w:rFonts w:ascii="Calibri" w:hAnsi="Calibri" w:cs="Calibri"/>
                <w:b/>
                <w:bCs/>
                <w:color w:val="000000"/>
                <w:sz w:val="12"/>
                <w:szCs w:val="12"/>
              </w:rPr>
              <w:t>2.644.944,08</w:t>
            </w:r>
          </w:p>
        </w:tc>
        <w:tc>
          <w:tcPr>
            <w:tcW w:w="361" w:type="pct"/>
            <w:tcBorders>
              <w:top w:val="nil"/>
              <w:left w:val="nil"/>
              <w:bottom w:val="single" w:sz="8" w:space="0" w:color="auto"/>
              <w:right w:val="single" w:sz="4" w:space="0" w:color="auto"/>
            </w:tcBorders>
            <w:noWrap/>
            <w:vAlign w:val="center"/>
            <w:hideMark/>
          </w:tcPr>
          <w:p w:rsidR="005432A2" w:rsidRPr="005432A2" w:rsidP="005432A2" w14:paraId="37CB6C42" w14:textId="77777777">
            <w:pPr>
              <w:jc w:val="right"/>
              <w:rPr>
                <w:rFonts w:ascii="Calibri" w:hAnsi="Calibri" w:cs="Calibri"/>
                <w:b/>
                <w:bCs/>
                <w:color w:val="000000"/>
                <w:sz w:val="12"/>
                <w:szCs w:val="12"/>
              </w:rPr>
            </w:pPr>
            <w:r w:rsidRPr="005432A2">
              <w:rPr>
                <w:rFonts w:ascii="Calibri" w:hAnsi="Calibri" w:cs="Calibri"/>
                <w:b/>
                <w:bCs/>
                <w:color w:val="000000"/>
                <w:sz w:val="12"/>
                <w:szCs w:val="12"/>
              </w:rPr>
              <w:t>2.782.815,75</w:t>
            </w:r>
          </w:p>
        </w:tc>
        <w:tc>
          <w:tcPr>
            <w:tcW w:w="361" w:type="pct"/>
            <w:tcBorders>
              <w:top w:val="nil"/>
              <w:left w:val="nil"/>
              <w:bottom w:val="single" w:sz="8" w:space="0" w:color="auto"/>
              <w:right w:val="single" w:sz="4" w:space="0" w:color="auto"/>
            </w:tcBorders>
            <w:noWrap/>
            <w:vAlign w:val="center"/>
            <w:hideMark/>
          </w:tcPr>
          <w:p w:rsidR="005432A2" w:rsidRPr="005432A2" w:rsidP="005432A2" w14:paraId="1204F8EB" w14:textId="77777777">
            <w:pPr>
              <w:jc w:val="right"/>
              <w:rPr>
                <w:rFonts w:ascii="Calibri" w:hAnsi="Calibri" w:cs="Calibri"/>
                <w:b/>
                <w:bCs/>
                <w:color w:val="000000"/>
                <w:sz w:val="12"/>
                <w:szCs w:val="12"/>
              </w:rPr>
            </w:pPr>
            <w:r w:rsidRPr="005432A2">
              <w:rPr>
                <w:rFonts w:ascii="Calibri" w:hAnsi="Calibri" w:cs="Calibri"/>
                <w:b/>
                <w:bCs/>
                <w:color w:val="000000"/>
                <w:sz w:val="12"/>
                <w:szCs w:val="12"/>
              </w:rPr>
              <w:t>2.720.930,92</w:t>
            </w:r>
          </w:p>
        </w:tc>
        <w:tc>
          <w:tcPr>
            <w:tcW w:w="361" w:type="pct"/>
            <w:tcBorders>
              <w:top w:val="nil"/>
              <w:left w:val="nil"/>
              <w:bottom w:val="single" w:sz="8" w:space="0" w:color="auto"/>
              <w:right w:val="single" w:sz="4" w:space="0" w:color="auto"/>
            </w:tcBorders>
            <w:noWrap/>
            <w:vAlign w:val="center"/>
            <w:hideMark/>
          </w:tcPr>
          <w:p w:rsidR="005432A2" w:rsidRPr="005432A2" w:rsidP="005432A2" w14:paraId="63CE1A26" w14:textId="77777777">
            <w:pPr>
              <w:jc w:val="right"/>
              <w:rPr>
                <w:rFonts w:ascii="Calibri" w:hAnsi="Calibri" w:cs="Calibri"/>
                <w:b/>
                <w:bCs/>
                <w:color w:val="000000"/>
                <w:sz w:val="12"/>
                <w:szCs w:val="12"/>
              </w:rPr>
            </w:pPr>
            <w:r w:rsidRPr="005432A2">
              <w:rPr>
                <w:rFonts w:ascii="Calibri" w:hAnsi="Calibri" w:cs="Calibri"/>
                <w:b/>
                <w:bCs/>
                <w:color w:val="000000"/>
                <w:sz w:val="12"/>
                <w:szCs w:val="12"/>
              </w:rPr>
              <w:t>2.723.695,98</w:t>
            </w:r>
          </w:p>
        </w:tc>
        <w:tc>
          <w:tcPr>
            <w:tcW w:w="361" w:type="pct"/>
            <w:tcBorders>
              <w:top w:val="nil"/>
              <w:left w:val="nil"/>
              <w:bottom w:val="single" w:sz="8" w:space="0" w:color="auto"/>
              <w:right w:val="single" w:sz="4" w:space="0" w:color="auto"/>
            </w:tcBorders>
            <w:noWrap/>
            <w:vAlign w:val="center"/>
            <w:hideMark/>
          </w:tcPr>
          <w:p w:rsidR="005432A2" w:rsidRPr="005432A2" w:rsidP="005432A2" w14:paraId="74CE0848" w14:textId="77777777">
            <w:pPr>
              <w:jc w:val="right"/>
              <w:rPr>
                <w:rFonts w:ascii="Calibri" w:hAnsi="Calibri" w:cs="Calibri"/>
                <w:b/>
                <w:bCs/>
                <w:color w:val="000000"/>
                <w:sz w:val="12"/>
                <w:szCs w:val="12"/>
              </w:rPr>
            </w:pPr>
            <w:r w:rsidRPr="005432A2">
              <w:rPr>
                <w:rFonts w:ascii="Calibri" w:hAnsi="Calibri" w:cs="Calibri"/>
                <w:b/>
                <w:bCs/>
                <w:color w:val="000000"/>
                <w:sz w:val="12"/>
                <w:szCs w:val="12"/>
              </w:rPr>
              <w:t>2.791.095,70</w:t>
            </w:r>
          </w:p>
        </w:tc>
        <w:tc>
          <w:tcPr>
            <w:tcW w:w="361" w:type="pct"/>
            <w:tcBorders>
              <w:top w:val="nil"/>
              <w:left w:val="nil"/>
              <w:bottom w:val="single" w:sz="8" w:space="0" w:color="auto"/>
              <w:right w:val="single" w:sz="4" w:space="0" w:color="auto"/>
            </w:tcBorders>
            <w:noWrap/>
            <w:vAlign w:val="center"/>
            <w:hideMark/>
          </w:tcPr>
          <w:p w:rsidR="005432A2" w:rsidRPr="005432A2" w:rsidP="005432A2" w14:paraId="1F20A240" w14:textId="77777777">
            <w:pPr>
              <w:jc w:val="right"/>
              <w:rPr>
                <w:rFonts w:ascii="Calibri" w:hAnsi="Calibri" w:cs="Calibri"/>
                <w:b/>
                <w:bCs/>
                <w:color w:val="000000"/>
                <w:sz w:val="12"/>
                <w:szCs w:val="12"/>
              </w:rPr>
            </w:pPr>
            <w:r w:rsidRPr="005432A2">
              <w:rPr>
                <w:rFonts w:ascii="Calibri" w:hAnsi="Calibri" w:cs="Calibri"/>
                <w:b/>
                <w:bCs/>
                <w:color w:val="000000"/>
                <w:sz w:val="12"/>
                <w:szCs w:val="12"/>
              </w:rPr>
              <w:t>2.582.899,76</w:t>
            </w:r>
          </w:p>
        </w:tc>
        <w:tc>
          <w:tcPr>
            <w:tcW w:w="361" w:type="pct"/>
            <w:tcBorders>
              <w:top w:val="nil"/>
              <w:left w:val="nil"/>
              <w:bottom w:val="single" w:sz="8" w:space="0" w:color="auto"/>
              <w:right w:val="single" w:sz="4" w:space="0" w:color="auto"/>
            </w:tcBorders>
            <w:noWrap/>
            <w:vAlign w:val="center"/>
            <w:hideMark/>
          </w:tcPr>
          <w:p w:rsidR="005432A2" w:rsidRPr="005432A2" w:rsidP="005432A2" w14:paraId="41FD40E6" w14:textId="77777777">
            <w:pPr>
              <w:jc w:val="right"/>
              <w:rPr>
                <w:rFonts w:ascii="Calibri" w:hAnsi="Calibri" w:cs="Calibri"/>
                <w:b/>
                <w:bCs/>
                <w:color w:val="000000"/>
                <w:sz w:val="12"/>
                <w:szCs w:val="12"/>
              </w:rPr>
            </w:pPr>
            <w:r w:rsidRPr="005432A2">
              <w:rPr>
                <w:rFonts w:ascii="Calibri" w:hAnsi="Calibri" w:cs="Calibri"/>
                <w:b/>
                <w:bCs/>
                <w:color w:val="000000"/>
                <w:sz w:val="12"/>
                <w:szCs w:val="12"/>
              </w:rPr>
              <w:t>2.444.898,57</w:t>
            </w:r>
          </w:p>
        </w:tc>
        <w:tc>
          <w:tcPr>
            <w:tcW w:w="361" w:type="pct"/>
            <w:tcBorders>
              <w:top w:val="nil"/>
              <w:left w:val="nil"/>
              <w:bottom w:val="single" w:sz="8" w:space="0" w:color="auto"/>
              <w:right w:val="single" w:sz="8" w:space="0" w:color="auto"/>
            </w:tcBorders>
            <w:noWrap/>
            <w:vAlign w:val="center"/>
            <w:hideMark/>
          </w:tcPr>
          <w:p w:rsidR="005432A2" w:rsidRPr="005432A2" w:rsidP="005432A2" w14:paraId="2BAF949E" w14:textId="77777777">
            <w:pPr>
              <w:jc w:val="right"/>
              <w:rPr>
                <w:rFonts w:ascii="Calibri" w:hAnsi="Calibri" w:cs="Calibri"/>
                <w:b/>
                <w:bCs/>
                <w:color w:val="000000"/>
                <w:sz w:val="12"/>
                <w:szCs w:val="12"/>
              </w:rPr>
            </w:pPr>
            <w:r w:rsidRPr="005432A2">
              <w:rPr>
                <w:rFonts w:ascii="Calibri" w:hAnsi="Calibri" w:cs="Calibri"/>
                <w:b/>
                <w:bCs/>
                <w:color w:val="000000"/>
                <w:sz w:val="12"/>
                <w:szCs w:val="12"/>
              </w:rPr>
              <w:t>2.710.284,69</w:t>
            </w:r>
          </w:p>
        </w:tc>
      </w:tr>
      <w:tr w14:paraId="7D16BF5E" w14:textId="77777777">
        <w:tblPrEx>
          <w:tblW w:w="5000" w:type="pct"/>
          <w:tblLook w:val="04A0"/>
        </w:tblPrEx>
        <w:trPr>
          <w:trHeight w:val="585"/>
        </w:trPr>
        <w:tc>
          <w:tcPr>
            <w:tcW w:w="186" w:type="pct"/>
            <w:tcBorders>
              <w:top w:val="nil"/>
              <w:left w:val="nil"/>
              <w:bottom w:val="nil"/>
              <w:right w:val="nil"/>
            </w:tcBorders>
            <w:noWrap/>
            <w:vAlign w:val="bottom"/>
            <w:hideMark/>
          </w:tcPr>
          <w:p w:rsidR="005432A2" w:rsidRPr="005432A2" w:rsidP="005432A2" w14:paraId="3A340F79" w14:textId="77777777">
            <w:pPr>
              <w:jc w:val="right"/>
              <w:rPr>
                <w:rFonts w:ascii="Calibri" w:hAnsi="Calibri" w:cs="Calibri"/>
                <w:b/>
                <w:bCs/>
                <w:color w:val="000000"/>
                <w:sz w:val="8"/>
                <w:szCs w:val="8"/>
              </w:rPr>
            </w:pPr>
          </w:p>
        </w:tc>
        <w:tc>
          <w:tcPr>
            <w:tcW w:w="846" w:type="pct"/>
            <w:tcBorders>
              <w:top w:val="nil"/>
              <w:left w:val="single" w:sz="8" w:space="0" w:color="auto"/>
              <w:bottom w:val="single" w:sz="8" w:space="0" w:color="auto"/>
              <w:right w:val="nil"/>
            </w:tcBorders>
            <w:shd w:val="clear" w:color="000000" w:fill="F8CBAD"/>
            <w:vAlign w:val="center"/>
            <w:hideMark/>
          </w:tcPr>
          <w:p w:rsidR="005432A2" w:rsidRPr="005432A2" w:rsidP="005432A2" w14:paraId="7A42734A" w14:textId="77777777">
            <w:pPr>
              <w:jc w:val="right"/>
              <w:rPr>
                <w:rFonts w:ascii="Calibri" w:hAnsi="Calibri" w:cs="Calibri"/>
                <w:b/>
                <w:bCs/>
                <w:color w:val="000000"/>
                <w:sz w:val="8"/>
                <w:szCs w:val="8"/>
              </w:rPr>
            </w:pPr>
            <w:r w:rsidRPr="005432A2">
              <w:rPr>
                <w:rFonts w:ascii="Calibri" w:hAnsi="Calibri" w:cs="Calibri"/>
                <w:b/>
                <w:bCs/>
                <w:color w:val="000000"/>
                <w:sz w:val="8"/>
                <w:szCs w:val="8"/>
              </w:rPr>
              <w:t xml:space="preserve">Totale onere proposta riordino </w:t>
            </w:r>
            <w:r w:rsidRPr="005432A2">
              <w:rPr>
                <w:rFonts w:ascii="Calibri" w:hAnsi="Calibri" w:cs="Calibri"/>
                <w:b/>
                <w:bCs/>
                <w:color w:val="000000"/>
                <w:sz w:val="8"/>
                <w:szCs w:val="8"/>
              </w:rPr>
              <w:t>l.S</w:t>
            </w:r>
            <w:r w:rsidRPr="005432A2">
              <w:rPr>
                <w:rFonts w:ascii="Calibri" w:hAnsi="Calibri" w:cs="Calibri"/>
                <w:b/>
                <w:bCs/>
                <w:color w:val="000000"/>
                <w:sz w:val="8"/>
                <w:szCs w:val="8"/>
              </w:rPr>
              <w:t>.</w:t>
            </w:r>
          </w:p>
        </w:tc>
        <w:tc>
          <w:tcPr>
            <w:tcW w:w="361" w:type="pct"/>
            <w:tcBorders>
              <w:top w:val="nil"/>
              <w:left w:val="single" w:sz="8" w:space="0" w:color="auto"/>
              <w:bottom w:val="single" w:sz="8" w:space="0" w:color="auto"/>
              <w:right w:val="single" w:sz="4" w:space="0" w:color="auto"/>
            </w:tcBorders>
            <w:shd w:val="clear" w:color="000000" w:fill="F8CBAD"/>
            <w:noWrap/>
            <w:vAlign w:val="center"/>
            <w:hideMark/>
          </w:tcPr>
          <w:p w:rsidR="005432A2" w:rsidRPr="005432A2" w:rsidP="005432A2" w14:paraId="624DD205" w14:textId="77777777">
            <w:pPr>
              <w:jc w:val="right"/>
              <w:rPr>
                <w:rFonts w:ascii="Calibri" w:hAnsi="Calibri" w:cs="Calibri"/>
                <w:b/>
                <w:bCs/>
                <w:color w:val="000000"/>
                <w:sz w:val="12"/>
                <w:szCs w:val="12"/>
              </w:rPr>
            </w:pPr>
            <w:r w:rsidRPr="005432A2">
              <w:rPr>
                <w:rFonts w:ascii="Calibri" w:hAnsi="Calibri" w:cs="Calibri"/>
                <w:b/>
                <w:bCs/>
                <w:color w:val="000000"/>
                <w:sz w:val="12"/>
                <w:szCs w:val="12"/>
              </w:rPr>
              <w:t>43.625.108,10</w:t>
            </w:r>
          </w:p>
        </w:tc>
        <w:tc>
          <w:tcPr>
            <w:tcW w:w="361" w:type="pct"/>
            <w:tcBorders>
              <w:top w:val="nil"/>
              <w:left w:val="nil"/>
              <w:bottom w:val="single" w:sz="8" w:space="0" w:color="auto"/>
              <w:right w:val="single" w:sz="4" w:space="0" w:color="auto"/>
            </w:tcBorders>
            <w:shd w:val="clear" w:color="000000" w:fill="F8CBAD"/>
            <w:noWrap/>
            <w:vAlign w:val="center"/>
            <w:hideMark/>
          </w:tcPr>
          <w:p w:rsidR="005432A2" w:rsidRPr="005432A2" w:rsidP="005432A2" w14:paraId="5E7EF8A2" w14:textId="77777777">
            <w:pPr>
              <w:jc w:val="right"/>
              <w:rPr>
                <w:rFonts w:ascii="Calibri" w:hAnsi="Calibri" w:cs="Calibri"/>
                <w:b/>
                <w:bCs/>
                <w:color w:val="000000"/>
                <w:sz w:val="12"/>
                <w:szCs w:val="12"/>
              </w:rPr>
            </w:pPr>
            <w:r w:rsidRPr="005432A2">
              <w:rPr>
                <w:rFonts w:ascii="Calibri" w:hAnsi="Calibri" w:cs="Calibri"/>
                <w:b/>
                <w:bCs/>
                <w:color w:val="000000"/>
                <w:sz w:val="12"/>
                <w:szCs w:val="12"/>
              </w:rPr>
              <w:t>45.441.417,81</w:t>
            </w:r>
          </w:p>
        </w:tc>
        <w:tc>
          <w:tcPr>
            <w:tcW w:w="361" w:type="pct"/>
            <w:tcBorders>
              <w:top w:val="nil"/>
              <w:left w:val="nil"/>
              <w:bottom w:val="single" w:sz="8" w:space="0" w:color="auto"/>
              <w:right w:val="single" w:sz="4" w:space="0" w:color="auto"/>
            </w:tcBorders>
            <w:shd w:val="clear" w:color="000000" w:fill="F8CBAD"/>
            <w:noWrap/>
            <w:vAlign w:val="center"/>
            <w:hideMark/>
          </w:tcPr>
          <w:p w:rsidR="005432A2" w:rsidRPr="005432A2" w:rsidP="005432A2" w14:paraId="4815517E" w14:textId="77777777">
            <w:pPr>
              <w:jc w:val="right"/>
              <w:rPr>
                <w:rFonts w:ascii="Calibri" w:hAnsi="Calibri" w:cs="Calibri"/>
                <w:b/>
                <w:bCs/>
                <w:color w:val="000000"/>
                <w:sz w:val="12"/>
                <w:szCs w:val="12"/>
              </w:rPr>
            </w:pPr>
            <w:r w:rsidRPr="005432A2">
              <w:rPr>
                <w:rFonts w:ascii="Calibri" w:hAnsi="Calibri" w:cs="Calibri"/>
                <w:b/>
                <w:bCs/>
                <w:color w:val="000000"/>
                <w:sz w:val="12"/>
                <w:szCs w:val="12"/>
              </w:rPr>
              <w:t>46.077.805,67</w:t>
            </w:r>
          </w:p>
        </w:tc>
        <w:tc>
          <w:tcPr>
            <w:tcW w:w="361" w:type="pct"/>
            <w:tcBorders>
              <w:top w:val="nil"/>
              <w:left w:val="nil"/>
              <w:bottom w:val="single" w:sz="8" w:space="0" w:color="auto"/>
              <w:right w:val="single" w:sz="4" w:space="0" w:color="auto"/>
            </w:tcBorders>
            <w:shd w:val="clear" w:color="000000" w:fill="F8CBAD"/>
            <w:noWrap/>
            <w:vAlign w:val="center"/>
            <w:hideMark/>
          </w:tcPr>
          <w:p w:rsidR="005432A2" w:rsidRPr="005432A2" w:rsidP="005432A2" w14:paraId="74E4252A" w14:textId="77777777">
            <w:pPr>
              <w:jc w:val="right"/>
              <w:rPr>
                <w:rFonts w:ascii="Calibri" w:hAnsi="Calibri" w:cs="Calibri"/>
                <w:b/>
                <w:bCs/>
                <w:color w:val="000000"/>
                <w:sz w:val="12"/>
                <w:szCs w:val="12"/>
              </w:rPr>
            </w:pPr>
            <w:r w:rsidRPr="005432A2">
              <w:rPr>
                <w:rFonts w:ascii="Calibri" w:hAnsi="Calibri" w:cs="Calibri"/>
                <w:b/>
                <w:bCs/>
                <w:color w:val="000000"/>
                <w:sz w:val="12"/>
                <w:szCs w:val="12"/>
              </w:rPr>
              <w:t>47.502.395,46</w:t>
            </w:r>
          </w:p>
        </w:tc>
        <w:tc>
          <w:tcPr>
            <w:tcW w:w="361" w:type="pct"/>
            <w:tcBorders>
              <w:top w:val="nil"/>
              <w:left w:val="nil"/>
              <w:bottom w:val="single" w:sz="8" w:space="0" w:color="auto"/>
              <w:right w:val="single" w:sz="4" w:space="0" w:color="auto"/>
            </w:tcBorders>
            <w:shd w:val="clear" w:color="000000" w:fill="F8CBAD"/>
            <w:noWrap/>
            <w:vAlign w:val="center"/>
            <w:hideMark/>
          </w:tcPr>
          <w:p w:rsidR="005432A2" w:rsidRPr="005432A2" w:rsidP="005432A2" w14:paraId="6F72A6A7" w14:textId="77777777">
            <w:pPr>
              <w:jc w:val="right"/>
              <w:rPr>
                <w:rFonts w:ascii="Calibri" w:hAnsi="Calibri" w:cs="Calibri"/>
                <w:b/>
                <w:bCs/>
                <w:color w:val="000000"/>
                <w:sz w:val="12"/>
                <w:szCs w:val="12"/>
              </w:rPr>
            </w:pPr>
            <w:r w:rsidRPr="005432A2">
              <w:rPr>
                <w:rFonts w:ascii="Calibri" w:hAnsi="Calibri" w:cs="Calibri"/>
                <w:b/>
                <w:bCs/>
                <w:color w:val="000000"/>
                <w:sz w:val="12"/>
                <w:szCs w:val="12"/>
              </w:rPr>
              <w:t>49.978.529,01</w:t>
            </w:r>
          </w:p>
        </w:tc>
        <w:tc>
          <w:tcPr>
            <w:tcW w:w="361" w:type="pct"/>
            <w:tcBorders>
              <w:top w:val="nil"/>
              <w:left w:val="nil"/>
              <w:bottom w:val="single" w:sz="8" w:space="0" w:color="auto"/>
              <w:right w:val="single" w:sz="4" w:space="0" w:color="auto"/>
            </w:tcBorders>
            <w:shd w:val="clear" w:color="000000" w:fill="F8CBAD"/>
            <w:noWrap/>
            <w:vAlign w:val="center"/>
            <w:hideMark/>
          </w:tcPr>
          <w:p w:rsidR="005432A2" w:rsidRPr="005432A2" w:rsidP="005432A2" w14:paraId="1C70522D" w14:textId="77777777">
            <w:pPr>
              <w:jc w:val="right"/>
              <w:rPr>
                <w:rFonts w:ascii="Calibri" w:hAnsi="Calibri" w:cs="Calibri"/>
                <w:b/>
                <w:bCs/>
                <w:color w:val="000000"/>
                <w:sz w:val="12"/>
                <w:szCs w:val="12"/>
              </w:rPr>
            </w:pPr>
            <w:r w:rsidRPr="005432A2">
              <w:rPr>
                <w:rFonts w:ascii="Calibri" w:hAnsi="Calibri" w:cs="Calibri"/>
                <w:b/>
                <w:bCs/>
                <w:color w:val="000000"/>
                <w:sz w:val="12"/>
                <w:szCs w:val="12"/>
              </w:rPr>
              <w:t>48.867.096,16</w:t>
            </w:r>
          </w:p>
        </w:tc>
        <w:tc>
          <w:tcPr>
            <w:tcW w:w="361" w:type="pct"/>
            <w:tcBorders>
              <w:top w:val="nil"/>
              <w:left w:val="nil"/>
              <w:bottom w:val="single" w:sz="8" w:space="0" w:color="auto"/>
              <w:right w:val="single" w:sz="4" w:space="0" w:color="auto"/>
            </w:tcBorders>
            <w:shd w:val="clear" w:color="000000" w:fill="F8CBAD"/>
            <w:noWrap/>
            <w:vAlign w:val="center"/>
            <w:hideMark/>
          </w:tcPr>
          <w:p w:rsidR="005432A2" w:rsidRPr="005432A2" w:rsidP="005432A2" w14:paraId="1C0D456B" w14:textId="77777777">
            <w:pPr>
              <w:jc w:val="right"/>
              <w:rPr>
                <w:rFonts w:ascii="Calibri" w:hAnsi="Calibri" w:cs="Calibri"/>
                <w:b/>
                <w:bCs/>
                <w:color w:val="000000"/>
                <w:sz w:val="12"/>
                <w:szCs w:val="12"/>
              </w:rPr>
            </w:pPr>
            <w:r w:rsidRPr="005432A2">
              <w:rPr>
                <w:rFonts w:ascii="Calibri" w:hAnsi="Calibri" w:cs="Calibri"/>
                <w:b/>
                <w:bCs/>
                <w:color w:val="000000"/>
                <w:sz w:val="12"/>
                <w:szCs w:val="12"/>
              </w:rPr>
              <w:t>48.916.755,85</w:t>
            </w:r>
          </w:p>
        </w:tc>
        <w:tc>
          <w:tcPr>
            <w:tcW w:w="361" w:type="pct"/>
            <w:tcBorders>
              <w:top w:val="nil"/>
              <w:left w:val="nil"/>
              <w:bottom w:val="single" w:sz="8" w:space="0" w:color="auto"/>
              <w:right w:val="single" w:sz="4" w:space="0" w:color="auto"/>
            </w:tcBorders>
            <w:shd w:val="clear" w:color="000000" w:fill="F8CBAD"/>
            <w:noWrap/>
            <w:vAlign w:val="center"/>
            <w:hideMark/>
          </w:tcPr>
          <w:p w:rsidR="005432A2" w:rsidRPr="005432A2" w:rsidP="005432A2" w14:paraId="442CCEC5" w14:textId="77777777">
            <w:pPr>
              <w:jc w:val="right"/>
              <w:rPr>
                <w:rFonts w:ascii="Calibri" w:hAnsi="Calibri" w:cs="Calibri"/>
                <w:b/>
                <w:bCs/>
                <w:color w:val="000000"/>
                <w:sz w:val="12"/>
                <w:szCs w:val="12"/>
              </w:rPr>
            </w:pPr>
            <w:r w:rsidRPr="005432A2">
              <w:rPr>
                <w:rFonts w:ascii="Calibri" w:hAnsi="Calibri" w:cs="Calibri"/>
                <w:b/>
                <w:bCs/>
                <w:color w:val="000000"/>
                <w:sz w:val="12"/>
                <w:szCs w:val="12"/>
              </w:rPr>
              <w:t>50.127.234,36</w:t>
            </w:r>
          </w:p>
        </w:tc>
        <w:tc>
          <w:tcPr>
            <w:tcW w:w="361" w:type="pct"/>
            <w:tcBorders>
              <w:top w:val="nil"/>
              <w:left w:val="nil"/>
              <w:bottom w:val="single" w:sz="8" w:space="0" w:color="auto"/>
              <w:right w:val="single" w:sz="4" w:space="0" w:color="auto"/>
            </w:tcBorders>
            <w:shd w:val="clear" w:color="000000" w:fill="F8CBAD"/>
            <w:noWrap/>
            <w:vAlign w:val="center"/>
            <w:hideMark/>
          </w:tcPr>
          <w:p w:rsidR="005432A2" w:rsidRPr="005432A2" w:rsidP="005432A2" w14:paraId="06053E8D" w14:textId="77777777">
            <w:pPr>
              <w:jc w:val="right"/>
              <w:rPr>
                <w:rFonts w:ascii="Calibri" w:hAnsi="Calibri" w:cs="Calibri"/>
                <w:b/>
                <w:bCs/>
                <w:color w:val="000000"/>
                <w:sz w:val="12"/>
                <w:szCs w:val="12"/>
              </w:rPr>
            </w:pPr>
            <w:r w:rsidRPr="005432A2">
              <w:rPr>
                <w:rFonts w:ascii="Calibri" w:hAnsi="Calibri" w:cs="Calibri"/>
                <w:b/>
                <w:bCs/>
                <w:color w:val="000000"/>
                <w:sz w:val="12"/>
                <w:szCs w:val="12"/>
              </w:rPr>
              <w:t>46.388.098,35</w:t>
            </w:r>
          </w:p>
        </w:tc>
        <w:tc>
          <w:tcPr>
            <w:tcW w:w="361" w:type="pct"/>
            <w:tcBorders>
              <w:top w:val="nil"/>
              <w:left w:val="nil"/>
              <w:bottom w:val="single" w:sz="8" w:space="0" w:color="auto"/>
              <w:right w:val="single" w:sz="4" w:space="0" w:color="auto"/>
            </w:tcBorders>
            <w:shd w:val="clear" w:color="000000" w:fill="F8CBAD"/>
            <w:noWrap/>
            <w:vAlign w:val="center"/>
            <w:hideMark/>
          </w:tcPr>
          <w:p w:rsidR="005432A2" w:rsidRPr="005432A2" w:rsidP="005432A2" w14:paraId="123D58AE" w14:textId="77777777">
            <w:pPr>
              <w:jc w:val="right"/>
              <w:rPr>
                <w:rFonts w:ascii="Calibri" w:hAnsi="Calibri" w:cs="Calibri"/>
                <w:b/>
                <w:bCs/>
                <w:color w:val="000000"/>
                <w:sz w:val="12"/>
                <w:szCs w:val="12"/>
              </w:rPr>
            </w:pPr>
            <w:r w:rsidRPr="005432A2">
              <w:rPr>
                <w:rFonts w:ascii="Calibri" w:hAnsi="Calibri" w:cs="Calibri"/>
                <w:b/>
                <w:bCs/>
                <w:color w:val="000000"/>
                <w:sz w:val="12"/>
                <w:szCs w:val="12"/>
              </w:rPr>
              <w:t>43.909.638,67</w:t>
            </w:r>
          </w:p>
        </w:tc>
        <w:tc>
          <w:tcPr>
            <w:tcW w:w="361" w:type="pct"/>
            <w:tcBorders>
              <w:top w:val="nil"/>
              <w:left w:val="nil"/>
              <w:bottom w:val="single" w:sz="8" w:space="0" w:color="auto"/>
              <w:right w:val="single" w:sz="8" w:space="0" w:color="auto"/>
            </w:tcBorders>
            <w:shd w:val="clear" w:color="000000" w:fill="F8CBAD"/>
            <w:noWrap/>
            <w:vAlign w:val="center"/>
            <w:hideMark/>
          </w:tcPr>
          <w:p w:rsidR="005432A2" w:rsidRPr="005432A2" w:rsidP="005432A2" w14:paraId="567FBA31" w14:textId="77777777">
            <w:pPr>
              <w:jc w:val="right"/>
              <w:rPr>
                <w:rFonts w:ascii="Calibri" w:hAnsi="Calibri" w:cs="Calibri"/>
                <w:b/>
                <w:bCs/>
                <w:color w:val="000000"/>
                <w:sz w:val="12"/>
                <w:szCs w:val="12"/>
              </w:rPr>
            </w:pPr>
            <w:r w:rsidRPr="005432A2">
              <w:rPr>
                <w:rFonts w:ascii="Calibri" w:hAnsi="Calibri" w:cs="Calibri"/>
                <w:b/>
                <w:bCs/>
                <w:color w:val="000000"/>
                <w:sz w:val="12"/>
                <w:szCs w:val="12"/>
              </w:rPr>
              <w:t>48.675.893,09</w:t>
            </w:r>
          </w:p>
        </w:tc>
      </w:tr>
    </w:tbl>
    <w:p w:rsidR="00A21FC7" w:rsidRPr="008D1C69" w:rsidP="008D1C69" w14:paraId="5F97A739" w14:textId="72F2F2DB">
      <w:pPr>
        <w:spacing w:after="120"/>
        <w:jc w:val="both"/>
        <w:rPr>
          <w:rStyle w:val="eop"/>
          <w:rFonts w:eastAsiaTheme="majorEastAsia"/>
          <w:color w:val="FF0000"/>
          <w:highlight w:val="yellow"/>
          <w:shd w:val="clear" w:color="auto" w:fill="FFFFFF"/>
        </w:rPr>
      </w:pPr>
    </w:p>
    <w:p w:rsidR="005B0A0B" w:rsidRPr="00186260" w:rsidP="008D1C69" w14:paraId="14948C08" w14:textId="3409F144">
      <w:pPr>
        <w:spacing w:after="120"/>
        <w:jc w:val="both"/>
        <w:rPr>
          <w:rFonts w:eastAsia="Calibri"/>
          <w:color w:val="FF0000"/>
        </w:rPr>
      </w:pPr>
      <w:r w:rsidRPr="00186260">
        <w:rPr>
          <w:rFonts w:eastAsia="Calibri"/>
          <w:color w:val="FF0000"/>
        </w:rPr>
        <w:t xml:space="preserve">Come si evince dai prospetti che precedono, rispetto alle risorse stanziate per il 2026 e poi a decorrere dal 2027 (il 2033 è l’annualità di picco), emerge uno splafonamento di circa 16,127 milioni di euro. Nell’ambito </w:t>
      </w:r>
      <w:r w:rsidRPr="00186260" w:rsidR="00186260">
        <w:rPr>
          <w:rFonts w:eastAsia="Calibri"/>
          <w:color w:val="FF0000"/>
        </w:rPr>
        <w:t>della revisione</w:t>
      </w:r>
      <w:r w:rsidRPr="00186260">
        <w:rPr>
          <w:rFonts w:eastAsia="Calibri"/>
          <w:color w:val="FF0000"/>
        </w:rPr>
        <w:t xml:space="preserve"> ordinamentale assume altresì importanza un potenziamento dell’organico dei dirigenti VVF, che si sostanzia in uno sviluppo in tale carriera dei funzionari apicali dei ruoli direttivi e ciò in linea con il percorso di “</w:t>
      </w:r>
      <w:r w:rsidRPr="00186260">
        <w:rPr>
          <w:rFonts w:eastAsia="Calibri"/>
          <w:color w:val="FF0000"/>
        </w:rPr>
        <w:t>dirigenzializzazione</w:t>
      </w:r>
      <w:r w:rsidRPr="00186260">
        <w:rPr>
          <w:rFonts w:eastAsia="Calibri"/>
          <w:color w:val="FF0000"/>
        </w:rPr>
        <w:t xml:space="preserve">” che ha riguardato le qualifiche apicali dei direttivi delle Forze di polizia ai sensi del decreto legislativo n. 95 del 2018. </w:t>
      </w:r>
    </w:p>
    <w:p w:rsidR="005B0A0B" w:rsidRPr="00186260" w:rsidP="008D1C69" w14:paraId="21CCD591" w14:textId="5F0FC63D">
      <w:pPr>
        <w:spacing w:after="120"/>
        <w:jc w:val="both"/>
        <w:rPr>
          <w:rFonts w:eastAsia="Calibri"/>
          <w:color w:val="FF0000"/>
        </w:rPr>
      </w:pPr>
      <w:r w:rsidRPr="00186260">
        <w:rPr>
          <w:rFonts w:eastAsia="Calibri"/>
          <w:color w:val="FF0000"/>
        </w:rPr>
        <w:t>Dalle tabelle che seguono si evincono gli oneri per singola linea di intervento.</w:t>
      </w:r>
    </w:p>
    <w:p w:rsidR="00186260" w:rsidP="008D1C69" w14:paraId="5F5057BC" w14:textId="735C1390">
      <w:pPr>
        <w:spacing w:after="120"/>
        <w:jc w:val="center"/>
        <w:rPr>
          <w:rFonts w:eastAsia="Calibri"/>
          <w:b/>
          <w:bCs/>
          <w:color w:val="FF0000"/>
        </w:rPr>
      </w:pPr>
    </w:p>
    <w:p w:rsidR="005B0A0B" w:rsidRPr="00186260" w:rsidP="008D1C69" w14:paraId="4A29DA2A" w14:textId="77777777">
      <w:pPr>
        <w:spacing w:after="120"/>
        <w:jc w:val="center"/>
        <w:rPr>
          <w:rFonts w:eastAsia="Calibri"/>
          <w:b/>
          <w:bCs/>
          <w:color w:val="FF0000"/>
        </w:rPr>
      </w:pPr>
      <w:r w:rsidRPr="00186260">
        <w:rPr>
          <w:rFonts w:eastAsia="Calibri"/>
          <w:b/>
          <w:bCs/>
          <w:color w:val="FF0000"/>
        </w:rPr>
        <w:t xml:space="preserve">IPOTESI POTENZIAMENTO PRIMI DIRIGENTI E DIRIGENTI SUPERIORI   </w:t>
      </w:r>
    </w:p>
    <w:p w:rsidR="00A21FC7" w:rsidRPr="00186260" w:rsidP="008D1C69" w14:paraId="150675AC" w14:textId="23A36D1E">
      <w:pPr>
        <w:spacing w:after="120"/>
        <w:jc w:val="both"/>
        <w:rPr>
          <w:rStyle w:val="eop"/>
          <w:rFonts w:eastAsiaTheme="majorEastAsia"/>
          <w:color w:val="FF0000"/>
          <w:shd w:val="clear" w:color="auto" w:fill="FFFFFF"/>
        </w:rPr>
      </w:pPr>
      <w:r w:rsidRPr="00186260">
        <w:rPr>
          <w:noProof/>
          <w:color w:val="FF0000"/>
        </w:rPr>
        <w:drawing>
          <wp:inline distT="0" distB="0" distL="0" distR="0">
            <wp:extent cx="6119200" cy="2253082"/>
            <wp:effectExtent l="0" t="0" r="0" b="0"/>
            <wp:docPr id="561132607"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32607" name="Picture 9"/>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6135192" cy="2258970"/>
                    </a:xfrm>
                    <a:prstGeom prst="rect">
                      <a:avLst/>
                    </a:prstGeom>
                    <a:noFill/>
                    <a:ln>
                      <a:noFill/>
                    </a:ln>
                  </pic:spPr>
                </pic:pic>
              </a:graphicData>
            </a:graphic>
          </wp:inline>
        </w:drawing>
      </w:r>
    </w:p>
    <w:p w:rsidR="00EB61EC" w:rsidRPr="00186260" w:rsidP="008D1C69" w14:paraId="607BFB74" w14:textId="77777777">
      <w:pPr>
        <w:spacing w:after="120"/>
        <w:jc w:val="both"/>
        <w:rPr>
          <w:rFonts w:eastAsia="Calibri"/>
          <w:color w:val="FF0000"/>
        </w:rPr>
      </w:pPr>
      <w:r w:rsidRPr="00186260">
        <w:rPr>
          <w:rFonts w:eastAsia="Calibri"/>
          <w:color w:val="FF0000"/>
        </w:rPr>
        <w:t>A fronte di ogni linea di intervento, si riportano si riportano qui di seguito le modalità di determinazione dell’onere concernente ciascun ruolo dirigenziale, distinguendo fra dirigenza operativa e dirigenza tecnico (</w:t>
      </w:r>
      <w:bookmarkStart w:id="6" w:name="_Hlk212454397"/>
      <w:r w:rsidRPr="00186260">
        <w:rPr>
          <w:rFonts w:eastAsia="Calibri"/>
          <w:color w:val="FF0000"/>
        </w:rPr>
        <w:t>gli attuali ruoli tecnico-professionali</w:t>
      </w:r>
      <w:bookmarkEnd w:id="6"/>
      <w:r w:rsidRPr="00186260">
        <w:rPr>
          <w:rFonts w:eastAsia="Calibri"/>
          <w:color w:val="FF0000"/>
        </w:rPr>
        <w:t>).</w:t>
      </w:r>
    </w:p>
    <w:p w:rsidR="00F4620E" w:rsidP="008D1C69" w14:paraId="2292520D" w14:textId="77777777">
      <w:pPr>
        <w:spacing w:after="120"/>
        <w:jc w:val="both"/>
        <w:rPr>
          <w:rFonts w:eastAsia="Calibri"/>
          <w:b/>
          <w:bCs/>
          <w:i/>
          <w:iCs/>
          <w:color w:val="FF0000"/>
        </w:rPr>
      </w:pPr>
    </w:p>
    <w:p w:rsidR="00F4620E" w:rsidP="008D1C69" w14:paraId="762C3E0C" w14:textId="77777777">
      <w:pPr>
        <w:spacing w:after="120"/>
        <w:jc w:val="both"/>
        <w:rPr>
          <w:rFonts w:eastAsia="Calibri"/>
          <w:b/>
          <w:bCs/>
          <w:i/>
          <w:iCs/>
          <w:color w:val="FF0000"/>
        </w:rPr>
      </w:pPr>
    </w:p>
    <w:p w:rsidR="00A21FC7" w:rsidP="008D1C69" w14:paraId="42E47AE3" w14:textId="626274EB">
      <w:pPr>
        <w:spacing w:after="120"/>
        <w:jc w:val="both"/>
        <w:rPr>
          <w:rFonts w:eastAsia="Calibri"/>
          <w:b/>
          <w:bCs/>
          <w:i/>
          <w:iCs/>
          <w:color w:val="FF0000"/>
        </w:rPr>
      </w:pPr>
      <w:r w:rsidRPr="00186260">
        <w:rPr>
          <w:rFonts w:eastAsia="Calibri"/>
          <w:b/>
          <w:bCs/>
          <w:i/>
          <w:iCs/>
          <w:color w:val="FF0000"/>
        </w:rPr>
        <w:t>Dirigenti dei ruoli operativi</w:t>
      </w:r>
    </w:p>
    <w:p w:rsidR="00BC40CB" w:rsidP="008D1C69" w14:paraId="12CBFE5A" w14:textId="2E8311DD">
      <w:pPr>
        <w:spacing w:after="120"/>
        <w:jc w:val="both"/>
        <w:rPr>
          <w:rFonts w:eastAsia="Calibri"/>
          <w:b/>
          <w:bCs/>
          <w:i/>
          <w:iCs/>
          <w:color w:val="FF0000"/>
        </w:rPr>
      </w:pPr>
      <w:r w:rsidRPr="00BC40CB">
        <w:rPr>
          <w:rFonts w:eastAsia="Calibri"/>
          <w:noProof/>
        </w:rPr>
        <w:drawing>
          <wp:inline distT="0" distB="0" distL="0" distR="0">
            <wp:extent cx="6119426" cy="8258860"/>
            <wp:effectExtent l="0" t="0" r="0" b="0"/>
            <wp:docPr id="3599939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99397" name="Picture 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6133384" cy="8277698"/>
                    </a:xfrm>
                    <a:prstGeom prst="rect">
                      <a:avLst/>
                    </a:prstGeom>
                    <a:noFill/>
                    <a:ln>
                      <a:noFill/>
                    </a:ln>
                  </pic:spPr>
                </pic:pic>
              </a:graphicData>
            </a:graphic>
          </wp:inline>
        </w:drawing>
      </w:r>
    </w:p>
    <w:p w:rsidR="00A668DD" w:rsidP="008D1C69" w14:paraId="7E5F0F5F" w14:textId="77777777">
      <w:pPr>
        <w:spacing w:after="120"/>
        <w:jc w:val="both"/>
        <w:rPr>
          <w:rFonts w:eastAsia="Calibri"/>
          <w:b/>
          <w:bCs/>
          <w:i/>
          <w:iCs/>
          <w:color w:val="FF0000"/>
        </w:rPr>
      </w:pPr>
    </w:p>
    <w:p w:rsidR="00BD2EA5" w:rsidP="008D1C69" w14:paraId="4510F6E2" w14:textId="493CBE13">
      <w:pPr>
        <w:spacing w:after="120"/>
        <w:jc w:val="both"/>
        <w:rPr>
          <w:rFonts w:eastAsia="Calibri"/>
          <w:b/>
          <w:bCs/>
          <w:i/>
          <w:iCs/>
          <w:color w:val="FF0000"/>
        </w:rPr>
      </w:pPr>
      <w:r w:rsidRPr="00186260">
        <w:rPr>
          <w:rFonts w:eastAsia="Calibri"/>
          <w:b/>
          <w:bCs/>
          <w:i/>
          <w:iCs/>
          <w:color w:val="FF0000"/>
        </w:rPr>
        <w:t>Dirigenti dei ruoli tecnici (gli attuali ruoli tecnico-professionali)</w:t>
      </w:r>
    </w:p>
    <w:p w:rsidR="00386D39" w:rsidP="008D1C69" w14:paraId="38B2CFE0" w14:textId="3D4EE659">
      <w:pPr>
        <w:spacing w:after="120"/>
        <w:jc w:val="both"/>
        <w:rPr>
          <w:rFonts w:eastAsia="Calibri"/>
          <w:b/>
          <w:bCs/>
          <w:i/>
          <w:iCs/>
          <w:color w:val="FF0000"/>
        </w:rPr>
      </w:pPr>
      <w:r w:rsidRPr="00386D39">
        <w:rPr>
          <w:rFonts w:eastAsia="Calibri"/>
          <w:noProof/>
        </w:rPr>
        <w:drawing>
          <wp:inline distT="0" distB="0" distL="0" distR="0">
            <wp:extent cx="6120130" cy="8668512"/>
            <wp:effectExtent l="0" t="0" r="0" b="0"/>
            <wp:docPr id="133241687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16872" name="Picture 1"/>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130" cy="8668512"/>
                    </a:xfrm>
                    <a:prstGeom prst="rect">
                      <a:avLst/>
                    </a:prstGeom>
                    <a:noFill/>
                    <a:ln>
                      <a:noFill/>
                    </a:ln>
                  </pic:spPr>
                </pic:pic>
              </a:graphicData>
            </a:graphic>
          </wp:inline>
        </w:drawing>
      </w:r>
    </w:p>
    <w:p w:rsidR="005D456F" w:rsidRPr="00186260" w:rsidP="008D1C69" w14:paraId="29912ED3" w14:textId="77777777">
      <w:pPr>
        <w:spacing w:after="120"/>
        <w:jc w:val="both"/>
        <w:rPr>
          <w:rFonts w:eastAsia="Calibri"/>
          <w:color w:val="FF0000"/>
        </w:rPr>
      </w:pPr>
      <w:r w:rsidRPr="00186260">
        <w:rPr>
          <w:rFonts w:eastAsia="Calibri"/>
          <w:color w:val="FF0000"/>
        </w:rPr>
        <w:t>Si completa il quadro di quantificazione degli oneri con i prospetti che seguono, relativi alla determinazione del trattamento economico medio dei direttori vicedirigenti sia dei ruoli direttivi operativi che di quelli direttivi tecnici (gli attuali direttivi tecnico-professionali).</w:t>
      </w:r>
    </w:p>
    <w:p w:rsidR="00EB61EC" w:rsidRPr="00186260" w:rsidP="008D1C69" w14:paraId="07082312" w14:textId="22B42167">
      <w:pPr>
        <w:spacing w:after="120"/>
        <w:jc w:val="center"/>
        <w:rPr>
          <w:rStyle w:val="eop"/>
          <w:rFonts w:eastAsiaTheme="majorEastAsia"/>
          <w:color w:val="FF0000"/>
          <w:shd w:val="clear" w:color="auto" w:fill="FFFFFF"/>
        </w:rPr>
      </w:pPr>
      <w:r w:rsidRPr="00186260">
        <w:rPr>
          <w:noProof/>
          <w:color w:val="FF0000"/>
        </w:rPr>
        <w:drawing>
          <wp:inline distT="0" distB="0" distL="0" distR="0">
            <wp:extent cx="5818383" cy="3928262"/>
            <wp:effectExtent l="0" t="0" r="0" b="0"/>
            <wp:docPr id="387373761"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373761" name="Picture 12"/>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840483" cy="3943183"/>
                    </a:xfrm>
                    <a:prstGeom prst="rect">
                      <a:avLst/>
                    </a:prstGeom>
                    <a:noFill/>
                    <a:ln>
                      <a:noFill/>
                    </a:ln>
                  </pic:spPr>
                </pic:pic>
              </a:graphicData>
            </a:graphic>
          </wp:inline>
        </w:drawing>
      </w:r>
    </w:p>
    <w:p w:rsidR="00CD261B" w:rsidRPr="00186260" w:rsidP="008D1C69" w14:paraId="45A0E47E" w14:textId="6DEEB557">
      <w:pPr>
        <w:spacing w:after="120"/>
        <w:jc w:val="both"/>
        <w:rPr>
          <w:rFonts w:eastAsia="Calibri"/>
          <w:color w:val="FF0000"/>
        </w:rPr>
      </w:pPr>
      <w:r w:rsidRPr="00186260">
        <w:rPr>
          <w:rFonts w:eastAsia="Calibri"/>
          <w:color w:val="FF0000"/>
        </w:rPr>
        <w:t>La somma complessiva dell’onere derivante dagli interventi evidenziati nelle tabelle sopra riportate, ammonta a euro 49.257.550,28 per il 2026, a euro 51.097.130,25 per il 2027 e a euro 55.794.582,51 annui a decorrere dal 2028. Atteso che il fondo di cui all’articolo 6, comma 3, del decreto-legge n. 25</w:t>
      </w:r>
      <w:r w:rsidR="005A4E52">
        <w:rPr>
          <w:rFonts w:eastAsia="Calibri"/>
          <w:color w:val="FF0000"/>
        </w:rPr>
        <w:t xml:space="preserve"> del 2025</w:t>
      </w:r>
      <w:r w:rsidRPr="00186260">
        <w:rPr>
          <w:rFonts w:eastAsia="Calibri"/>
          <w:color w:val="FF0000"/>
        </w:rPr>
        <w:t>, ha una dotazione finanziaria pari a euro 28.000.000 per l’anno 2026 e di 34.000.000 a decorrere dall’anno 2027, gli ulteriori oneri da finanziare ammontano a euro 21.257.550,28 per l’anno 2026, a euro 17.097.130,25 per l’anno 2027 e a euro 21.794.582,51 a decorrere dall’anno 2028. La dimensione finanziaria del fondo per l’attuazione della delega di cui all’articolo 12 della legge n. 42</w:t>
      </w:r>
      <w:r w:rsidR="00A41792">
        <w:rPr>
          <w:rFonts w:eastAsia="Calibri"/>
          <w:color w:val="FF0000"/>
        </w:rPr>
        <w:t xml:space="preserve"> del 2025</w:t>
      </w:r>
      <w:r w:rsidRPr="00186260">
        <w:rPr>
          <w:rFonts w:eastAsia="Calibri"/>
          <w:color w:val="FF0000"/>
        </w:rPr>
        <w:t>, risultante a seguito della presente proposta emendativa consente, pertanto, la predisposizione dello schema di decreto legislativo per l’avvio dell’iter previsto dal medesimo articolo 12.</w:t>
      </w:r>
    </w:p>
    <w:p w:rsidR="00CD261B" w:rsidRPr="00186260" w:rsidP="008D1C69" w14:paraId="486A9C33" w14:textId="77777777">
      <w:pPr>
        <w:spacing w:after="120"/>
        <w:jc w:val="both"/>
        <w:rPr>
          <w:rFonts w:eastAsia="Calibri"/>
          <w:color w:val="FF0000"/>
        </w:rPr>
      </w:pPr>
      <w:r w:rsidRPr="00186260">
        <w:rPr>
          <w:rFonts w:eastAsia="Calibri"/>
          <w:color w:val="FF0000"/>
        </w:rPr>
        <w:t>La copertura finanziaria è garantita:</w:t>
      </w:r>
    </w:p>
    <w:p w:rsidR="00CD261B" w:rsidRPr="00186260" w:rsidP="00A42770" w14:paraId="3CF735FB" w14:textId="6AB4E783">
      <w:pPr>
        <w:pStyle w:val="ListParagraph"/>
        <w:numPr>
          <w:ilvl w:val="0"/>
          <w:numId w:val="20"/>
        </w:numPr>
        <w:spacing w:after="120" w:line="252" w:lineRule="auto"/>
        <w:ind w:left="709" w:hanging="283"/>
        <w:contextualSpacing w:val="0"/>
        <w:jc w:val="both"/>
        <w:rPr>
          <w:rFonts w:eastAsia="Calibri"/>
          <w:color w:val="FF0000"/>
        </w:rPr>
      </w:pPr>
      <w:r w:rsidRPr="00186260">
        <w:rPr>
          <w:rFonts w:eastAsia="Calibri"/>
          <w:color w:val="FF0000"/>
        </w:rPr>
        <w:t>quanto a euro 1.050.000 a decorrere dall’anno 2026 a valere sull’autorizzazione di spesa prevista dall’articolo 17-bis, comma 2, lettera c), del decreto legislativo n. 97</w:t>
      </w:r>
      <w:r w:rsidR="003776F1">
        <w:rPr>
          <w:rFonts w:eastAsia="Calibri"/>
          <w:color w:val="FF0000"/>
        </w:rPr>
        <w:t xml:space="preserve"> del </w:t>
      </w:r>
      <w:r w:rsidRPr="00186260">
        <w:rPr>
          <w:rFonts w:eastAsia="Calibri"/>
          <w:color w:val="FF0000"/>
        </w:rPr>
        <w:t>2017 e, quanto a euro 2.250.000, a decorrere dall’anno 2026 a valere sull’autorizzazione di spesa prevista dall’articolo 20, comma 9, del decreto-legge n. 76</w:t>
      </w:r>
      <w:r w:rsidR="00A32F8E">
        <w:rPr>
          <w:rFonts w:eastAsia="Calibri"/>
          <w:color w:val="FF0000"/>
        </w:rPr>
        <w:t xml:space="preserve"> del </w:t>
      </w:r>
      <w:r w:rsidRPr="00186260">
        <w:rPr>
          <w:rFonts w:eastAsia="Calibri"/>
          <w:color w:val="FF0000"/>
        </w:rPr>
        <w:t>2020. Trattasi di importi accertati nell’ambito del decreto di costituzione delle risorse certe e stabili del Fondo di produttività di cui all’articolo 5 del decreto del Presidente della Repubblica del 29 novembre 2007, relativo all’annualità 2025 (DM n. 1121 del 15.12.2025, vistato dall’Ufficio Centrale del Bilancio c/o il Ministero dell’Interno al n.9248 in data 23.12.2025) provenienti da autorizzazioni di spesa volte a finanziare l’istituto delle posizioni organizzative da attribuire al personale appartenente alle qualifiche apicali dei ruoli direttivi ordinari. Il potenziamento dell’organico dirigenziale di cui alle tabelle che precedono costituisce il naturale sviluppo di carriera di tali funzionari che svolgono funzioni per la quali, in luogo della cd. “posizione organizzativa”, si ritiene più idonea la previsione di un posto di funzione di livello dirigenziale. L’autorizzazione di spesa di cui all’ articolo 17-bis, comma 2, lettera c), del decreto legislativo n. 97</w:t>
      </w:r>
      <w:r w:rsidR="003776F1">
        <w:rPr>
          <w:rFonts w:eastAsia="Calibri"/>
          <w:color w:val="FF0000"/>
        </w:rPr>
        <w:t xml:space="preserve"> del 2017,</w:t>
      </w:r>
      <w:r w:rsidRPr="00186260">
        <w:rPr>
          <w:rFonts w:eastAsia="Calibri"/>
          <w:color w:val="FF0000"/>
        </w:rPr>
        <w:t xml:space="preserve"> viene utilizzata integralmente, mentre quella dell’articolo 20, comma 9, del decreto-legge, n. 76</w:t>
      </w:r>
      <w:r w:rsidR="00A32F8E">
        <w:rPr>
          <w:rFonts w:eastAsia="Calibri"/>
          <w:color w:val="FF0000"/>
        </w:rPr>
        <w:t xml:space="preserve"> del 2020</w:t>
      </w:r>
      <w:r w:rsidRPr="00186260">
        <w:rPr>
          <w:rFonts w:eastAsia="Calibri"/>
          <w:color w:val="FF0000"/>
        </w:rPr>
        <w:t>, trattandosi di risorse destinate anche al finanziamento delle posizioni organizzative viene utilizzata parzialmente (per euro 2.250.000, residuando euro 2.248.852 pari a circa il 50% della relativa dotazione finanziaria). Nella tabella sottostante, si dà indicazione dei capitoli/piani gestionali sui quali operare, a decorrere dall’anno 2026, le riduzioni per il corrispondente valore complessivo di euro 3.300.000:</w:t>
      </w:r>
    </w:p>
    <w:p w:rsidR="00EB61EC" w:rsidRPr="00186260" w:rsidP="00C3662F" w14:paraId="5E7C832F" w14:textId="3BC9C660">
      <w:pPr>
        <w:spacing w:after="120"/>
        <w:jc w:val="center"/>
        <w:rPr>
          <w:rStyle w:val="eop"/>
          <w:rFonts w:eastAsiaTheme="majorEastAsia"/>
          <w:color w:val="FF0000"/>
          <w:shd w:val="clear" w:color="auto" w:fill="FFFFFF"/>
        </w:rPr>
      </w:pPr>
      <w:r w:rsidRPr="00186260">
        <w:rPr>
          <w:noProof/>
          <w:color w:val="FF0000"/>
        </w:rPr>
        <w:drawing>
          <wp:inline distT="0" distB="0" distL="0" distR="0">
            <wp:extent cx="5912665" cy="2163170"/>
            <wp:effectExtent l="0" t="0" r="0" b="8890"/>
            <wp:docPr id="67042345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423452" name="Picture 2"/>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5923146" cy="2167005"/>
                    </a:xfrm>
                    <a:prstGeom prst="rect">
                      <a:avLst/>
                    </a:prstGeom>
                    <a:noFill/>
                    <a:ln>
                      <a:noFill/>
                    </a:ln>
                  </pic:spPr>
                </pic:pic>
              </a:graphicData>
            </a:graphic>
          </wp:inline>
        </w:drawing>
      </w:r>
    </w:p>
    <w:p w:rsidR="005F274E" w:rsidRPr="00186260" w:rsidP="00A42770" w14:paraId="030E6E95" w14:textId="77777777">
      <w:pPr>
        <w:pStyle w:val="ListParagraph"/>
        <w:numPr>
          <w:ilvl w:val="0"/>
          <w:numId w:val="22"/>
        </w:numPr>
        <w:spacing w:after="120" w:line="252" w:lineRule="auto"/>
        <w:contextualSpacing w:val="0"/>
        <w:jc w:val="both"/>
        <w:rPr>
          <w:rFonts w:eastAsia="Calibri"/>
          <w:color w:val="FF0000"/>
        </w:rPr>
      </w:pPr>
      <w:r w:rsidRPr="00186260">
        <w:rPr>
          <w:rFonts w:eastAsia="Calibri"/>
          <w:color w:val="FF0000"/>
        </w:rPr>
        <w:t xml:space="preserve">quanto a euro 12.900.000 per l’anno 2026 e a euro 13.400.000 a decorrere dall’anno 2027 a valere sulle risorse certe e stabili del Fondo di amministrazione di cui all'articolo 6 del decreto del Presidente della Repubblica del 29 novembre 2007 (importi derivanti da interventi normativi di incremento della dotazione del Fondo di amministrazione senza vincoli di destinazione), relativo all’incentivazione del personale non direttivo e non dirigente del Corpo nazionale dei vigili del fuoco, </w:t>
      </w:r>
      <w:bookmarkStart w:id="7" w:name="_Hlk219126526"/>
      <w:r w:rsidRPr="00186260">
        <w:rPr>
          <w:rFonts w:eastAsia="Calibri"/>
          <w:color w:val="FF0000"/>
        </w:rPr>
        <w:t>oltre che sulle corrispondenti quote degli oneri riflessi a carico dello Stato per contributi previdenziali ed Irap</w:t>
      </w:r>
      <w:bookmarkEnd w:id="7"/>
      <w:r w:rsidRPr="00186260">
        <w:rPr>
          <w:rFonts w:eastAsia="Calibri"/>
          <w:color w:val="FF0000"/>
        </w:rPr>
        <w:t>. In particolare:</w:t>
      </w:r>
    </w:p>
    <w:p w:rsidR="005F274E" w:rsidRPr="00186260" w:rsidP="00A42770" w14:paraId="5BB4F6EF" w14:textId="29AA5720">
      <w:pPr>
        <w:pStyle w:val="ListParagraph"/>
        <w:numPr>
          <w:ilvl w:val="0"/>
          <w:numId w:val="21"/>
        </w:numPr>
        <w:spacing w:after="120" w:line="252" w:lineRule="auto"/>
        <w:ind w:left="851" w:hanging="284"/>
        <w:contextualSpacing w:val="0"/>
        <w:jc w:val="both"/>
        <w:rPr>
          <w:rFonts w:eastAsia="Calibri"/>
          <w:color w:val="FF0000"/>
        </w:rPr>
      </w:pPr>
      <w:r w:rsidRPr="00186260">
        <w:rPr>
          <w:rFonts w:eastAsia="Calibri"/>
          <w:color w:val="FF0000"/>
        </w:rPr>
        <w:t xml:space="preserve">per l’anno 2026, euro 6.405.425,77 </w:t>
      </w:r>
      <w:bookmarkStart w:id="8" w:name="_Hlk218856450"/>
      <w:r w:rsidRPr="00186260">
        <w:rPr>
          <w:rFonts w:eastAsia="Calibri"/>
          <w:color w:val="FF0000"/>
        </w:rPr>
        <w:t xml:space="preserve">a valere sulla maggiore consistenza delle predette risorse certe e stabili del Fondo di amministrazione, come accertate, per l’anno 2025, con il  relativo decreto di costituzione (DM n.1053 del 2.12.2025 vistato dall’Ufficio Centrale del Bilancio c/o il Ministero dell’Interno al n.8577 in data 4.12.2025) </w:t>
      </w:r>
      <w:bookmarkEnd w:id="8"/>
      <w:r w:rsidRPr="00186260">
        <w:rPr>
          <w:rFonts w:eastAsia="Calibri"/>
          <w:color w:val="FF0000"/>
        </w:rPr>
        <w:t xml:space="preserve">e euro 3.315.749,81 a valere sull’incremento certo e stabile recato dall’Allegato B (sotto riportato) di cui all’articolo 20, comma 11, del decreto-legge </w:t>
      </w:r>
      <w:r w:rsidRPr="2799CAB4">
        <w:rPr>
          <w:rFonts w:eastAsia="Calibri"/>
          <w:color w:val="FF0000"/>
        </w:rPr>
        <w:t>n. 76</w:t>
      </w:r>
      <w:r w:rsidRPr="2799CAB4" w:rsidR="00A32F8E">
        <w:rPr>
          <w:rFonts w:eastAsia="Calibri"/>
          <w:color w:val="FF0000"/>
        </w:rPr>
        <w:t xml:space="preserve"> del</w:t>
      </w:r>
      <w:r w:rsidRPr="00186260">
        <w:rPr>
          <w:rFonts w:eastAsia="Calibri"/>
          <w:color w:val="FF0000"/>
        </w:rPr>
        <w:t xml:space="preserve"> 2020</w:t>
      </w:r>
      <w:r w:rsidRPr="2799CAB4">
        <w:rPr>
          <w:rFonts w:eastAsia="Calibri"/>
          <w:color w:val="FF0000"/>
        </w:rPr>
        <w:t>;</w:t>
      </w:r>
    </w:p>
    <w:p w:rsidR="00A32F8E" w:rsidP="00A32F8E" w14:paraId="3CA0D5CA" w14:textId="45FE9884">
      <w:pPr>
        <w:pStyle w:val="ListParagraph"/>
        <w:numPr>
          <w:ilvl w:val="0"/>
          <w:numId w:val="21"/>
        </w:numPr>
        <w:spacing w:after="120" w:line="252" w:lineRule="auto"/>
        <w:ind w:left="851" w:hanging="284"/>
        <w:contextualSpacing w:val="0"/>
        <w:jc w:val="both"/>
        <w:rPr>
          <w:rFonts w:eastAsia="Calibri"/>
          <w:color w:val="FF0000"/>
        </w:rPr>
      </w:pPr>
      <w:r w:rsidRPr="2799CAB4">
        <w:rPr>
          <w:rFonts w:eastAsia="Calibri"/>
          <w:color w:val="FF0000"/>
        </w:rPr>
        <w:t xml:space="preserve">a decorrere dall’anno 2027, euro 6.405.425,77 a valere sulla maggiore consistenza delle medesime risorse certe e stabili del Fondo di amministrazione, come accertate per l’anno 2025 con il </w:t>
      </w:r>
      <w:r w:rsidRPr="2799CAB4">
        <w:rPr>
          <w:rFonts w:eastAsia="Calibri"/>
          <w:color w:val="FF0000"/>
        </w:rPr>
        <w:t>predetto</w:t>
      </w:r>
      <w:r w:rsidRPr="2799CAB4">
        <w:rPr>
          <w:rFonts w:eastAsia="Calibri"/>
          <w:color w:val="FF0000"/>
        </w:rPr>
        <w:t xml:space="preserve"> decreto di costituzione e</w:t>
      </w:r>
      <w:r w:rsidRPr="2799CAB4" w:rsidR="008D4CDE">
        <w:rPr>
          <w:rFonts w:eastAsia="Calibri"/>
          <w:color w:val="FF0000"/>
        </w:rPr>
        <w:t>d</w:t>
      </w:r>
      <w:r w:rsidRPr="2799CAB4">
        <w:rPr>
          <w:rFonts w:eastAsia="Calibri"/>
          <w:color w:val="FF0000"/>
        </w:rPr>
        <w:t xml:space="preserve"> euro 3.692.539,56 a valere sull’incremento certo e stabile recato dal </w:t>
      </w:r>
      <w:r w:rsidRPr="2799CAB4">
        <w:rPr>
          <w:rFonts w:eastAsia="Calibri"/>
          <w:color w:val="FF0000"/>
        </w:rPr>
        <w:t>predetto</w:t>
      </w:r>
      <w:r w:rsidRPr="2799CAB4">
        <w:rPr>
          <w:rFonts w:eastAsia="Calibri"/>
          <w:color w:val="FF0000"/>
        </w:rPr>
        <w:t xml:space="preserve"> Allegato B di cui all’articolo 20, comma 11, del decreto-legge </w:t>
      </w:r>
      <w:r w:rsidRPr="2799CAB4">
        <w:rPr>
          <w:rFonts w:eastAsia="Calibri"/>
          <w:color w:val="FF0000"/>
        </w:rPr>
        <w:t xml:space="preserve">n. 76 del 2020. </w:t>
      </w:r>
    </w:p>
    <w:p w:rsidR="005F274E" w:rsidRPr="00186260" w:rsidP="008D1C69" w14:paraId="5D55614E" w14:textId="02EAA7BF">
      <w:pPr>
        <w:pStyle w:val="ListParagraph"/>
        <w:spacing w:after="120" w:line="252" w:lineRule="auto"/>
        <w:ind w:left="0"/>
        <w:contextualSpacing w:val="0"/>
        <w:jc w:val="both"/>
        <w:rPr>
          <w:rFonts w:eastAsia="Calibri"/>
          <w:color w:val="FF0000"/>
        </w:rPr>
      </w:pPr>
      <w:r w:rsidRPr="00186260">
        <w:rPr>
          <w:rFonts w:eastAsia="Calibri"/>
          <w:color w:val="FF0000"/>
        </w:rPr>
        <w:t>Nella tabella sottostante, si dà indicazione dei capitoli/piani gestionali sui quali operare le riduzioni per i corrispondenti valori complessivi di euro 12.900.000,00 per l’anno 2026 e di euro 13.400.000,00 a decorrere dall’anno 2027</w:t>
      </w:r>
      <w:r w:rsidR="00C133F6">
        <w:rPr>
          <w:rFonts w:eastAsia="Calibri"/>
          <w:color w:val="FF0000"/>
        </w:rPr>
        <w:t>.</w:t>
      </w:r>
    </w:p>
    <w:p w:rsidR="002374E2" w:rsidP="008D1C69" w14:paraId="67E1FD20" w14:textId="71240D1C">
      <w:pPr>
        <w:spacing w:after="120"/>
        <w:jc w:val="both"/>
        <w:rPr>
          <w:rStyle w:val="eop"/>
          <w:rFonts w:eastAsiaTheme="majorEastAsia"/>
          <w:color w:val="FF0000"/>
          <w:shd w:val="clear" w:color="auto" w:fill="FFFFFF"/>
        </w:rPr>
      </w:pPr>
    </w:p>
    <w:p w:rsidR="002374E2" w:rsidP="008D1C69" w14:paraId="5F61E677" w14:textId="621D4A13">
      <w:pPr>
        <w:spacing w:after="120"/>
        <w:jc w:val="both"/>
        <w:rPr>
          <w:rStyle w:val="eop"/>
          <w:rFonts w:eastAsiaTheme="majorEastAsia"/>
          <w:color w:val="FF0000"/>
          <w:shd w:val="clear" w:color="auto" w:fill="FFFFFF"/>
        </w:rPr>
      </w:pPr>
    </w:p>
    <w:p w:rsidR="00C476BE" w:rsidP="008D1C69" w14:paraId="5899ECED" w14:textId="34E21E50">
      <w:pPr>
        <w:spacing w:after="120"/>
        <w:jc w:val="both"/>
        <w:rPr>
          <w:rStyle w:val="eop"/>
          <w:rFonts w:eastAsiaTheme="majorEastAsia"/>
          <w:color w:val="FF0000"/>
          <w:shd w:val="clear" w:color="auto" w:fill="FFFFFF"/>
        </w:rPr>
      </w:pPr>
    </w:p>
    <w:p w:rsidR="00A4351B" w:rsidP="008D1C69" w14:paraId="1A7A1BBC" w14:textId="6C97AA02">
      <w:pPr>
        <w:spacing w:after="120"/>
        <w:jc w:val="both"/>
        <w:rPr>
          <w:rStyle w:val="eop"/>
          <w:rFonts w:eastAsiaTheme="majorEastAsia"/>
          <w:color w:val="FF0000"/>
          <w:shd w:val="clear" w:color="auto" w:fill="FFFFFF"/>
        </w:rPr>
      </w:pPr>
    </w:p>
    <w:p w:rsidR="00CE0C3A" w:rsidP="008D1C69" w14:paraId="3ED5BF43" w14:textId="77777777">
      <w:pPr>
        <w:spacing w:after="120"/>
        <w:jc w:val="both"/>
        <w:rPr>
          <w:rStyle w:val="eop"/>
          <w:rFonts w:eastAsiaTheme="majorEastAsia"/>
          <w:color w:val="FF0000"/>
          <w:shd w:val="clear" w:color="auto" w:fill="FFFFFF"/>
        </w:rPr>
      </w:pPr>
    </w:p>
    <w:p w:rsidR="00EB61EC" w:rsidRPr="00186260" w:rsidP="00C3662F" w14:paraId="3E3FF73E" w14:textId="31BDFD47">
      <w:pPr>
        <w:spacing w:after="120"/>
        <w:jc w:val="center"/>
        <w:rPr>
          <w:rStyle w:val="eop"/>
          <w:rFonts w:eastAsiaTheme="majorEastAsia"/>
          <w:color w:val="FF0000"/>
          <w:shd w:val="clear" w:color="auto" w:fill="FFFFFF"/>
        </w:rPr>
      </w:pPr>
      <w:r w:rsidRPr="00186260">
        <w:rPr>
          <w:noProof/>
          <w:color w:val="FF0000"/>
        </w:rPr>
        <w:drawing>
          <wp:inline distT="0" distB="0" distL="0" distR="0">
            <wp:extent cx="5942082" cy="1757239"/>
            <wp:effectExtent l="0" t="0" r="1905" b="0"/>
            <wp:docPr id="106101021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010214" name="Picture 3"/>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6004623" cy="1775734"/>
                    </a:xfrm>
                    <a:prstGeom prst="rect">
                      <a:avLst/>
                    </a:prstGeom>
                    <a:noFill/>
                    <a:ln>
                      <a:noFill/>
                    </a:ln>
                  </pic:spPr>
                </pic:pic>
              </a:graphicData>
            </a:graphic>
          </wp:inline>
        </w:drawing>
      </w:r>
    </w:p>
    <w:p w:rsidR="00AD7322" w:rsidRPr="00186260" w:rsidP="00A42770" w14:paraId="1CF2B278" w14:textId="77777777">
      <w:pPr>
        <w:pStyle w:val="ListParagraph"/>
        <w:numPr>
          <w:ilvl w:val="0"/>
          <w:numId w:val="22"/>
        </w:numPr>
        <w:spacing w:after="120" w:line="252" w:lineRule="auto"/>
        <w:contextualSpacing w:val="0"/>
        <w:jc w:val="both"/>
        <w:rPr>
          <w:rFonts w:eastAsia="Calibri"/>
          <w:color w:val="FF0000"/>
        </w:rPr>
      </w:pPr>
      <w:r w:rsidRPr="00186260">
        <w:rPr>
          <w:rFonts w:eastAsia="Calibri"/>
          <w:color w:val="FF0000"/>
        </w:rPr>
        <w:t>quanto a euro 500.000 a decorrere dall’anno 2026 a valere sulle risorse certe e stabili del Fondo di produttività di cui all'articolo 5 del decreto del Presidente della Repubblica 29 novembre 2007 (importo derivante da interventi normativi di incremento della dotazione del Fondo di produttività senza vincoli di destinazione), relativo all’incentivazione del personale direttivo del Corpo nazionale dei vigili del fuoco, oltre che sulle corrispondenti quote degli oneri riflessi a carico dello Stato per contributi previdenziali ed Irap.</w:t>
      </w:r>
    </w:p>
    <w:p w:rsidR="00AD7322" w:rsidP="008D1C69" w14:paraId="25B56EF3" w14:textId="77777777">
      <w:pPr>
        <w:pStyle w:val="ListParagraph"/>
        <w:spacing w:after="120" w:line="252" w:lineRule="auto"/>
        <w:ind w:left="0"/>
        <w:contextualSpacing w:val="0"/>
        <w:jc w:val="both"/>
        <w:rPr>
          <w:rFonts w:eastAsia="Calibri"/>
          <w:color w:val="FF0000"/>
        </w:rPr>
      </w:pPr>
      <w:r w:rsidRPr="00186260">
        <w:rPr>
          <w:rFonts w:eastAsia="Calibri"/>
          <w:color w:val="FF0000"/>
        </w:rPr>
        <w:t xml:space="preserve">In particolare, a decorrere dall’anno 2026, euro 376.789,75 a valere sulla maggiore consistenza delle </w:t>
      </w:r>
      <w:r w:rsidRPr="00186260">
        <w:rPr>
          <w:rFonts w:eastAsia="Calibri"/>
          <w:color w:val="FF0000"/>
        </w:rPr>
        <w:t>predette</w:t>
      </w:r>
      <w:r w:rsidRPr="00186260">
        <w:rPr>
          <w:rFonts w:eastAsia="Calibri"/>
          <w:color w:val="FF0000"/>
        </w:rPr>
        <w:t xml:space="preserve"> risorse certe e stabili del Fondo di produttività, come accertate, per l’anno 2025, con il relativo decreto di costituzione (DM n. 1121 del 15.12.2025 vistato dall’Ufficio Centrale del Bilancio c/o il Ministero dell’Interno al n.9248 in data 23.12.2025). Nella tabella sottostante, si dà indicazione dei capitoli/piani gestionali sui quali operare, a decorrere dal 2026, le riduzioni per il corrispondente valore complessivo di euro 500.000,00:</w:t>
      </w:r>
    </w:p>
    <w:p w:rsidR="00F4620E" w:rsidRPr="00186260" w:rsidP="008D1C69" w14:paraId="6961A9DF" w14:textId="77777777">
      <w:pPr>
        <w:pStyle w:val="ListParagraph"/>
        <w:spacing w:after="120" w:line="252" w:lineRule="auto"/>
        <w:ind w:left="0"/>
        <w:contextualSpacing w:val="0"/>
        <w:jc w:val="both"/>
        <w:rPr>
          <w:rFonts w:eastAsia="Calibri"/>
          <w:color w:val="FF0000"/>
        </w:rPr>
      </w:pPr>
    </w:p>
    <w:p w:rsidR="00EB61EC" w:rsidRPr="00186260" w:rsidP="00C3662F" w14:paraId="1BCFFE74" w14:textId="450CA3C3">
      <w:pPr>
        <w:spacing w:after="120"/>
        <w:jc w:val="center"/>
        <w:rPr>
          <w:rStyle w:val="eop"/>
          <w:rFonts w:eastAsiaTheme="majorEastAsia"/>
          <w:color w:val="FF0000"/>
          <w:shd w:val="clear" w:color="auto" w:fill="FFFFFF"/>
        </w:rPr>
      </w:pPr>
      <w:r>
        <w:rPr>
          <w:noProof/>
        </w:rPr>
        <w:drawing>
          <wp:inline distT="0" distB="0" distL="0" distR="0">
            <wp:extent cx="6009208" cy="2406701"/>
            <wp:effectExtent l="0" t="0" r="0" b="0"/>
            <wp:docPr id="100931114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311147" name="Picture 4"/>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6062851" cy="2428185"/>
                    </a:xfrm>
                    <a:prstGeom prst="rect">
                      <a:avLst/>
                    </a:prstGeom>
                    <a:noFill/>
                    <a:ln>
                      <a:noFill/>
                    </a:ln>
                  </pic:spPr>
                </pic:pic>
              </a:graphicData>
            </a:graphic>
          </wp:inline>
        </w:drawing>
      </w:r>
    </w:p>
    <w:p w:rsidR="00F4620E" w:rsidP="00A32F8E" w14:paraId="47E46425" w14:textId="77777777">
      <w:pPr>
        <w:pStyle w:val="ListParagraph"/>
        <w:spacing w:after="200" w:line="252" w:lineRule="auto"/>
        <w:ind w:left="0"/>
        <w:contextualSpacing w:val="0"/>
        <w:jc w:val="both"/>
        <w:rPr>
          <w:rFonts w:eastAsia="Calibri"/>
          <w:color w:val="FF0000"/>
        </w:rPr>
      </w:pPr>
    </w:p>
    <w:p w:rsidR="00F4620E" w:rsidP="00A32F8E" w14:paraId="5888E9B7" w14:textId="77777777">
      <w:pPr>
        <w:pStyle w:val="ListParagraph"/>
        <w:spacing w:after="200" w:line="252" w:lineRule="auto"/>
        <w:ind w:left="0"/>
        <w:contextualSpacing w:val="0"/>
        <w:jc w:val="both"/>
        <w:rPr>
          <w:rFonts w:eastAsia="Calibri"/>
          <w:color w:val="FF0000"/>
        </w:rPr>
      </w:pPr>
    </w:p>
    <w:p w:rsidR="00F4620E" w:rsidP="00A32F8E" w14:paraId="62185528" w14:textId="77777777">
      <w:pPr>
        <w:pStyle w:val="ListParagraph"/>
        <w:spacing w:after="200" w:line="252" w:lineRule="auto"/>
        <w:ind w:left="0"/>
        <w:contextualSpacing w:val="0"/>
        <w:jc w:val="both"/>
        <w:rPr>
          <w:rFonts w:eastAsia="Calibri"/>
          <w:color w:val="FF0000"/>
        </w:rPr>
      </w:pPr>
    </w:p>
    <w:p w:rsidR="00F4620E" w:rsidP="00A32F8E" w14:paraId="273ABC84" w14:textId="77777777">
      <w:pPr>
        <w:pStyle w:val="ListParagraph"/>
        <w:spacing w:after="200" w:line="252" w:lineRule="auto"/>
        <w:ind w:left="0"/>
        <w:contextualSpacing w:val="0"/>
        <w:jc w:val="both"/>
        <w:rPr>
          <w:rFonts w:eastAsia="Calibri"/>
          <w:color w:val="FF0000"/>
        </w:rPr>
      </w:pPr>
    </w:p>
    <w:p w:rsidR="00F4620E" w:rsidP="00A32F8E" w14:paraId="3B14BF15" w14:textId="77777777">
      <w:pPr>
        <w:pStyle w:val="ListParagraph"/>
        <w:spacing w:after="200" w:line="252" w:lineRule="auto"/>
        <w:ind w:left="0"/>
        <w:contextualSpacing w:val="0"/>
        <w:jc w:val="both"/>
        <w:rPr>
          <w:rFonts w:eastAsia="Calibri"/>
          <w:color w:val="FF0000"/>
        </w:rPr>
      </w:pPr>
    </w:p>
    <w:p w:rsidR="00F4620E" w:rsidP="00A32F8E" w14:paraId="06267AFC" w14:textId="77777777">
      <w:pPr>
        <w:pStyle w:val="ListParagraph"/>
        <w:spacing w:after="200" w:line="252" w:lineRule="auto"/>
        <w:ind w:left="0"/>
        <w:contextualSpacing w:val="0"/>
        <w:jc w:val="both"/>
        <w:rPr>
          <w:rFonts w:eastAsia="Calibri"/>
          <w:color w:val="FF0000"/>
        </w:rPr>
      </w:pPr>
    </w:p>
    <w:p w:rsidR="00A32F8E" w:rsidP="00A32F8E" w14:paraId="2FF73104" w14:textId="15A474A4">
      <w:pPr>
        <w:pStyle w:val="ListParagraph"/>
        <w:spacing w:after="200" w:line="252" w:lineRule="auto"/>
        <w:ind w:left="0"/>
        <w:contextualSpacing w:val="0"/>
        <w:jc w:val="both"/>
        <w:rPr>
          <w:rFonts w:eastAsia="Calibri"/>
          <w:color w:val="FF0000"/>
        </w:rPr>
      </w:pPr>
      <w:r w:rsidRPr="2799CAB4">
        <w:rPr>
          <w:rFonts w:eastAsia="Calibri"/>
          <w:color w:val="FF0000"/>
        </w:rPr>
        <w:t xml:space="preserve">Si riporta qui di seguito l’Allegato B cui all’articolo 20, comma 11, del decreto-legge </w:t>
      </w:r>
      <w:r w:rsidRPr="2799CAB4">
        <w:rPr>
          <w:rFonts w:eastAsia="Calibri"/>
          <w:color w:val="FF0000"/>
        </w:rPr>
        <w:t>n. 76 del 2020.</w:t>
      </w:r>
    </w:p>
    <w:p w:rsidR="00DB0902" w:rsidRPr="00186260" w:rsidP="00F4620E" w14:paraId="49D3F402" w14:textId="1F9D069B">
      <w:pPr>
        <w:pStyle w:val="ListParagraph"/>
        <w:spacing w:after="200" w:line="252" w:lineRule="auto"/>
        <w:ind w:left="0"/>
        <w:contextualSpacing w:val="0"/>
        <w:jc w:val="center"/>
        <w:rPr>
          <w:rStyle w:val="eop"/>
          <w:rFonts w:eastAsiaTheme="majorEastAsia"/>
          <w:color w:val="FF0000"/>
          <w:shd w:val="clear" w:color="auto" w:fill="FFFFFF"/>
        </w:rPr>
      </w:pPr>
      <w:r w:rsidRPr="00186260">
        <w:rPr>
          <w:rFonts w:eastAsia="Calibri"/>
          <w:noProof/>
          <w:color w:val="FF0000"/>
        </w:rPr>
        <w:drawing>
          <wp:inline distT="0" distB="0" distL="0" distR="0">
            <wp:extent cx="5273227" cy="5082592"/>
            <wp:effectExtent l="0" t="0" r="3810" b="3810"/>
            <wp:docPr id="568712700" name="Immagine 1" descr="Immagine che contiene testo, Carattere, ricevuta,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712700" name="Immagine 1" descr="Immagine che contiene testo, Carattere, ricevuta, numero&#10;&#10;Il contenuto generato dall'IA potrebbe non essere corretto."/>
                    <pic:cNvPicPr/>
                  </pic:nvPicPr>
                  <pic:blipFill>
                    <a:blip xmlns:r="http://schemas.openxmlformats.org/officeDocument/2006/relationships" r:embed="rId20"/>
                    <a:stretch>
                      <a:fillRect/>
                    </a:stretch>
                  </pic:blipFill>
                  <pic:spPr>
                    <a:xfrm>
                      <a:off x="0" y="0"/>
                      <a:ext cx="5303077" cy="5111363"/>
                    </a:xfrm>
                    <a:prstGeom prst="rect">
                      <a:avLst/>
                    </a:prstGeom>
                  </pic:spPr>
                </pic:pic>
              </a:graphicData>
            </a:graphic>
          </wp:inline>
        </w:drawing>
      </w:r>
    </w:p>
    <w:p w:rsidR="008D1C69" w:rsidRPr="00186260" w:rsidP="008D1C69" w14:paraId="1BAC85AB" w14:textId="77777777">
      <w:pPr>
        <w:spacing w:after="120"/>
        <w:jc w:val="both"/>
        <w:rPr>
          <w:rFonts w:eastAsia="Calibri"/>
          <w:color w:val="FF0000"/>
        </w:rPr>
      </w:pPr>
      <w:r w:rsidRPr="002D0EF4">
        <w:rPr>
          <w:rFonts w:eastAsia="Calibri"/>
          <w:color w:val="FF0000"/>
          <w:highlight w:val="yellow"/>
        </w:rPr>
        <w:t>Al restante onere, pari a euro 5.000.000 per l’anno 2026 e a euro 5.000.000 a decorrere dall’anno 2028, si fa fronte mediante…</w:t>
      </w:r>
    </w:p>
    <w:p w:rsidR="008D1C69" w:rsidRPr="00186260" w:rsidP="008D1C69" w14:paraId="4490C005" w14:textId="77777777">
      <w:pPr>
        <w:spacing w:after="120"/>
        <w:jc w:val="both"/>
        <w:rPr>
          <w:rFonts w:eastAsia="Calibri"/>
          <w:color w:val="FF0000"/>
        </w:rPr>
      </w:pPr>
      <w:r w:rsidRPr="00186260">
        <w:rPr>
          <w:rFonts w:eastAsia="Calibri"/>
          <w:color w:val="FF0000"/>
        </w:rPr>
        <w:t xml:space="preserve">La risorse complessivamente destinate al riordino delle carriere del C.N.VV.F., pari a euro 49.700.000 per l’anno 2026, a euro 51.200.000 per l’anno 2027 e a euro 56.200.000 a decorrere dall’anno 2028, nel garantiscono l’integrale copertura finanziaria dei relativi oneri. </w:t>
      </w:r>
    </w:p>
    <w:p w:rsidR="00DB0902" w:rsidRPr="00186260" w:rsidP="00D84E3D" w14:paraId="612D2D92" w14:textId="718CB25D">
      <w:pPr>
        <w:spacing w:after="120"/>
        <w:jc w:val="both"/>
        <w:rPr>
          <w:rStyle w:val="eop"/>
          <w:rFonts w:eastAsia="Calibri"/>
          <w:color w:val="FF0000"/>
        </w:rPr>
      </w:pPr>
      <w:r w:rsidRPr="00186260">
        <w:rPr>
          <w:rFonts w:eastAsia="Calibri"/>
          <w:color w:val="FF0000"/>
        </w:rPr>
        <w:t>Nella quantificazione viene considerato anche un utile margine di copertura, qualora - specie con riguardo alla quantificazione degli oneri indiretti (</w:t>
      </w:r>
      <w:r w:rsidRPr="00186260">
        <w:rPr>
          <w:rFonts w:eastAsia="Calibri"/>
          <w:i/>
          <w:iCs/>
          <w:color w:val="FF0000"/>
        </w:rPr>
        <w:t>ex</w:t>
      </w:r>
      <w:r w:rsidRPr="00186260">
        <w:rPr>
          <w:rFonts w:eastAsia="Calibri"/>
          <w:color w:val="FF0000"/>
        </w:rPr>
        <w:t xml:space="preserve"> articolo 17 legge n. 196 del 2009) - dovesse emergere un differenziale fra gli oneri effettivi in sede di esercizio della delega e quelli qui quantificati.</w:t>
      </w:r>
    </w:p>
    <w:p w:rsidR="00505CF7" w:rsidP="00505CF7" w14:paraId="09328D5A" w14:textId="30925152">
      <w:pPr>
        <w:spacing w:after="120"/>
        <w:jc w:val="both"/>
        <w:rPr>
          <w:rFonts w:eastAsiaTheme="majorEastAsia"/>
          <w:color w:val="FF0000"/>
          <w:shd w:val="clear" w:color="auto" w:fill="FFFFFF"/>
        </w:rPr>
      </w:pPr>
      <w:r w:rsidRPr="009D26F1">
        <w:rPr>
          <w:rStyle w:val="eop"/>
          <w:rFonts w:eastAsiaTheme="majorEastAsia"/>
          <w:color w:val="FF0000"/>
          <w:shd w:val="clear" w:color="auto" w:fill="FFFFFF"/>
        </w:rPr>
        <w:t xml:space="preserve">Il </w:t>
      </w:r>
      <w:r w:rsidRPr="009D26F1">
        <w:rPr>
          <w:rStyle w:val="eop"/>
          <w:rFonts w:eastAsiaTheme="majorEastAsia"/>
          <w:b/>
          <w:bCs/>
          <w:color w:val="FF0000"/>
          <w:u w:val="single"/>
          <w:shd w:val="clear" w:color="auto" w:fill="FFFFFF"/>
        </w:rPr>
        <w:t>comma 15</w:t>
      </w:r>
      <w:r w:rsidRPr="009D26F1">
        <w:rPr>
          <w:rStyle w:val="eop"/>
          <w:rFonts w:eastAsiaTheme="majorEastAsia"/>
          <w:color w:val="FF0000"/>
          <w:shd w:val="clear" w:color="auto" w:fill="FFFFFF"/>
        </w:rPr>
        <w:t xml:space="preserve"> </w:t>
      </w:r>
      <w:r w:rsidRPr="009D26F1">
        <w:rPr>
          <w:rFonts w:eastAsiaTheme="majorEastAsia"/>
          <w:color w:val="FF0000"/>
          <w:shd w:val="clear" w:color="auto" w:fill="FFFFFF"/>
        </w:rPr>
        <w:t>prevede</w:t>
      </w:r>
      <w:r>
        <w:rPr>
          <w:rFonts w:eastAsiaTheme="majorEastAsia"/>
          <w:color w:val="FF0000"/>
          <w:shd w:val="clear" w:color="auto" w:fill="FFFFFF"/>
        </w:rPr>
        <w:t>:</w:t>
      </w:r>
    </w:p>
    <w:p w:rsidR="00505CF7" w:rsidRPr="00BA25C1" w:rsidP="00505CF7" w14:paraId="4EE9730C" w14:textId="77777777">
      <w:pPr>
        <w:pStyle w:val="ListParagraph"/>
        <w:numPr>
          <w:ilvl w:val="0"/>
          <w:numId w:val="22"/>
        </w:numPr>
        <w:spacing w:after="120"/>
        <w:jc w:val="both"/>
        <w:rPr>
          <w:rFonts w:eastAsiaTheme="majorEastAsia"/>
          <w:color w:val="FF0000"/>
          <w:shd w:val="clear" w:color="auto" w:fill="FFFFFF"/>
        </w:rPr>
      </w:pPr>
      <w:r w:rsidRPr="00FE0461">
        <w:rPr>
          <w:rFonts w:eastAsiaTheme="majorEastAsia"/>
          <w:color w:val="FF0000"/>
          <w:shd w:val="clear" w:color="auto" w:fill="FFFFFF"/>
        </w:rPr>
        <w:t xml:space="preserve"> alla </w:t>
      </w:r>
      <w:r w:rsidRPr="00FE0461">
        <w:rPr>
          <w:rFonts w:eastAsiaTheme="majorEastAsia"/>
          <w:color w:val="FF0000"/>
          <w:u w:val="single"/>
          <w:shd w:val="clear" w:color="auto" w:fill="FFFFFF"/>
        </w:rPr>
        <w:t>l</w:t>
      </w:r>
      <w:r w:rsidRPr="00FE0461">
        <w:rPr>
          <w:rFonts w:eastAsiaTheme="majorEastAsia"/>
          <w:b/>
          <w:bCs/>
          <w:color w:val="FF0000"/>
          <w:u w:val="single"/>
          <w:shd w:val="clear" w:color="auto" w:fill="FFFFFF"/>
        </w:rPr>
        <w:t>ettera a)</w:t>
      </w:r>
      <w:r w:rsidRPr="00FE0461">
        <w:rPr>
          <w:rFonts w:eastAsiaTheme="majorEastAsia"/>
          <w:b/>
          <w:bCs/>
          <w:color w:val="FF0000"/>
          <w:shd w:val="clear" w:color="auto" w:fill="FFFFFF"/>
        </w:rPr>
        <w:t xml:space="preserve"> </w:t>
      </w:r>
      <w:r w:rsidRPr="00FE0461">
        <w:rPr>
          <w:rFonts w:eastAsiaTheme="majorEastAsia"/>
          <w:color w:val="FF0000"/>
          <w:shd w:val="clear" w:color="auto" w:fill="FFFFFF"/>
        </w:rPr>
        <w:t xml:space="preserve">la sostituzione delle parole “a titolo gratuito” con la previsione di oneri quantificati nel limite di euro 2.700.000 nell’anno 2026 e di euro 5.300.000 nell’anno 2027 per il ricorso al </w:t>
      </w:r>
      <w:r w:rsidRPr="00BA25C1">
        <w:rPr>
          <w:rFonts w:eastAsiaTheme="majorEastAsia"/>
          <w:color w:val="FF0000"/>
          <w:shd w:val="clear" w:color="auto" w:fill="FFFFFF"/>
        </w:rPr>
        <w:t xml:space="preserve">supporto di stazioni appaltanti qualificate o società partecipate, posti a carico dello stanziamento del Programma dettagliato degli interventi di edilizia penitenziaria. </w:t>
      </w:r>
      <w:r w:rsidRPr="00BA25C1">
        <w:rPr>
          <w:rFonts w:eastAsiaTheme="majorEastAsia"/>
          <w:b/>
          <w:color w:val="FF0000"/>
          <w:shd w:val="clear" w:color="auto" w:fill="FFFFFF"/>
        </w:rPr>
        <w:t>L’onere trova copertura sulle risorse già previste e stanziate a legislazione vigente per la realizzazione degli interventi e rientra nei parametri di spesa programmata.</w:t>
      </w:r>
    </w:p>
    <w:p w:rsidR="00505CF7" w:rsidRPr="00A41FC4" w:rsidP="00505CF7" w14:paraId="6CEF7344" w14:textId="77777777">
      <w:pPr>
        <w:pStyle w:val="ListParagraph"/>
        <w:numPr>
          <w:ilvl w:val="0"/>
          <w:numId w:val="22"/>
        </w:numPr>
        <w:spacing w:after="120"/>
        <w:jc w:val="both"/>
        <w:rPr>
          <w:rFonts w:eastAsiaTheme="majorEastAsia"/>
          <w:b/>
          <w:color w:val="FF0000"/>
          <w:shd w:val="clear" w:color="auto" w:fill="FFFFFF"/>
        </w:rPr>
      </w:pPr>
      <w:r w:rsidRPr="00BA25C1">
        <w:rPr>
          <w:rFonts w:eastAsiaTheme="majorEastAsia"/>
          <w:b/>
          <w:bCs/>
          <w:color w:val="FF0000"/>
          <w:shd w:val="clear" w:color="auto" w:fill="FFFFFF"/>
        </w:rPr>
        <w:t xml:space="preserve">alla </w:t>
      </w:r>
      <w:r w:rsidRPr="00BA25C1">
        <w:rPr>
          <w:rFonts w:eastAsiaTheme="majorEastAsia"/>
          <w:b/>
          <w:bCs/>
          <w:color w:val="FF0000"/>
          <w:u w:val="single"/>
          <w:shd w:val="clear" w:color="auto" w:fill="FFFFFF"/>
        </w:rPr>
        <w:t>lettera b) si prevede l</w:t>
      </w:r>
      <w:r w:rsidRPr="00BA25C1">
        <w:rPr>
          <w:rFonts w:eastAsiaTheme="majorEastAsia"/>
          <w:color w:val="FF0000"/>
          <w:shd w:val="clear" w:color="auto" w:fill="FFFFFF"/>
        </w:rPr>
        <w:t xml:space="preserve">a proroga del termine di operatività del Commissario straordinario al 31 dicembre 2027. La disposizione </w:t>
      </w:r>
      <w:r w:rsidRPr="00BA25C1">
        <w:rPr>
          <w:rFonts w:eastAsiaTheme="majorEastAsia"/>
          <w:b/>
          <w:color w:val="FF0000"/>
          <w:shd w:val="clear" w:color="auto" w:fill="FFFFFF"/>
        </w:rPr>
        <w:t xml:space="preserve">non determina nuovi oneri, poiché il trattamento economico del Commissario e le spese di funzionamento della struttura di supporto restano a carico delle risorse già stanziate dal comma 10 dell’articolo 4-bis del </w:t>
      </w:r>
      <w:r w:rsidRPr="00BA25C1">
        <w:rPr>
          <w:rFonts w:eastAsiaTheme="majorEastAsia"/>
          <w:b/>
          <w:color w:val="FF0000"/>
          <w:shd w:val="clear" w:color="auto" w:fill="FFFFFF"/>
        </w:rPr>
        <w:t>d.l.</w:t>
      </w:r>
      <w:r w:rsidRPr="00BA25C1">
        <w:rPr>
          <w:rFonts w:eastAsiaTheme="majorEastAsia"/>
          <w:b/>
          <w:color w:val="FF0000"/>
          <w:shd w:val="clear" w:color="auto" w:fill="FFFFFF"/>
        </w:rPr>
        <w:t xml:space="preserve"> n. 92/2024, senza </w:t>
      </w:r>
      <w:r w:rsidRPr="00A41FC4">
        <w:rPr>
          <w:rFonts w:eastAsiaTheme="majorEastAsia"/>
          <w:b/>
          <w:color w:val="FF0000"/>
          <w:shd w:val="clear" w:color="auto" w:fill="FFFFFF"/>
        </w:rPr>
        <w:t>incremento delle medesime.</w:t>
      </w:r>
    </w:p>
    <w:p w:rsidR="00505CF7" w:rsidRPr="00A41FC4" w:rsidP="00505CF7" w14:paraId="3925FBBA" w14:textId="77777777">
      <w:pPr>
        <w:pStyle w:val="ListParagraph"/>
        <w:numPr>
          <w:ilvl w:val="0"/>
          <w:numId w:val="22"/>
        </w:numPr>
        <w:spacing w:after="120"/>
        <w:jc w:val="both"/>
        <w:rPr>
          <w:rFonts w:eastAsiaTheme="majorEastAsia"/>
          <w:b/>
          <w:bCs/>
          <w:color w:val="FF0000"/>
          <w:shd w:val="clear" w:color="auto" w:fill="FFFFFF"/>
        </w:rPr>
      </w:pPr>
      <w:r w:rsidRPr="00A41FC4">
        <w:rPr>
          <w:rFonts w:eastAsiaTheme="majorEastAsia"/>
          <w:b/>
          <w:bCs/>
          <w:color w:val="FF0000"/>
          <w:shd w:val="clear" w:color="auto" w:fill="FFFFFF"/>
        </w:rPr>
        <w:t xml:space="preserve">alla </w:t>
      </w:r>
      <w:r w:rsidRPr="00A41FC4">
        <w:rPr>
          <w:rFonts w:eastAsiaTheme="majorEastAsia"/>
          <w:b/>
          <w:bCs/>
          <w:color w:val="FF0000"/>
          <w:u w:val="single"/>
          <w:shd w:val="clear" w:color="auto" w:fill="FFFFFF"/>
        </w:rPr>
        <w:t>lettera c)</w:t>
      </w:r>
      <w:r w:rsidRPr="00A41FC4">
        <w:rPr>
          <w:color w:val="FF0000"/>
          <w:kern w:val="2"/>
          <w:lang w:eastAsia="en-US"/>
          <w14:ligatures w14:val="standardContextual"/>
        </w:rPr>
        <w:t xml:space="preserve"> </w:t>
      </w:r>
      <w:r w:rsidRPr="00A41FC4">
        <w:rPr>
          <w:rFonts w:eastAsiaTheme="majorEastAsia"/>
          <w:b/>
          <w:bCs/>
          <w:color w:val="FF0000"/>
          <w:u w:val="single"/>
          <w:shd w:val="clear" w:color="auto" w:fill="FFFFFF"/>
        </w:rPr>
        <w:t>il rafforzamento della struttura</w:t>
      </w:r>
      <w:r w:rsidRPr="00A41FC4">
        <w:rPr>
          <w:rFonts w:eastAsiaTheme="majorEastAsia"/>
          <w:color w:val="FF0000"/>
          <w:shd w:val="clear" w:color="auto" w:fill="FFFFFF"/>
        </w:rPr>
        <w:t xml:space="preserve"> della struttura di supporto mediante: </w:t>
      </w:r>
    </w:p>
    <w:p w:rsidR="00505CF7" w:rsidRPr="00A41FC4" w:rsidP="00505CF7" w14:paraId="0136EA83" w14:textId="77777777">
      <w:pPr>
        <w:numPr>
          <w:ilvl w:val="1"/>
          <w:numId w:val="23"/>
        </w:numPr>
        <w:tabs>
          <w:tab w:val="num" w:pos="1134"/>
        </w:tabs>
        <w:spacing w:after="120"/>
        <w:jc w:val="both"/>
        <w:rPr>
          <w:rFonts w:eastAsiaTheme="majorEastAsia"/>
          <w:b/>
          <w:color w:val="FF0000"/>
          <w:shd w:val="clear" w:color="auto" w:fill="FFFFFF"/>
        </w:rPr>
      </w:pPr>
      <w:r w:rsidRPr="00A41FC4">
        <w:rPr>
          <w:rFonts w:eastAsiaTheme="majorEastAsia"/>
          <w:color w:val="FF0000"/>
          <w:shd w:val="clear" w:color="auto" w:fill="FFFFFF"/>
        </w:rPr>
        <w:t>l’aumento da cinque a dieci unità del personale in posizione di distacco, senza che da ciò derivino m</w:t>
      </w:r>
      <w:r w:rsidRPr="00A41FC4">
        <w:rPr>
          <w:rFonts w:eastAsiaTheme="majorEastAsia"/>
          <w:b/>
          <w:color w:val="FF0000"/>
          <w:shd w:val="clear" w:color="auto" w:fill="FFFFFF"/>
        </w:rPr>
        <w:t>aggiori oneri, in quanto il trattamento economico ordinario rimane a carico delle amministrazioni di provenienza;</w:t>
      </w:r>
    </w:p>
    <w:p w:rsidR="00505CF7" w:rsidRPr="00A41FC4" w:rsidP="00505CF7" w14:paraId="32CF5232" w14:textId="77777777">
      <w:pPr>
        <w:numPr>
          <w:ilvl w:val="1"/>
          <w:numId w:val="23"/>
        </w:numPr>
        <w:tabs>
          <w:tab w:val="num" w:pos="1134"/>
        </w:tabs>
        <w:spacing w:after="120"/>
        <w:jc w:val="both"/>
        <w:rPr>
          <w:rFonts w:eastAsiaTheme="majorEastAsia"/>
          <w:b/>
          <w:color w:val="FF0000"/>
          <w:shd w:val="clear" w:color="auto" w:fill="FFFFFF"/>
        </w:rPr>
      </w:pPr>
      <w:r w:rsidRPr="00A41FC4">
        <w:rPr>
          <w:rFonts w:eastAsiaTheme="majorEastAsia"/>
          <w:color w:val="FF0000"/>
          <w:shd w:val="clear" w:color="auto" w:fill="FFFFFF"/>
        </w:rPr>
        <w:t xml:space="preserve">il riconoscimento dell’indennità di amministrazione al personale non dirigenziale distaccato, i cui </w:t>
      </w:r>
      <w:r w:rsidRPr="00A41FC4">
        <w:rPr>
          <w:rFonts w:eastAsiaTheme="majorEastAsia"/>
          <w:b/>
          <w:color w:val="FF0000"/>
          <w:shd w:val="clear" w:color="auto" w:fill="FFFFFF"/>
        </w:rPr>
        <w:t>oneri sono coperti nell’ambito delle risorse già stanziate dal comma 10 dell’articolo 4-bis e, quindi, senza incrementi di spesa;</w:t>
      </w:r>
    </w:p>
    <w:p w:rsidR="00505CF7" w:rsidRPr="00A41FC4" w:rsidP="00505CF7" w14:paraId="56912141" w14:textId="53618114">
      <w:pPr>
        <w:numPr>
          <w:ilvl w:val="1"/>
          <w:numId w:val="23"/>
        </w:numPr>
        <w:tabs>
          <w:tab w:val="num" w:pos="1134"/>
        </w:tabs>
        <w:spacing w:after="120"/>
        <w:jc w:val="both"/>
        <w:rPr>
          <w:rFonts w:eastAsiaTheme="minorEastAsia"/>
          <w:color w:val="FF0000"/>
          <w:kern w:val="2"/>
          <w:lang w:eastAsia="en-US"/>
          <w14:ligatures w14:val="standardContextual"/>
        </w:rPr>
      </w:pPr>
      <w:r w:rsidRPr="00A41FC4">
        <w:rPr>
          <w:rFonts w:eastAsiaTheme="majorEastAsia"/>
          <w:color w:val="FF0000"/>
          <w:shd w:val="clear" w:color="auto" w:fill="FFFFFF"/>
        </w:rPr>
        <w:t xml:space="preserve">l’esclusione dell’applicabilità dell’art. 5, comma 9, del </w:t>
      </w:r>
      <w:r w:rsidRPr="00A41FC4">
        <w:rPr>
          <w:rFonts w:eastAsiaTheme="majorEastAsia"/>
          <w:color w:val="FF0000"/>
          <w:shd w:val="clear" w:color="auto" w:fill="FFFFFF"/>
        </w:rPr>
        <w:t>d.l.</w:t>
      </w:r>
      <w:r w:rsidRPr="00A41FC4">
        <w:rPr>
          <w:rFonts w:eastAsiaTheme="majorEastAsia"/>
          <w:color w:val="FF0000"/>
          <w:shd w:val="clear" w:color="auto" w:fill="FFFFFF"/>
        </w:rPr>
        <w:t xml:space="preserve"> n. 95/2012 per gli esperti,</w:t>
      </w:r>
      <w:r w:rsidRPr="00A41FC4">
        <w:rPr>
          <w:color w:val="FF0000"/>
          <w:kern w:val="2"/>
          <w:lang w:eastAsia="en-US"/>
          <w14:ligatures w14:val="standardContextual"/>
        </w:rPr>
        <w:t xml:space="preserve"> </w:t>
      </w:r>
      <w:r w:rsidRPr="00A41FC4">
        <w:rPr>
          <w:rFonts w:eastAsiaTheme="majorEastAsia"/>
          <w:color w:val="FF0000"/>
          <w:shd w:val="clear" w:color="auto" w:fill="FFFFFF"/>
        </w:rPr>
        <w:t xml:space="preserve">così consentendo la possibilità di avvalersi anche di soggetti in quiescenza. La disposizione non comporta nuovi o maggiori oneri in quanto </w:t>
      </w:r>
      <w:r w:rsidRPr="000D219F">
        <w:rPr>
          <w:rFonts w:eastAsiaTheme="majorEastAsia"/>
          <w:b/>
          <w:bCs/>
          <w:color w:val="FF0000"/>
          <w:shd w:val="clear" w:color="auto" w:fill="FFFFFF"/>
        </w:rPr>
        <w:t>i relativi oneri rientrano</w:t>
      </w:r>
      <w:r w:rsidRPr="00A41FC4">
        <w:rPr>
          <w:rFonts w:eastAsiaTheme="majorEastAsia"/>
          <w:b/>
          <w:color w:val="FF0000"/>
          <w:shd w:val="clear" w:color="auto" w:fill="FFFFFF"/>
        </w:rPr>
        <w:t xml:space="preserve"> nel medesimo limite di spesa di</w:t>
      </w:r>
      <w:r>
        <w:rPr>
          <w:rFonts w:eastAsiaTheme="majorEastAsia"/>
          <w:b/>
          <w:color w:val="FF0000"/>
          <w:shd w:val="clear" w:color="auto" w:fill="FFFFFF"/>
        </w:rPr>
        <w:t xml:space="preserve"> cui al</w:t>
      </w:r>
      <w:r w:rsidRPr="00A41FC4">
        <w:rPr>
          <w:rFonts w:eastAsiaTheme="majorEastAsia"/>
          <w:b/>
          <w:color w:val="FF0000"/>
          <w:shd w:val="clear" w:color="auto" w:fill="FFFFFF"/>
        </w:rPr>
        <w:t xml:space="preserve"> citato comma 10. </w:t>
      </w:r>
    </w:p>
    <w:p w:rsidR="001B33CC" w:rsidRPr="00BD4793" w:rsidP="4EB900D3" w14:paraId="04007EAB" w14:textId="438299A6">
      <w:pPr>
        <w:spacing w:after="120"/>
        <w:jc w:val="both"/>
        <w:rPr>
          <w:rFonts w:eastAsia="Yu Mincho"/>
          <w:b/>
          <w:bCs/>
          <w:color w:val="00B050"/>
          <w:kern w:val="2"/>
          <w14:ligatures w14:val="standardContextual"/>
        </w:rPr>
      </w:pPr>
      <w:r w:rsidRPr="4EB900D3">
        <w:rPr>
          <w:rFonts w:eastAsiaTheme="minorEastAsia"/>
          <w:color w:val="FF0000"/>
          <w:kern w:val="2"/>
          <w:lang w:eastAsia="en-US"/>
          <w14:ligatures w14:val="standardContextual"/>
        </w:rPr>
        <w:t xml:space="preserve">Il </w:t>
      </w:r>
      <w:r w:rsidRPr="4EB900D3">
        <w:rPr>
          <w:rFonts w:eastAsiaTheme="minorEastAsia"/>
          <w:b/>
          <w:bCs/>
          <w:color w:val="FF0000"/>
          <w:kern w:val="2"/>
          <w:u w:val="single"/>
          <w:lang w:eastAsia="en-US"/>
          <w14:ligatures w14:val="standardContextual"/>
        </w:rPr>
        <w:t>comma 16</w:t>
      </w:r>
      <w:r w:rsidRPr="4EB900D3">
        <w:rPr>
          <w:rFonts w:eastAsiaTheme="minorEastAsia"/>
          <w:color w:val="FF0000"/>
          <w:kern w:val="2"/>
          <w:lang w:eastAsia="en-US"/>
          <w14:ligatures w14:val="standardContextual"/>
        </w:rPr>
        <w:t xml:space="preserve"> reca la quantificazione e l’autorizzazione di spesa per gli oneri derivanti dall’applicazione del comma precedente</w:t>
      </w:r>
      <w:r w:rsidRPr="4EB900D3" w:rsidR="000A67D2">
        <w:rPr>
          <w:rFonts w:eastAsiaTheme="minorEastAsia"/>
          <w:color w:val="FF0000"/>
          <w:kern w:val="2"/>
          <w:lang w:eastAsia="en-US"/>
          <w14:ligatures w14:val="standardContextual"/>
        </w:rPr>
        <w:t xml:space="preserve">, </w:t>
      </w:r>
      <w:r w:rsidRPr="4EB900D3" w:rsidR="000A67D2">
        <w:rPr>
          <w:rFonts w:eastAsiaTheme="minorEastAsia"/>
          <w:strike/>
          <w:color w:val="FF0000"/>
          <w:kern w:val="2"/>
          <w:lang w:eastAsia="en-US"/>
          <w14:ligatures w14:val="standardContextual"/>
        </w:rPr>
        <w:t xml:space="preserve">da intendersi a valere sulle risorse già stanziate </w:t>
      </w:r>
      <w:r w:rsidRPr="4EB900D3" w:rsidR="00F41274">
        <w:rPr>
          <w:rFonts w:eastAsiaTheme="minorEastAsia"/>
          <w:strike/>
          <w:color w:val="FF0000"/>
          <w:kern w:val="2"/>
          <w:lang w:eastAsia="en-US"/>
          <w14:ligatures w14:val="standardContextual"/>
        </w:rPr>
        <w:t>a legislazione vigente</w:t>
      </w:r>
      <w:r w:rsidRPr="4EB900D3" w:rsidR="3C2D7421">
        <w:rPr>
          <w:rFonts w:eastAsiaTheme="minorEastAsia"/>
          <w:strike/>
          <w:color w:val="FF0000"/>
          <w:kern w:val="2"/>
          <w:lang w:eastAsia="en-US"/>
          <w14:ligatures w14:val="standardContextual"/>
        </w:rPr>
        <w:t xml:space="preserve"> </w:t>
      </w:r>
      <w:r w:rsidRPr="00BD4793" w:rsidR="3C2D7421">
        <w:rPr>
          <w:rFonts w:eastAsiaTheme="minorEastAsia"/>
          <w:b/>
          <w:bCs/>
          <w:color w:val="00B050"/>
          <w:kern w:val="2"/>
          <w:highlight w:val="lightGray"/>
          <w:lang w:eastAsia="en-US"/>
          <w14:ligatures w14:val="standardContextual"/>
        </w:rPr>
        <w:t xml:space="preserve">che sono a posti a carico </w:t>
      </w:r>
      <w:r w:rsidRPr="00BD4793" w:rsidR="3C2D7421">
        <w:rPr>
          <w:rFonts w:eastAsia="Yu Mincho"/>
          <w:b/>
          <w:bCs/>
          <w:color w:val="00B050"/>
          <w:highlight w:val="lightGray"/>
        </w:rPr>
        <w:t>del Fondo di cui all'articolo 1, comma 200, della legge 23 dicembre 2014, n. 190, che presenta sufficienti disponibilità.</w:t>
      </w:r>
    </w:p>
    <w:p w:rsidR="00826D2B" w:rsidP="00D84E3D" w14:paraId="15914AF5" w14:textId="77777777">
      <w:pPr>
        <w:spacing w:after="120"/>
        <w:jc w:val="both"/>
        <w:rPr>
          <w:rFonts w:eastAsiaTheme="minorEastAsia"/>
          <w:color w:val="FF0000"/>
          <w:kern w:val="2"/>
          <w:lang w:eastAsia="en-US"/>
          <w14:ligatures w14:val="standardContextual"/>
        </w:rPr>
      </w:pPr>
      <w:r>
        <w:rPr>
          <w:rFonts w:eastAsiaTheme="minorEastAsia"/>
          <w:color w:val="FF0000"/>
          <w:kern w:val="2"/>
          <w:lang w:eastAsia="en-US"/>
          <w14:ligatures w14:val="standardContextual"/>
        </w:rPr>
        <w:t xml:space="preserve">Il </w:t>
      </w:r>
      <w:r w:rsidRPr="00826D2B">
        <w:rPr>
          <w:rFonts w:eastAsiaTheme="minorEastAsia"/>
          <w:b/>
          <w:bCs/>
          <w:color w:val="FF0000"/>
          <w:kern w:val="2"/>
          <w:u w:val="single"/>
          <w:lang w:eastAsia="en-US"/>
          <w14:ligatures w14:val="standardContextual"/>
        </w:rPr>
        <w:t>comma 17</w:t>
      </w:r>
      <w:r>
        <w:rPr>
          <w:rFonts w:eastAsiaTheme="minorEastAsia"/>
          <w:color w:val="FF0000"/>
          <w:kern w:val="2"/>
          <w:lang w:eastAsia="en-US"/>
          <w14:ligatures w14:val="standardContextual"/>
        </w:rPr>
        <w:t xml:space="preserve"> i</w:t>
      </w:r>
      <w:r w:rsidRPr="00826D2B">
        <w:rPr>
          <w:rFonts w:eastAsiaTheme="minorEastAsia"/>
          <w:color w:val="FF0000"/>
          <w:kern w:val="2"/>
          <w:lang w:eastAsia="en-US"/>
          <w14:ligatures w14:val="standardContextual"/>
        </w:rPr>
        <w:t>nterviene sull’articolo 1, comma 1, del decreto-legge n. 75 del 2023, in materia di conferimento di incarichi dirigenziali al Dipartimento per l’informazione e l’editoria e al Dipartimento per le politiche della famiglia della Presidenza del Consiglio dei ministri. In particolare, si differisce dal 31 dicembre 2026 al 31 dicembre 2027 il termine entro il quale gli incarichi dirigenziali presso i citati Dipartimenti possono avvenire in deroga ai limiti quantitativi di cui all'articolo 19, comma 5-</w:t>
      </w:r>
      <w:r w:rsidRPr="00826D2B">
        <w:rPr>
          <w:rFonts w:eastAsiaTheme="minorEastAsia"/>
          <w:i/>
          <w:iCs/>
          <w:color w:val="FF0000"/>
          <w:kern w:val="2"/>
          <w:lang w:eastAsia="en-US"/>
          <w14:ligatures w14:val="standardContextual"/>
        </w:rPr>
        <w:t>bis</w:t>
      </w:r>
      <w:r w:rsidRPr="00826D2B">
        <w:rPr>
          <w:rFonts w:eastAsiaTheme="minorEastAsia"/>
          <w:color w:val="FF0000"/>
          <w:kern w:val="2"/>
          <w:lang w:eastAsia="en-US"/>
          <w14:ligatures w14:val="standardContextual"/>
        </w:rPr>
        <w:t xml:space="preserve"> e comma 6, del decreto legislativo n. 165 del 2001. </w:t>
      </w:r>
    </w:p>
    <w:p w:rsidR="00826D2B" w:rsidRPr="00826D2B" w:rsidP="00D84E3D" w14:paraId="4E1D268B" w14:textId="7F21F437">
      <w:pPr>
        <w:spacing w:after="120"/>
        <w:jc w:val="both"/>
        <w:rPr>
          <w:rFonts w:eastAsiaTheme="minorEastAsia"/>
          <w:b/>
          <w:bCs/>
          <w:color w:val="FF0000"/>
          <w:kern w:val="2"/>
          <w:lang w:eastAsia="en-US"/>
          <w14:ligatures w14:val="standardContextual"/>
        </w:rPr>
      </w:pPr>
      <w:r w:rsidRPr="00826D2B">
        <w:rPr>
          <w:rFonts w:eastAsiaTheme="minorEastAsia"/>
          <w:b/>
          <w:bCs/>
          <w:color w:val="FF0000"/>
          <w:kern w:val="2"/>
          <w:lang w:eastAsia="en-US"/>
          <w14:ligatures w14:val="standardContextual"/>
        </w:rPr>
        <w:t>Dal punto di vista finanz</w:t>
      </w:r>
      <w:r w:rsidR="00717D8A">
        <w:rPr>
          <w:rFonts w:eastAsiaTheme="minorEastAsia"/>
          <w:b/>
          <w:bCs/>
          <w:color w:val="FF0000"/>
          <w:kern w:val="2"/>
          <w:lang w:eastAsia="en-US"/>
          <w14:ligatures w14:val="standardContextual"/>
        </w:rPr>
        <w:t>i</w:t>
      </w:r>
      <w:r w:rsidRPr="00826D2B">
        <w:rPr>
          <w:rFonts w:eastAsiaTheme="minorEastAsia"/>
          <w:b/>
          <w:bCs/>
          <w:color w:val="FF0000"/>
          <w:kern w:val="2"/>
          <w:lang w:eastAsia="en-US"/>
          <w14:ligatures w14:val="standardContextual"/>
        </w:rPr>
        <w:t>ario, si tratta di una disposizione di carattere ordinamentale, da cui non derivano nuovi o maggiori oneri a carico della finanza pubblica.</w:t>
      </w:r>
    </w:p>
    <w:p w:rsidR="001F3451" w:rsidRPr="00F4620E" w:rsidP="001F3451" w14:paraId="09A67D4A" w14:textId="1FA8E8FA">
      <w:pPr>
        <w:jc w:val="both"/>
        <w:rPr>
          <w:color w:val="FF0000"/>
        </w:rPr>
      </w:pPr>
      <w:r w:rsidRPr="00F4620E">
        <w:rPr>
          <w:color w:val="FF0000"/>
        </w:rPr>
        <w:t xml:space="preserve">Il </w:t>
      </w:r>
      <w:r w:rsidRPr="00F4620E">
        <w:rPr>
          <w:b/>
          <w:color w:val="FF0000"/>
          <w:u w:val="single"/>
        </w:rPr>
        <w:t>comma 18</w:t>
      </w:r>
      <w:r w:rsidRPr="00F4620E">
        <w:rPr>
          <w:color w:val="FF0000"/>
        </w:rPr>
        <w:t xml:space="preserve"> novella l’articolo 12-</w:t>
      </w:r>
      <w:r w:rsidRPr="00F4620E">
        <w:rPr>
          <w:i/>
          <w:color w:val="FF0000"/>
        </w:rPr>
        <w:t>ter</w:t>
      </w:r>
      <w:r w:rsidRPr="00F4620E">
        <w:rPr>
          <w:color w:val="FF0000"/>
        </w:rPr>
        <w:t xml:space="preserve"> del decreto-legge n. 181 del 2023 per estendere l’ambito di operatività di Sogesid S.p.A., prevedendo che, proprio qualità di soggetto </w:t>
      </w:r>
      <w:r w:rsidRPr="00F4620E">
        <w:rPr>
          <w:i/>
          <w:color w:val="FF0000"/>
        </w:rPr>
        <w:t xml:space="preserve">in house </w:t>
      </w:r>
      <w:r w:rsidRPr="00F4620E">
        <w:rPr>
          <w:color w:val="FF0000"/>
        </w:rPr>
        <w:t>delle Amministrazioni centrali dello Stato, possa svolgere attività finalizzate a supportare queste ultime nel processo di attuazione di piani, programmi e interventi di interesse pubblico</w:t>
      </w:r>
      <w:r w:rsidR="00121158">
        <w:rPr>
          <w:color w:val="FF0000"/>
        </w:rPr>
        <w:t xml:space="preserve"> </w:t>
      </w:r>
      <w:r w:rsidRPr="00121158" w:rsidR="00121158">
        <w:rPr>
          <w:color w:val="FF0000"/>
        </w:rPr>
        <w:t>per la piena attuazione della transizione ecologica</w:t>
      </w:r>
      <w:r w:rsidRPr="00F4620E">
        <w:rPr>
          <w:color w:val="FF0000"/>
        </w:rPr>
        <w:t>, anche di carattere complesso e trasversale, finanziati con le risorse pubbliche nazionali o europee, inclusi gli interventi previsti dal PNRR.</w:t>
      </w:r>
    </w:p>
    <w:p w:rsidR="001F3451" w:rsidRPr="00F4620E" w:rsidP="002A6622" w14:paraId="53212EDD" w14:textId="0F3E0E3C">
      <w:pPr>
        <w:spacing w:after="120"/>
        <w:jc w:val="both"/>
        <w:rPr>
          <w:color w:val="FF0000"/>
        </w:rPr>
      </w:pPr>
      <w:r w:rsidRPr="00F4620E">
        <w:rPr>
          <w:color w:val="FF0000"/>
        </w:rPr>
        <w:t xml:space="preserve">La norma in esame consente altresì a Sogesid di stipulare, in qualità di soggetto attuatore e previa autorizzazione del Ministero dell’ambiente e della sicurezza energetica e del Ministero delle infrastrutture e trasporti, contratti di programma, accordi-quadro o convenzioni, con regioni e province autonome per la realizzazione di interventi urgenti o di rilevanza strategica. </w:t>
      </w:r>
    </w:p>
    <w:p w:rsidR="002A6622" w:rsidRPr="00F4620E" w:rsidP="002A6622" w14:paraId="0C0DFDBA" w14:textId="1D9500C5">
      <w:pPr>
        <w:spacing w:after="120"/>
        <w:jc w:val="both"/>
        <w:rPr>
          <w:b/>
          <w:color w:val="FF0000"/>
        </w:rPr>
      </w:pPr>
      <w:r w:rsidRPr="00F4620E">
        <w:rPr>
          <w:b/>
          <w:color w:val="FF0000"/>
        </w:rPr>
        <w:t xml:space="preserve">La disposizione in esame, di carattere meramente programmatico, non comporta nuovi o maggiori oneri a carico della finanza pubblica. </w:t>
      </w:r>
    </w:p>
    <w:p w:rsidR="0042796E" w:rsidRPr="0042796E" w:rsidP="008B1D54" w14:paraId="7E574746" w14:textId="3B0FA9DB">
      <w:pPr>
        <w:jc w:val="both"/>
        <w:rPr>
          <w:color w:val="FF0000"/>
        </w:rPr>
      </w:pPr>
    </w:p>
    <w:p w:rsidR="00CA5577" w:rsidP="00D84E3D" w14:paraId="137A68D3" w14:textId="77777777">
      <w:pPr>
        <w:spacing w:after="120"/>
        <w:jc w:val="both"/>
        <w:rPr>
          <w:rFonts w:eastAsiaTheme="minorEastAsia"/>
          <w:strike/>
          <w:color w:val="FF0000"/>
          <w:kern w:val="2"/>
          <w:lang w:eastAsia="en-US"/>
          <w14:ligatures w14:val="standardContextual"/>
        </w:rPr>
      </w:pPr>
    </w:p>
    <w:p w:rsidR="002C4662" w:rsidRPr="00987C41" w:rsidP="00987C41" w14:paraId="2AE0BD89" w14:textId="3F4570D7">
      <w:pPr>
        <w:pStyle w:val="Heading3"/>
        <w:spacing w:before="0" w:after="120"/>
        <w:ind w:left="142" w:firstLine="142"/>
        <w:rPr>
          <w:rFonts w:cs="Times New Roman"/>
        </w:rPr>
      </w:pPr>
      <w:bookmarkStart w:id="9" w:name="_Toc220077547"/>
      <w:r w:rsidRPr="00987C41">
        <w:rPr>
          <w:rFonts w:cs="Times New Roman"/>
        </w:rPr>
        <w:t xml:space="preserve">ART. 3                                                                                                                                         </w:t>
      </w:r>
      <w:r w:rsidRPr="00987C41">
        <w:rPr>
          <w:rFonts w:cs="Times New Roman"/>
        </w:rPr>
        <w:t xml:space="preserve">   (</w:t>
      </w:r>
      <w:r w:rsidRPr="00987C41">
        <w:rPr>
          <w:rFonts w:cs="Times New Roman"/>
        </w:rPr>
        <w:t>Disposizioni in materia di rafforzamento della capacità amministrativa dei soggetti attuatori delle misure PNRR</w:t>
      </w:r>
      <w:bookmarkEnd w:id="9"/>
    </w:p>
    <w:p w:rsidR="00276831" w:rsidRPr="00987C41" w:rsidP="00987C41" w14:paraId="19F75009" w14:textId="50012C46">
      <w:pPr>
        <w:spacing w:after="120"/>
        <w:jc w:val="both"/>
        <w:rPr>
          <w:rFonts w:eastAsia="Calibri"/>
          <w:lang w:eastAsia="en-US"/>
        </w:rPr>
      </w:pPr>
      <w:r w:rsidRPr="00987C41">
        <w:rPr>
          <w:rFonts w:eastAsia="Calibri"/>
          <w:lang w:eastAsia="en-US"/>
        </w:rPr>
        <w:t>L’articolo in commento, ai commi 1</w:t>
      </w:r>
      <w:r w:rsidR="00E70850">
        <w:rPr>
          <w:rFonts w:eastAsia="Calibri"/>
          <w:lang w:eastAsia="en-US"/>
        </w:rPr>
        <w:t xml:space="preserve"> e</w:t>
      </w:r>
      <w:r w:rsidRPr="00987C41">
        <w:rPr>
          <w:rFonts w:eastAsia="Calibri"/>
          <w:lang w:eastAsia="en-US"/>
        </w:rPr>
        <w:t xml:space="preserve"> 2, è finalizzato a consentire al Dipartimento della funzione pubblica, nell’ottica della prosecuzione </w:t>
      </w:r>
      <w:r w:rsidRPr="00987C41">
        <w:t xml:space="preserve">delle </w:t>
      </w:r>
      <w:r w:rsidRPr="00987C41">
        <w:rPr>
          <w:rFonts w:eastAsia="Calibri"/>
          <w:lang w:eastAsia="en-US"/>
        </w:rPr>
        <w:t>attività di attuazione del PNRR di propria competenza, l’utilizzo delle risorse non fruite tra quelle destinate al Sub-investimento 2.2.1 "</w:t>
      </w:r>
      <w:r w:rsidRPr="00987C41">
        <w:rPr>
          <w:rFonts w:eastAsia="Calibri"/>
          <w:i/>
          <w:iCs/>
          <w:lang w:eastAsia="en-US"/>
        </w:rPr>
        <w:t>Assistenza tecnica a livello centrale e locale</w:t>
      </w:r>
      <w:r w:rsidRPr="00987C41">
        <w:rPr>
          <w:rFonts w:eastAsia="Calibri"/>
          <w:lang w:eastAsia="en-US"/>
        </w:rPr>
        <w:t>" della misura M1C1</w:t>
      </w:r>
      <w:r w:rsidR="009A67AD">
        <w:rPr>
          <w:rFonts w:eastAsia="Calibri"/>
          <w:lang w:eastAsia="en-US"/>
        </w:rPr>
        <w:t xml:space="preserve">. </w:t>
      </w:r>
    </w:p>
    <w:p w:rsidR="00276831" w:rsidRPr="00987C41" w:rsidP="00987C41" w14:paraId="3FC625F7" w14:textId="4ACFCB8D">
      <w:pPr>
        <w:spacing w:after="120"/>
        <w:jc w:val="both"/>
        <w:rPr>
          <w:rFonts w:eastAsia="Calibri"/>
          <w:lang w:eastAsia="en-US"/>
        </w:rPr>
      </w:pPr>
      <w:r w:rsidRPr="00987C41">
        <w:rPr>
          <w:rFonts w:eastAsia="Calibri"/>
          <w:lang w:eastAsia="en-US"/>
        </w:rPr>
        <w:t xml:space="preserve">A tali fini, al </w:t>
      </w:r>
      <w:r w:rsidRPr="00987C41">
        <w:rPr>
          <w:rFonts w:eastAsia="Calibri"/>
          <w:b/>
          <w:bCs/>
          <w:u w:val="single"/>
          <w:lang w:eastAsia="en-US"/>
        </w:rPr>
        <w:t>comma 1</w:t>
      </w:r>
      <w:r w:rsidRPr="00987C41">
        <w:rPr>
          <w:rFonts w:eastAsia="Calibri"/>
          <w:lang w:eastAsia="en-US"/>
        </w:rPr>
        <w:t xml:space="preserve"> viene previsto che </w:t>
      </w:r>
      <w:r w:rsidRPr="00E70850" w:rsidR="00E70850">
        <w:rPr>
          <w:rFonts w:eastAsia="Calibri"/>
          <w:lang w:eastAsia="en-US"/>
        </w:rPr>
        <w:t xml:space="preserve">si provvede all’aggiornamento del riparto delle </w:t>
      </w:r>
      <w:r w:rsidRPr="00987C41">
        <w:rPr>
          <w:rFonts w:eastAsia="Calibri"/>
          <w:lang w:eastAsia="en-US"/>
        </w:rPr>
        <w:t>citate risorse mediante apposito decreto del Ministro per la pubblica amministrazione (di concerto con il Ministro dell'economia e delle finanze e con il Ministro per gli affari regionali e le autonomie, previa intesa in sede di Conferenza unificata).</w:t>
      </w:r>
    </w:p>
    <w:p w:rsidR="00276831" w:rsidRPr="00987C41" w:rsidP="00987C41" w14:paraId="2FAB38A7" w14:textId="37A1F8FB">
      <w:pPr>
        <w:spacing w:after="120"/>
        <w:jc w:val="both"/>
        <w:rPr>
          <w:rFonts w:eastAsia="Calibri"/>
          <w:lang w:eastAsia="en-US"/>
        </w:rPr>
      </w:pPr>
      <w:r w:rsidRPr="00987C41">
        <w:rPr>
          <w:rFonts w:eastAsia="Calibri"/>
          <w:lang w:eastAsia="en-US"/>
        </w:rPr>
        <w:t>A</w:t>
      </w:r>
      <w:r w:rsidR="00E70850">
        <w:rPr>
          <w:rFonts w:eastAsia="Calibri"/>
          <w:lang w:eastAsia="en-US"/>
        </w:rPr>
        <w:t xml:space="preserve">l </w:t>
      </w:r>
      <w:r w:rsidRPr="00987C41">
        <w:rPr>
          <w:rFonts w:eastAsia="Calibri"/>
          <w:b/>
          <w:u w:val="single"/>
          <w:lang w:eastAsia="en-US"/>
        </w:rPr>
        <w:t>comm</w:t>
      </w:r>
      <w:r w:rsidR="00E70850">
        <w:rPr>
          <w:rFonts w:eastAsia="Calibri"/>
          <w:b/>
          <w:u w:val="single"/>
          <w:lang w:eastAsia="en-US"/>
        </w:rPr>
        <w:t xml:space="preserve">a </w:t>
      </w:r>
      <w:r w:rsidRPr="00987C41">
        <w:rPr>
          <w:rFonts w:eastAsia="Calibri"/>
          <w:b/>
          <w:u w:val="single"/>
          <w:lang w:eastAsia="en-US"/>
        </w:rPr>
        <w:t>2</w:t>
      </w:r>
      <w:r w:rsidRPr="00987C41">
        <w:rPr>
          <w:rFonts w:eastAsia="Calibri"/>
          <w:lang w:eastAsia="en-US"/>
        </w:rPr>
        <w:t xml:space="preserve"> poi</w:t>
      </w:r>
      <w:r w:rsidR="00A1727E">
        <w:rPr>
          <w:rFonts w:eastAsia="Calibri"/>
          <w:lang w:eastAsia="en-US"/>
        </w:rPr>
        <w:t xml:space="preserve"> si prevede che c</w:t>
      </w:r>
      <w:r w:rsidRPr="00A1727E" w:rsidR="00A1727E">
        <w:rPr>
          <w:rFonts w:eastAsia="Calibri"/>
          <w:lang w:eastAsia="en-US"/>
        </w:rPr>
        <w:t xml:space="preserve">on il medesimo decreto di cui al comma 1, </w:t>
      </w:r>
      <w:r w:rsidR="00A1727E">
        <w:rPr>
          <w:rFonts w:eastAsia="Calibri"/>
          <w:lang w:eastAsia="en-US"/>
        </w:rPr>
        <w:t>sia</w:t>
      </w:r>
      <w:r w:rsidRPr="00A1727E" w:rsidR="00A1727E">
        <w:rPr>
          <w:rFonts w:eastAsia="Calibri"/>
          <w:lang w:eastAsia="en-US"/>
        </w:rPr>
        <w:t xml:space="preserve"> defini</w:t>
      </w:r>
      <w:r w:rsidR="00A1727E">
        <w:rPr>
          <w:rFonts w:eastAsia="Calibri"/>
          <w:lang w:eastAsia="en-US"/>
        </w:rPr>
        <w:t>te</w:t>
      </w:r>
      <w:r w:rsidRPr="00A1727E" w:rsidR="00A1727E">
        <w:rPr>
          <w:rFonts w:eastAsia="Calibri"/>
          <w:lang w:eastAsia="en-US"/>
        </w:rPr>
        <w:t xml:space="preserve"> le procedure finanziarie, di monitoraggio, rendicontazione e controllo, coerenti con la disciplina applicabile al PNRR</w:t>
      </w:r>
      <w:r w:rsidR="00A1727E">
        <w:rPr>
          <w:rFonts w:eastAsia="Calibri"/>
          <w:lang w:eastAsia="en-US"/>
        </w:rPr>
        <w:t>.</w:t>
      </w:r>
    </w:p>
    <w:p w:rsidR="00276831" w:rsidRPr="00987C41" w:rsidP="00987C41" w14:paraId="56A93E93" w14:textId="6FAC690F">
      <w:pPr>
        <w:spacing w:after="120"/>
        <w:jc w:val="both"/>
        <w:rPr>
          <w:rFonts w:eastAsia="Calibri"/>
          <w:b/>
          <w:lang w:eastAsia="en-US"/>
        </w:rPr>
      </w:pPr>
      <w:r w:rsidRPr="00987C41">
        <w:rPr>
          <w:rFonts w:eastAsia="Calibri"/>
          <w:b/>
          <w:lang w:eastAsia="en-US"/>
        </w:rPr>
        <w:t xml:space="preserve">In termini finanziari, si rappresenta che le </w:t>
      </w:r>
      <w:r w:rsidRPr="00987C41">
        <w:rPr>
          <w:rFonts w:eastAsia="Calibri"/>
          <w:b/>
          <w:lang w:eastAsia="en-US"/>
        </w:rPr>
        <w:t>predette</w:t>
      </w:r>
      <w:r w:rsidRPr="00987C41">
        <w:rPr>
          <w:rFonts w:eastAsia="Calibri"/>
          <w:b/>
          <w:lang w:eastAsia="en-US"/>
        </w:rPr>
        <w:t xml:space="preserve"> disposizioni non sono suscettibili </w:t>
      </w:r>
      <w:r w:rsidR="003632D8">
        <w:rPr>
          <w:rFonts w:eastAsia="Calibri"/>
          <w:b/>
          <w:lang w:eastAsia="en-US"/>
        </w:rPr>
        <w:t xml:space="preserve">di </w:t>
      </w:r>
      <w:r w:rsidRPr="00987C41">
        <w:rPr>
          <w:rFonts w:eastAsia="Calibri"/>
          <w:b/>
          <w:lang w:eastAsia="en-US"/>
        </w:rPr>
        <w:t>introdurre nuovi o ulteriori oneri a carico della finanza pubblica, in quanto opera</w:t>
      </w:r>
      <w:r w:rsidRPr="00987C41" w:rsidR="00831BCB">
        <w:rPr>
          <w:rFonts w:eastAsia="Calibri"/>
          <w:b/>
          <w:lang w:eastAsia="en-US"/>
        </w:rPr>
        <w:t>no</w:t>
      </w:r>
      <w:r w:rsidRPr="00987C41">
        <w:rPr>
          <w:rFonts w:eastAsia="Calibri"/>
          <w:b/>
          <w:lang w:eastAsia="en-US"/>
        </w:rPr>
        <w:t xml:space="preserve"> nei limiti delle risorse finanziarie disponibili</w:t>
      </w:r>
      <w:r w:rsidR="00A1727E">
        <w:rPr>
          <w:rFonts w:eastAsia="Calibri"/>
          <w:b/>
          <w:lang w:eastAsia="en-US"/>
        </w:rPr>
        <w:t>.</w:t>
      </w:r>
    </w:p>
    <w:p w:rsidR="003C5471" w:rsidRPr="00987C41" w:rsidP="00987C41" w14:paraId="09008083" w14:textId="2571E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eastAsia="Aptos"/>
          <w:kern w:val="2"/>
          <w:lang w:eastAsia="en-US"/>
          <w14:ligatures w14:val="standardContextual"/>
        </w:rPr>
      </w:pPr>
      <w:r w:rsidRPr="00987C41">
        <w:rPr>
          <w:rFonts w:eastAsia="Aptos"/>
          <w:kern w:val="2"/>
          <w:lang w:eastAsia="en-US"/>
          <w14:ligatures w14:val="standardContextual"/>
        </w:rPr>
        <w:t xml:space="preserve">I successivi commi da </w:t>
      </w:r>
      <w:r w:rsidR="00A1727E">
        <w:rPr>
          <w:rFonts w:eastAsia="Aptos"/>
          <w:kern w:val="2"/>
          <w:lang w:eastAsia="en-US"/>
          <w14:ligatures w14:val="standardContextual"/>
        </w:rPr>
        <w:t>3</w:t>
      </w:r>
      <w:r w:rsidRPr="00987C41">
        <w:rPr>
          <w:rFonts w:eastAsia="Aptos"/>
          <w:kern w:val="2"/>
          <w:lang w:eastAsia="en-US"/>
          <w14:ligatures w14:val="standardContextual"/>
        </w:rPr>
        <w:t xml:space="preserve"> a </w:t>
      </w:r>
      <w:r w:rsidR="00A1727E">
        <w:rPr>
          <w:rFonts w:eastAsia="Aptos"/>
          <w:kern w:val="2"/>
          <w:lang w:eastAsia="en-US"/>
          <w14:ligatures w14:val="standardContextual"/>
        </w:rPr>
        <w:t>6</w:t>
      </w:r>
      <w:r w:rsidRPr="00987C41">
        <w:rPr>
          <w:rFonts w:eastAsia="Aptos"/>
          <w:kern w:val="2"/>
          <w:lang w:eastAsia="en-US"/>
          <w14:ligatures w14:val="standardContextual"/>
        </w:rPr>
        <w:t xml:space="preserve"> recano alcuni necessari interventi in materia di segretari comunali e provinciali, per garantire la continuità e l’efficienza amministrativa degli enti locali, specie quelli di piccole dimensioni, interessati dalla realizzazione degli interventi rientranti nel Piano nazionale di ripresa e resilienza (PNRR). </w:t>
      </w:r>
    </w:p>
    <w:p w:rsidR="003C5471" w:rsidRPr="00987C41" w:rsidP="00A1727E" w14:paraId="0B7C4F78" w14:textId="29C1F59A">
      <w:pPr>
        <w:spacing w:after="120"/>
        <w:jc w:val="both"/>
        <w:rPr>
          <w:rFonts w:eastAsia="Aptos"/>
          <w:kern w:val="2"/>
          <w:lang w:eastAsia="en-US"/>
          <w14:ligatures w14:val="standardContextual"/>
        </w:rPr>
      </w:pPr>
      <w:r w:rsidRPr="00987C41">
        <w:rPr>
          <w:rFonts w:eastAsia="Aptos"/>
          <w:kern w:val="2"/>
          <w:lang w:eastAsia="en-US"/>
          <w14:ligatures w14:val="standardContextual"/>
        </w:rPr>
        <w:t xml:space="preserve">In particolare, </w:t>
      </w:r>
      <w:r w:rsidR="00A1727E">
        <w:rPr>
          <w:rFonts w:eastAsia="Calibri"/>
          <w:lang w:eastAsia="en-US"/>
        </w:rPr>
        <w:t>i</w:t>
      </w:r>
      <w:r w:rsidRPr="00987C41">
        <w:rPr>
          <w:rFonts w:eastAsia="Calibri"/>
          <w:lang w:eastAsia="en-US"/>
        </w:rPr>
        <w:t xml:space="preserve">l </w:t>
      </w:r>
      <w:r w:rsidRPr="00987C41">
        <w:rPr>
          <w:rFonts w:eastAsia="Calibri"/>
          <w:b/>
          <w:u w:val="single"/>
          <w:lang w:eastAsia="en-US"/>
        </w:rPr>
        <w:t xml:space="preserve">comma </w:t>
      </w:r>
      <w:r w:rsidR="00A1727E">
        <w:rPr>
          <w:rFonts w:eastAsia="Calibri"/>
          <w:b/>
          <w:u w:val="single"/>
          <w:lang w:eastAsia="en-US"/>
        </w:rPr>
        <w:t>3</w:t>
      </w:r>
      <w:r w:rsidRPr="00987C41">
        <w:rPr>
          <w:rFonts w:eastAsia="Aptos"/>
          <w:kern w:val="2"/>
          <w:lang w:eastAsia="en-US"/>
          <w14:ligatures w14:val="standardContextual"/>
        </w:rPr>
        <w:t xml:space="preserve"> reca un intervento in materia di spesa per il trattamento economico dei segretari comunali e provinciali. Nello specifico, si rende strutturale – attraverso l’eliminazione del limite temporale previsto – la previsione di cui al comma 6 dell’art. 3 del decreto-legge n. 44 del 2023, il quale prevede che, per gli anni 2023-2026, per i comuni sprovvisti di segretario comunale alla data di entrata in vigore del provvedimento, la spesa per il segretario non rileva ai fini del rispetto dei limiti previsti dalla vigente normativa. Inoltre, la disposizione in esame amplia anche l’applicazione della disposizione a tutti i comuni, indipendentemente dalla circostanza che siano provvisti o meno del segretario comunale alla data di entrata in vigore del decreto, al fine di eliminare tale disparità di trattamento.</w:t>
      </w:r>
    </w:p>
    <w:p w:rsidR="00773273" w:rsidRPr="00987C41" w:rsidP="00987C41" w14:paraId="0676D511"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eastAsia="Aptos"/>
          <w:b/>
          <w:kern w:val="2"/>
          <w:lang w:eastAsia="en-US"/>
          <w14:ligatures w14:val="standardContextual"/>
        </w:rPr>
      </w:pPr>
      <w:r w:rsidRPr="00987C41">
        <w:rPr>
          <w:rFonts w:eastAsia="Aptos"/>
          <w:b/>
          <w:kern w:val="2"/>
          <w:lang w:eastAsia="en-US"/>
          <w14:ligatures w14:val="standardContextual"/>
        </w:rPr>
        <w:t>Tanto premesso, la deroga prevista dal comma in rassegna non determina nuovi o maggiori aggravi a carico della finanza pubblica, considerando che opera, comunque, nel rispetto della sostenibilità finanziaria di cui all’art. 33 del decreto-legge n. 34</w:t>
      </w:r>
      <w:r w:rsidRPr="00987C41">
        <w:rPr>
          <w:rFonts w:eastAsia="Aptos"/>
          <w:b/>
          <w:kern w:val="2"/>
          <w:lang w:eastAsia="en-US"/>
          <w14:ligatures w14:val="standardContextual"/>
        </w:rPr>
        <w:t xml:space="preserve"> del 2019.</w:t>
      </w:r>
    </w:p>
    <w:p w:rsidR="00B64814" w:rsidP="000132DC" w14:paraId="13F8C8CC" w14:textId="06E0A92F">
      <w:pPr>
        <w:spacing w:before="120" w:after="120"/>
        <w:jc w:val="both"/>
      </w:pPr>
      <w:r>
        <w:rPr>
          <w:bCs/>
        </w:rPr>
        <w:t>I</w:t>
      </w:r>
      <w:r w:rsidRPr="00987C41" w:rsidR="00B24336">
        <w:rPr>
          <w:bCs/>
        </w:rPr>
        <w:t xml:space="preserve">l </w:t>
      </w:r>
      <w:r w:rsidRPr="00D97E8E" w:rsidR="00B24336">
        <w:rPr>
          <w:b/>
          <w:u w:val="single"/>
        </w:rPr>
        <w:t xml:space="preserve">comma </w:t>
      </w:r>
      <w:r w:rsidR="00674BF7">
        <w:rPr>
          <w:b/>
          <w:u w:val="single"/>
        </w:rPr>
        <w:t>4</w:t>
      </w:r>
      <w:r w:rsidRPr="00CC44F0" w:rsidR="00B24336">
        <w:t xml:space="preserve"> </w:t>
      </w:r>
      <w:r w:rsidRPr="004A4A21" w:rsidR="004A4A21">
        <w:t>autorizza la spesa necessaria a garantire, nell’ultima e decisiva annualità del PNRR, un servizio di assistenza tecnico-specialistica per la gestione, attuazione, monitoraggio e controllo dei contributi PNRR assegnati ai Comuni dalla Direzione Centrale per la Finanza Locale del Dipartimento per gli Affari Interni e Territoriali del Ministero dell’Interno</w:t>
      </w:r>
      <w:r w:rsidR="00D468C5">
        <w:t xml:space="preserve">. </w:t>
      </w:r>
    </w:p>
    <w:p w:rsidR="00BE2EEB" w:rsidRPr="00B64814" w:rsidP="000132DC" w14:paraId="71397FB8" w14:textId="0781492D">
      <w:pPr>
        <w:spacing w:before="120" w:after="120"/>
        <w:jc w:val="both"/>
        <w:rPr>
          <w:color w:val="215E99" w:themeColor="text2" w:themeTint="BF"/>
        </w:rPr>
      </w:pPr>
      <w:r w:rsidRPr="00B64814">
        <w:rPr>
          <w:b/>
          <w:color w:val="215E99" w:themeColor="text2" w:themeTint="BF"/>
        </w:rPr>
        <w:t>La</w:t>
      </w:r>
      <w:r w:rsidRPr="00B64814" w:rsidR="00912CBC">
        <w:rPr>
          <w:b/>
          <w:color w:val="215E99" w:themeColor="text2" w:themeTint="BF"/>
        </w:rPr>
        <w:t xml:space="preserve"> </w:t>
      </w:r>
      <w:r w:rsidRPr="00B64814" w:rsidR="00B64814">
        <w:rPr>
          <w:b/>
          <w:color w:val="215E99" w:themeColor="text2" w:themeTint="BF"/>
        </w:rPr>
        <w:t>disposizione comporta</w:t>
      </w:r>
      <w:r w:rsidRPr="00B64814">
        <w:rPr>
          <w:b/>
          <w:color w:val="215E99" w:themeColor="text2" w:themeTint="BF"/>
        </w:rPr>
        <w:t xml:space="preserve"> maggiori oneri pari a euro 250.000</w:t>
      </w:r>
      <w:r w:rsidRPr="00B64814" w:rsidR="00B869B1">
        <w:rPr>
          <w:b/>
          <w:color w:val="215E99" w:themeColor="text2" w:themeTint="BF"/>
        </w:rPr>
        <w:t>,00</w:t>
      </w:r>
      <w:r w:rsidRPr="00B64814">
        <w:rPr>
          <w:b/>
          <w:color w:val="215E99" w:themeColor="text2" w:themeTint="BF"/>
        </w:rPr>
        <w:t xml:space="preserve"> per l’annualità 2026, alla cui copertura si provvede mediante corrispondente riduzione, per il medesimo anno, dell’autorizzazione di spesa di cui all’articolo 35 del decreto legislativo 504 del 1992.</w:t>
      </w:r>
    </w:p>
    <w:p w:rsidR="00D66F76" w:rsidRPr="00404C1C" w:rsidP="00D66F76" w14:paraId="62800337" w14:textId="3C1E4DB4">
      <w:pPr>
        <w:spacing w:after="120"/>
        <w:jc w:val="both"/>
      </w:pPr>
      <w:r w:rsidRPr="00404C1C">
        <w:rPr>
          <w:b/>
          <w:bCs/>
        </w:rPr>
        <w:t xml:space="preserve">Al </w:t>
      </w:r>
      <w:r w:rsidRPr="00404C1C">
        <w:rPr>
          <w:b/>
          <w:bCs/>
          <w:u w:val="single"/>
        </w:rPr>
        <w:t xml:space="preserve">comma </w:t>
      </w:r>
      <w:r w:rsidRPr="00404C1C" w:rsidR="00674BF7">
        <w:rPr>
          <w:b/>
          <w:bCs/>
          <w:u w:val="single"/>
        </w:rPr>
        <w:t>5</w:t>
      </w:r>
      <w:r w:rsidRPr="00404C1C">
        <w:t xml:space="preserve"> si prevede un incremento di dotazione organica dirigenziale della Presidenza del Consiglio dei ministri </w:t>
      </w:r>
      <w:r w:rsidRPr="00404C1C" w:rsidR="00154882">
        <w:t xml:space="preserve">di una posizione di livello generale e di cinque posizioni di livello non generale, da assegnare alla struttura della Presidenza del Consiglio dei ministri competente in materia di innovazione tecnologica e transizione digitale, </w:t>
      </w:r>
      <w:r w:rsidRPr="00404C1C">
        <w:t xml:space="preserve">con un onere complessivo </w:t>
      </w:r>
      <w:r w:rsidRPr="00404C1C" w:rsidR="00446B76">
        <w:t xml:space="preserve">quantificato </w:t>
      </w:r>
      <w:r w:rsidRPr="00404C1C" w:rsidR="00D07573">
        <w:t>in</w:t>
      </w:r>
      <w:r w:rsidRPr="00404C1C">
        <w:t xml:space="preserve"> euro 311.490,89 per la posizione di livello generale e </w:t>
      </w:r>
      <w:r w:rsidRPr="00404C1C" w:rsidR="00D07573">
        <w:t xml:space="preserve">in </w:t>
      </w:r>
      <w:r w:rsidRPr="00404C1C">
        <w:t xml:space="preserve">euro 875.877,85 per le cinque posizioni di livello non generale. </w:t>
      </w:r>
    </w:p>
    <w:p w:rsidR="00D66F76" w:rsidRPr="00404C1C" w:rsidP="00D66F76" w14:paraId="6408522F" w14:textId="0BF113CA">
      <w:pPr>
        <w:spacing w:after="120"/>
        <w:jc w:val="both"/>
      </w:pPr>
      <w:r w:rsidRPr="00404C1C">
        <w:rPr>
          <w:b/>
          <w:bCs/>
        </w:rPr>
        <w:t xml:space="preserve">Al </w:t>
      </w:r>
      <w:r w:rsidRPr="00404C1C">
        <w:rPr>
          <w:b/>
          <w:bCs/>
          <w:u w:val="single"/>
        </w:rPr>
        <w:t xml:space="preserve">comma </w:t>
      </w:r>
      <w:r w:rsidRPr="00404C1C" w:rsidR="001D41D0">
        <w:rPr>
          <w:b/>
          <w:bCs/>
          <w:u w:val="single"/>
        </w:rPr>
        <w:t>6</w:t>
      </w:r>
      <w:r w:rsidRPr="00404C1C">
        <w:t xml:space="preserve"> </w:t>
      </w:r>
      <w:r w:rsidRPr="00404C1C" w:rsidR="00446B76">
        <w:t xml:space="preserve">è autorizzato un incremento della dotazione organica dei funzionari di categoria A F1 del Contratto collettivo nazionale di lavoro della Presidenza del Consiglio dei ministri di centotrenta unità, quantificando il relativo </w:t>
      </w:r>
      <w:r w:rsidRPr="00404C1C">
        <w:t xml:space="preserve">onere complessivo </w:t>
      </w:r>
      <w:r w:rsidRPr="00404C1C" w:rsidR="00446B76">
        <w:t>in euro</w:t>
      </w:r>
      <w:r w:rsidRPr="00404C1C">
        <w:t xml:space="preserve"> 10.364.627. </w:t>
      </w:r>
    </w:p>
    <w:p w:rsidR="00D66F76" w:rsidRPr="00404C1C" w:rsidP="00D66F76" w14:paraId="2E45C2EC" w14:textId="7B840D4E">
      <w:pPr>
        <w:spacing w:after="120"/>
        <w:jc w:val="both"/>
      </w:pPr>
      <w:r w:rsidRPr="00404C1C">
        <w:t xml:space="preserve">Gli oneri derivanti </w:t>
      </w:r>
      <w:r w:rsidRPr="00404C1C" w:rsidR="00061C78">
        <w:t xml:space="preserve">dai commi </w:t>
      </w:r>
      <w:r w:rsidRPr="00404C1C" w:rsidR="00B711B9">
        <w:t>5</w:t>
      </w:r>
      <w:r w:rsidRPr="00404C1C" w:rsidR="00EB035A">
        <w:t xml:space="preserve"> e </w:t>
      </w:r>
      <w:r w:rsidRPr="00404C1C" w:rsidR="00B711B9">
        <w:t>6</w:t>
      </w:r>
      <w:r w:rsidRPr="00404C1C" w:rsidR="00EB035A">
        <w:t xml:space="preserve"> </w:t>
      </w:r>
      <w:r w:rsidRPr="00404C1C">
        <w:t>sono, pertanto, pari a complessivi euro 11.551.995,7</w:t>
      </w:r>
      <w:r w:rsidRPr="00404C1C" w:rsidR="00450A22">
        <w:t xml:space="preserve">, la cui copertura è assicurata dal successivo </w:t>
      </w:r>
      <w:r w:rsidRPr="00404C1C" w:rsidR="007F779E">
        <w:rPr>
          <w:u w:val="single"/>
        </w:rPr>
        <w:t>c</w:t>
      </w:r>
      <w:r w:rsidRPr="00404C1C">
        <w:rPr>
          <w:b/>
          <w:bCs/>
          <w:u w:val="single"/>
        </w:rPr>
        <w:t xml:space="preserve">omma </w:t>
      </w:r>
      <w:r w:rsidRPr="00404C1C" w:rsidR="001D41D0">
        <w:rPr>
          <w:b/>
          <w:bCs/>
          <w:u w:val="single"/>
        </w:rPr>
        <w:t>7</w:t>
      </w:r>
      <w:r w:rsidRPr="00404C1C" w:rsidR="007F779E">
        <w:rPr>
          <w:b/>
          <w:bCs/>
        </w:rPr>
        <w:t xml:space="preserve"> </w:t>
      </w:r>
      <w:r w:rsidRPr="00404C1C">
        <w:t xml:space="preserve">mediante corrispondente riduzione del Fondo di cui all'articolo 239 del decreto-legge n. 34 </w:t>
      </w:r>
      <w:r w:rsidR="005A4E52">
        <w:t>del</w:t>
      </w:r>
      <w:r w:rsidRPr="00404C1C">
        <w:t xml:space="preserve"> 2020.</w:t>
      </w:r>
    </w:p>
    <w:p w:rsidR="00D66F76" w:rsidRPr="004F2BB3" w:rsidP="00D66F76" w14:paraId="45539626" w14:textId="77777777">
      <w:pPr>
        <w:spacing w:after="120"/>
        <w:jc w:val="both"/>
      </w:pPr>
      <w:r w:rsidRPr="00404C1C">
        <w:t>Si riportano di seguito i dettagli dei costi per singole unità.</w:t>
      </w:r>
      <w:r w:rsidRPr="004F2BB3">
        <w:t xml:space="preserve"> </w:t>
      </w:r>
    </w:p>
    <w:p w:rsidR="00D66F76" w:rsidRPr="004F2BB3" w:rsidP="00D66F76" w14:paraId="32B41569" w14:textId="77777777">
      <w:pPr>
        <w:spacing w:after="120"/>
        <w:jc w:val="both"/>
        <w:rPr>
          <w:b/>
          <w:bCs/>
        </w:rPr>
      </w:pPr>
    </w:p>
    <w:p w:rsidR="00D66F76" w:rsidRPr="004F2BB3" w:rsidP="00D66F76" w14:paraId="41A61C4F" w14:textId="77777777">
      <w:pPr>
        <w:spacing w:after="120"/>
        <w:jc w:val="both"/>
        <w:rPr>
          <w:b/>
          <w:bCs/>
        </w:rPr>
      </w:pPr>
      <w:r w:rsidRPr="004F2BB3">
        <w:rPr>
          <w:b/>
          <w:bCs/>
          <w:noProof/>
        </w:rPr>
        <w:drawing>
          <wp:inline distT="0" distB="0" distL="0" distR="0">
            <wp:extent cx="7706788" cy="1215097"/>
            <wp:effectExtent l="0" t="0" r="0" b="0"/>
            <wp:docPr id="187900170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01701" name="Picture 3"/>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7803983" cy="1230421"/>
                    </a:xfrm>
                    <a:prstGeom prst="rect">
                      <a:avLst/>
                    </a:prstGeom>
                    <a:noFill/>
                    <a:ln>
                      <a:noFill/>
                    </a:ln>
                  </pic:spPr>
                </pic:pic>
              </a:graphicData>
            </a:graphic>
          </wp:inline>
        </w:drawing>
      </w:r>
    </w:p>
    <w:p w:rsidR="00D66F76" w:rsidRPr="004F2BB3" w:rsidP="00D66F76" w14:paraId="1C98E143" w14:textId="77777777">
      <w:pPr>
        <w:spacing w:after="120"/>
        <w:jc w:val="both"/>
        <w:rPr>
          <w:b/>
          <w:bCs/>
        </w:rPr>
      </w:pPr>
      <w:r w:rsidRPr="004F2BB3">
        <w:rPr>
          <w:b/>
          <w:bCs/>
          <w:noProof/>
        </w:rPr>
        <w:drawing>
          <wp:inline distT="0" distB="0" distL="0" distR="0">
            <wp:extent cx="7838469" cy="1197610"/>
            <wp:effectExtent l="0" t="0" r="0" b="0"/>
            <wp:docPr id="201869292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692922" name="Picture 4"/>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7850016" cy="1199374"/>
                    </a:xfrm>
                    <a:prstGeom prst="rect">
                      <a:avLst/>
                    </a:prstGeom>
                    <a:noFill/>
                    <a:ln>
                      <a:noFill/>
                    </a:ln>
                  </pic:spPr>
                </pic:pic>
              </a:graphicData>
            </a:graphic>
          </wp:inline>
        </w:drawing>
      </w:r>
    </w:p>
    <w:p w:rsidR="00D66F76" w:rsidRPr="00987C41" w:rsidP="00987C41" w14:paraId="64ADC6A0" w14:textId="494DB64A">
      <w:pPr>
        <w:spacing w:after="120"/>
        <w:jc w:val="both"/>
        <w:rPr>
          <w:b/>
          <w:bCs/>
        </w:rPr>
      </w:pPr>
      <w:r>
        <w:rPr>
          <w:noProof/>
        </w:rPr>
        <w:drawing>
          <wp:inline distT="0" distB="0" distL="0" distR="0">
            <wp:extent cx="7494905" cy="1495811"/>
            <wp:effectExtent l="0" t="0" r="0" b="0"/>
            <wp:docPr id="169570912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709121" name="Picture 5"/>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7549679" cy="1506743"/>
                    </a:xfrm>
                    <a:prstGeom prst="rect">
                      <a:avLst/>
                    </a:prstGeom>
                    <a:noFill/>
                    <a:ln>
                      <a:noFill/>
                    </a:ln>
                  </pic:spPr>
                </pic:pic>
              </a:graphicData>
            </a:graphic>
          </wp:inline>
        </w:drawing>
      </w:r>
    </w:p>
    <w:p w:rsidR="00020C9C" w:rsidRPr="00E71AA8" w:rsidP="00104C61" w14:paraId="74F4FF75" w14:textId="77777777">
      <w:pPr>
        <w:spacing w:after="120"/>
        <w:jc w:val="both"/>
        <w:rPr>
          <w:rFonts w:eastAsia="Calibri"/>
          <w:color w:val="FF0000"/>
          <w:lang w:eastAsia="en-US"/>
        </w:rPr>
      </w:pPr>
      <w:r w:rsidRPr="00E71AA8">
        <w:rPr>
          <w:rFonts w:eastAsia="Calibri"/>
          <w:color w:val="FF0000"/>
          <w:lang w:eastAsia="en-US"/>
        </w:rPr>
        <w:t xml:space="preserve">Il </w:t>
      </w:r>
      <w:r w:rsidRPr="00E71AA8">
        <w:rPr>
          <w:rFonts w:eastAsia="Calibri"/>
          <w:b/>
          <w:bCs/>
          <w:color w:val="FF0000"/>
          <w:u w:val="single"/>
          <w:lang w:eastAsia="en-US"/>
        </w:rPr>
        <w:t xml:space="preserve">comma </w:t>
      </w:r>
      <w:r w:rsidRPr="00E71AA8" w:rsidR="001D41D0">
        <w:rPr>
          <w:rFonts w:eastAsia="Calibri"/>
          <w:b/>
          <w:bCs/>
          <w:color w:val="FF0000"/>
          <w:u w:val="single"/>
          <w:lang w:eastAsia="en-US"/>
        </w:rPr>
        <w:t>8</w:t>
      </w:r>
      <w:r w:rsidRPr="00E71AA8" w:rsidR="00104C61">
        <w:rPr>
          <w:rFonts w:asciiTheme="minorHAnsi" w:eastAsiaTheme="minorEastAsia" w:hAnsiTheme="minorHAnsi" w:cstheme="minorBidi"/>
          <w:color w:val="FF0000"/>
          <w:kern w:val="2"/>
          <w:sz w:val="22"/>
          <w:szCs w:val="22"/>
          <w:lang w:eastAsia="en-US"/>
          <w14:ligatures w14:val="standardContextual"/>
        </w:rPr>
        <w:t xml:space="preserve"> </w:t>
      </w:r>
      <w:r w:rsidRPr="00E71AA8" w:rsidR="00737434">
        <w:rPr>
          <w:rFonts w:eastAsia="Calibri"/>
          <w:color w:val="FF0000"/>
          <w:lang w:eastAsia="en-US"/>
        </w:rPr>
        <w:t xml:space="preserve">autorizza </w:t>
      </w:r>
      <w:r w:rsidRPr="00E71AA8" w:rsidR="00737434">
        <w:rPr>
          <w:rFonts w:eastAsia="Calibri"/>
          <w:color w:val="FF0000"/>
          <w:lang w:eastAsia="en-US"/>
        </w:rPr>
        <w:t>Eutalia</w:t>
      </w:r>
      <w:r w:rsidRPr="00E71AA8" w:rsidR="00737434">
        <w:rPr>
          <w:rFonts w:eastAsia="Calibri"/>
          <w:color w:val="FF0000"/>
          <w:lang w:eastAsia="en-US"/>
        </w:rPr>
        <w:t xml:space="preserve"> S.p.A. a stipulare accordi quadro o convenzioni con una vasta platea di amministrazioni per lo svolgimento di attività di supporto tecnico-operativo, ivi inclusa l’assistenza tecnica.</w:t>
      </w:r>
      <w:r w:rsidRPr="00E71AA8" w:rsidR="00ED50EA">
        <w:rPr>
          <w:rFonts w:eastAsia="Calibri"/>
          <w:color w:val="FF0000"/>
          <w:lang w:eastAsia="en-US"/>
        </w:rPr>
        <w:t xml:space="preserve"> </w:t>
      </w:r>
    </w:p>
    <w:p w:rsidR="00104C61" w:rsidRPr="00E71AA8" w:rsidP="00104C61" w14:paraId="27DBDDA8" w14:textId="45A563DD">
      <w:pPr>
        <w:spacing w:after="120"/>
        <w:jc w:val="both"/>
        <w:rPr>
          <w:rFonts w:eastAsia="Calibri"/>
          <w:b/>
          <w:bCs/>
          <w:color w:val="FF0000"/>
          <w:u w:val="single"/>
          <w:lang w:eastAsia="en-US"/>
        </w:rPr>
      </w:pPr>
      <w:r w:rsidRPr="00E71AA8">
        <w:rPr>
          <w:rFonts w:eastAsia="Calibri"/>
          <w:b/>
          <w:color w:val="FF0000"/>
          <w:lang w:eastAsia="en-US"/>
        </w:rPr>
        <w:t xml:space="preserve">La disposizione </w:t>
      </w:r>
      <w:r w:rsidRPr="00E71AA8">
        <w:rPr>
          <w:rFonts w:eastAsia="Calibri"/>
          <w:b/>
          <w:color w:val="FF0000"/>
          <w:lang w:eastAsia="en-US"/>
        </w:rPr>
        <w:t>non determina nuovi o maggiori oneri per la finanza pubblica, poiché le attività previste saranno realizzate nel rispetto dei vincoli di spesa esistenti, facendo ricorso alle risorse già disponibili nei bilanci delle amministrazioni interessate, incluse – ove pertinente – le quote dei quadri economici degli interventi cui le attività di supporto sono funzionalmente connesse.</w:t>
      </w:r>
    </w:p>
    <w:p w:rsidR="00FC68A6" w:rsidRPr="001C543A" w:rsidP="00987C41" w14:paraId="4DA1EEAF" w14:textId="38D33DE3">
      <w:pPr>
        <w:spacing w:after="120"/>
        <w:jc w:val="both"/>
        <w:rPr>
          <w:rFonts w:eastAsia="Calibri"/>
          <w:b/>
          <w:u w:val="single"/>
          <w:lang w:eastAsia="en-US"/>
        </w:rPr>
      </w:pPr>
    </w:p>
    <w:p w:rsidR="004461A7" w:rsidRPr="00987C41" w:rsidP="00987C41" w14:paraId="222838DF" w14:textId="47AEB3F9">
      <w:pPr>
        <w:pStyle w:val="Heading3"/>
        <w:spacing w:before="0" w:after="120"/>
        <w:ind w:left="-142" w:firstLine="142"/>
        <w:rPr>
          <w:rFonts w:cs="Times New Roman"/>
        </w:rPr>
      </w:pPr>
      <w:bookmarkStart w:id="10" w:name="_Toc1330675198"/>
      <w:bookmarkStart w:id="11" w:name="_Toc220077548"/>
      <w:r w:rsidRPr="00987C41">
        <w:rPr>
          <w:rFonts w:cs="Times New Roman"/>
        </w:rPr>
        <w:t>ART. 4</w:t>
      </w:r>
      <w:r w:rsidRPr="00987C41" w:rsidR="0024611E">
        <w:rPr>
          <w:rFonts w:cs="Times New Roman"/>
        </w:rPr>
        <w:t xml:space="preserve">                                                                                                                                         </w:t>
      </w:r>
      <w:r w:rsidRPr="00987C41" w:rsidR="0024611E">
        <w:rPr>
          <w:rFonts w:cs="Times New Roman"/>
        </w:rPr>
        <w:t xml:space="preserve">   </w:t>
      </w:r>
      <w:r w:rsidRPr="00987C41">
        <w:rPr>
          <w:rFonts w:cs="Times New Roman"/>
        </w:rPr>
        <w:t>(</w:t>
      </w:r>
      <w:r w:rsidRPr="001E762B" w:rsidR="001E762B">
        <w:rPr>
          <w:rFonts w:cs="Times New Roman"/>
        </w:rPr>
        <w:t>Misure di semplificazione per l’attuazione degli interventi previsti dal PNRR e per la realizzazione di quelli non più finanziati con risorse del medesimo</w:t>
      </w:r>
      <w:r w:rsidRPr="00987C41">
        <w:rPr>
          <w:rFonts w:cs="Times New Roman"/>
        </w:rPr>
        <w:t>)</w:t>
      </w:r>
      <w:bookmarkEnd w:id="10"/>
      <w:bookmarkEnd w:id="11"/>
    </w:p>
    <w:p w:rsidR="00DE6783" w:rsidRPr="00987C41" w:rsidP="00987C41" w14:paraId="63B5AE44" w14:textId="6E5EEA04">
      <w:pPr>
        <w:spacing w:after="120"/>
        <w:jc w:val="both"/>
        <w:rPr>
          <w:rFonts w:eastAsiaTheme="minorHAnsi"/>
          <w:kern w:val="2"/>
          <w:lang w:eastAsia="en-US"/>
          <w14:ligatures w14:val="standardContextual"/>
        </w:rPr>
      </w:pPr>
      <w:bookmarkStart w:id="12" w:name="_Toc144141258"/>
      <w:bookmarkStart w:id="13" w:name="_Toc144141390"/>
      <w:bookmarkStart w:id="14" w:name="_Toc140821427"/>
      <w:r w:rsidRPr="00987C41">
        <w:rPr>
          <w:rFonts w:eastAsiaTheme="minorHAnsi"/>
          <w:kern w:val="2"/>
          <w:lang w:eastAsia="en-US"/>
          <w14:ligatures w14:val="standardContextual"/>
        </w:rPr>
        <w:t xml:space="preserve">L’articolo contiene disposizioni finalizzate ad agevolare il tempestivo conseguimento degli obiettivi del Piano Nazionale di Ripresa e Resilienza, come modificato a seguito della decisione del Consiglio </w:t>
      </w:r>
      <w:r w:rsidRPr="00987C41" w:rsidR="009737AD">
        <w:rPr>
          <w:rFonts w:eastAsiaTheme="minorHAnsi"/>
          <w:kern w:val="2"/>
          <w:lang w:eastAsia="en-US"/>
          <w14:ligatures w14:val="standardContextual"/>
        </w:rPr>
        <w:t>del 27 novembre 2025</w:t>
      </w:r>
      <w:r w:rsidRPr="00987C41">
        <w:rPr>
          <w:rFonts w:eastAsiaTheme="minorHAnsi"/>
          <w:kern w:val="2"/>
          <w:lang w:eastAsia="en-US"/>
          <w14:ligatures w14:val="standardContextual"/>
        </w:rPr>
        <w:t xml:space="preserve">, nonché ad assicurare la loro rendicontazione e la formalizzazione delle richieste di pagamento ai sensi dell’articolo 24 del regolamento (UE) 2021/241 del Parlamento europeo e del Consiglio, del 12 febbraio 2021, secondo la tempistica indicata nella comunicazione della Commissione europea COM(2025) 310 </w:t>
      </w:r>
      <w:r w:rsidRPr="00987C41">
        <w:rPr>
          <w:rFonts w:eastAsiaTheme="minorHAnsi"/>
          <w:kern w:val="2"/>
          <w:lang w:eastAsia="en-US"/>
          <w14:ligatures w14:val="standardContextual"/>
        </w:rPr>
        <w:t>final</w:t>
      </w:r>
      <w:r w:rsidRPr="00987C41">
        <w:rPr>
          <w:rFonts w:eastAsiaTheme="minorHAnsi"/>
          <w:kern w:val="2"/>
          <w:lang w:eastAsia="en-US"/>
          <w14:ligatures w14:val="standardContextual"/>
        </w:rPr>
        <w:t xml:space="preserve"> del 4 giugno 2025.</w:t>
      </w:r>
    </w:p>
    <w:p w:rsidR="00DE6783" w:rsidRPr="00987C41" w:rsidP="00987C41" w14:paraId="4BEB5080" w14:textId="77777777">
      <w:pPr>
        <w:spacing w:after="120"/>
        <w:jc w:val="both"/>
        <w:rPr>
          <w:rFonts w:eastAsiaTheme="minorHAnsi"/>
          <w:kern w:val="2"/>
          <w:lang w:eastAsia="en-US"/>
          <w14:ligatures w14:val="standardContextual"/>
        </w:rPr>
      </w:pPr>
      <w:r w:rsidRPr="00987C41">
        <w:rPr>
          <w:rFonts w:eastAsiaTheme="minorHAnsi"/>
          <w:kern w:val="2"/>
          <w:lang w:eastAsia="en-US"/>
          <w14:ligatures w14:val="standardContextual"/>
        </w:rPr>
        <w:t>Ciò, attraverso:</w:t>
      </w:r>
    </w:p>
    <w:p w:rsidR="00DE6783" w:rsidRPr="00987C41" w:rsidP="00A42770" w14:paraId="3F7BF3B9" w14:textId="35E83269">
      <w:pPr>
        <w:numPr>
          <w:ilvl w:val="0"/>
          <w:numId w:val="6"/>
        </w:numPr>
        <w:spacing w:after="120"/>
        <w:ind w:left="357" w:hanging="215"/>
        <w:jc w:val="both"/>
        <w:rPr>
          <w:rFonts w:eastAsiaTheme="minorEastAsia"/>
          <w:b/>
          <w:kern w:val="2"/>
          <w:lang w:eastAsia="en-US"/>
          <w14:ligatures w14:val="standardContextual"/>
        </w:rPr>
      </w:pPr>
      <w:r w:rsidRPr="4F2455FD">
        <w:rPr>
          <w:rFonts w:eastAsiaTheme="minorEastAsia"/>
          <w:kern w:val="2"/>
          <w:lang w:eastAsia="en-US"/>
          <w14:ligatures w14:val="standardContextual"/>
        </w:rPr>
        <w:t>una semplificazione nei procedimenti di aggiornamento dei provvedimenti già adottati, relativ</w:t>
      </w:r>
      <w:r w:rsidRPr="4F2455FD" w:rsidR="00403B0C">
        <w:rPr>
          <w:rFonts w:eastAsiaTheme="minorEastAsia"/>
          <w:kern w:val="2"/>
          <w:lang w:eastAsia="en-US"/>
          <w14:ligatures w14:val="standardContextual"/>
        </w:rPr>
        <w:t>i</w:t>
      </w:r>
      <w:r w:rsidRPr="4F2455FD">
        <w:rPr>
          <w:rFonts w:eastAsiaTheme="minorEastAsia"/>
          <w:kern w:val="2"/>
          <w:lang w:eastAsia="en-US"/>
          <w14:ligatures w14:val="standardContextual"/>
        </w:rPr>
        <w:t xml:space="preserve"> a misure del PNRR che, a seguito della revisione di cui alla decisione del</w:t>
      </w:r>
      <w:r w:rsidRPr="4F2455FD">
        <w:rPr>
          <w:rFonts w:eastAsiaTheme="minorEastAsia"/>
        </w:rPr>
        <w:t xml:space="preserve"> </w:t>
      </w:r>
      <w:r w:rsidRPr="4F2455FD">
        <w:rPr>
          <w:rFonts w:eastAsiaTheme="minorEastAsia"/>
          <w:kern w:val="2"/>
          <w:lang w:eastAsia="en-US"/>
          <w14:ligatures w14:val="standardContextual"/>
        </w:rPr>
        <w:t xml:space="preserve">Consiglio </w:t>
      </w:r>
      <w:r w:rsidRPr="4F2455FD" w:rsidR="009737AD">
        <w:rPr>
          <w:rFonts w:eastAsiaTheme="minorEastAsia"/>
          <w:kern w:val="2"/>
          <w:lang w:eastAsia="en-US"/>
          <w14:ligatures w14:val="standardContextual"/>
        </w:rPr>
        <w:t>del 27 novembre 2025</w:t>
      </w:r>
      <w:r w:rsidRPr="4F2455FD">
        <w:rPr>
          <w:rFonts w:eastAsiaTheme="minorEastAsia"/>
          <w:kern w:val="2"/>
          <w:lang w:eastAsia="en-US"/>
          <w14:ligatures w14:val="standardContextual"/>
        </w:rPr>
        <w:t>, risultano modificat</w:t>
      </w:r>
      <w:r w:rsidRPr="4F2455FD" w:rsidR="005C0030">
        <w:rPr>
          <w:rFonts w:eastAsiaTheme="minorEastAsia"/>
          <w:kern w:val="2"/>
          <w:lang w:eastAsia="en-US"/>
          <w14:ligatures w14:val="standardContextual"/>
        </w:rPr>
        <w:t>e</w:t>
      </w:r>
      <w:r w:rsidRPr="4F2455FD">
        <w:rPr>
          <w:rFonts w:eastAsiaTheme="minorEastAsia"/>
          <w:kern w:val="2"/>
          <w:lang w:eastAsia="en-US"/>
          <w14:ligatures w14:val="standardContextual"/>
        </w:rPr>
        <w:t xml:space="preserve"> negli importi stanziati, nei cronoprogrammi o nella tipologia di interventi da realizza</w:t>
      </w:r>
      <w:r w:rsidRPr="4F2455FD" w:rsidR="005C0030">
        <w:rPr>
          <w:rFonts w:eastAsiaTheme="minorEastAsia"/>
          <w:kern w:val="2"/>
          <w:lang w:eastAsia="en-US"/>
          <w14:ligatures w14:val="standardContextual"/>
        </w:rPr>
        <w:t>re</w:t>
      </w:r>
      <w:r w:rsidRPr="4F2455FD">
        <w:rPr>
          <w:rFonts w:eastAsiaTheme="minorEastAsia"/>
          <w:kern w:val="2"/>
          <w:lang w:eastAsia="en-US"/>
          <w14:ligatures w14:val="standardContextual"/>
        </w:rPr>
        <w:t xml:space="preserve"> (</w:t>
      </w:r>
      <w:r w:rsidRPr="4F2455FD">
        <w:rPr>
          <w:rFonts w:eastAsiaTheme="minorEastAsia"/>
          <w:b/>
          <w:kern w:val="2"/>
          <w:u w:val="single"/>
          <w:lang w:eastAsia="en-US"/>
          <w14:ligatures w14:val="standardContextual"/>
        </w:rPr>
        <w:t xml:space="preserve">comma </w:t>
      </w:r>
      <w:r w:rsidRPr="4F2455FD" w:rsidR="00072CD3">
        <w:rPr>
          <w:rFonts w:eastAsiaTheme="minorEastAsia"/>
          <w:b/>
          <w:kern w:val="2"/>
          <w:u w:val="single"/>
          <w:lang w:eastAsia="en-US"/>
          <w14:ligatures w14:val="standardContextual"/>
        </w:rPr>
        <w:t>1</w:t>
      </w:r>
      <w:r w:rsidRPr="4F2455FD">
        <w:rPr>
          <w:rFonts w:eastAsiaTheme="minorEastAsia"/>
          <w:kern w:val="2"/>
          <w:u w:val="single"/>
          <w:lang w:eastAsia="en-US"/>
          <w14:ligatures w14:val="standardContextual"/>
        </w:rPr>
        <w:t>)</w:t>
      </w:r>
      <w:r w:rsidRPr="4F2455FD">
        <w:rPr>
          <w:rFonts w:eastAsiaTheme="minorEastAsia"/>
          <w:kern w:val="2"/>
          <w:lang w:eastAsia="en-US"/>
          <w14:ligatures w14:val="standardContextual"/>
        </w:rPr>
        <w:t xml:space="preserve">; </w:t>
      </w:r>
    </w:p>
    <w:p w:rsidR="00887794" w:rsidRPr="00987C41" w:rsidP="00A42770" w14:paraId="6C63EF92" w14:textId="6D8A7397">
      <w:pPr>
        <w:numPr>
          <w:ilvl w:val="0"/>
          <w:numId w:val="6"/>
        </w:numPr>
        <w:spacing w:after="120"/>
        <w:ind w:left="357" w:hanging="215"/>
        <w:jc w:val="both"/>
        <w:rPr>
          <w:rFonts w:eastAsiaTheme="minorHAnsi"/>
          <w:kern w:val="2"/>
          <w:lang w:eastAsia="en-US"/>
          <w14:ligatures w14:val="standardContextual"/>
        </w:rPr>
      </w:pPr>
      <w:r w:rsidRPr="00987C41">
        <w:rPr>
          <w:rFonts w:eastAsiaTheme="minorHAnsi"/>
          <w:kern w:val="2"/>
          <w:lang w:eastAsia="en-US"/>
          <w14:ligatures w14:val="standardContextual"/>
        </w:rPr>
        <w:t xml:space="preserve">la disciplina dei termini di definizione di procedimenti amministrativi urgenti, relativi a specifici interventi di protezione civile rilevanti nell’ambito del PNRR </w:t>
      </w:r>
      <w:r w:rsidRPr="00987C41">
        <w:rPr>
          <w:rFonts w:eastAsiaTheme="minorHAnsi"/>
          <w:b/>
          <w:bCs/>
          <w:kern w:val="2"/>
          <w:lang w:eastAsia="en-US"/>
          <w14:ligatures w14:val="standardContextual"/>
        </w:rPr>
        <w:t>(</w:t>
      </w:r>
      <w:r w:rsidRPr="00987C41">
        <w:rPr>
          <w:rFonts w:eastAsiaTheme="minorHAnsi"/>
          <w:b/>
          <w:bCs/>
          <w:kern w:val="2"/>
          <w:u w:val="single"/>
          <w:lang w:eastAsia="en-US"/>
          <w14:ligatures w14:val="standardContextual"/>
        </w:rPr>
        <w:t xml:space="preserve">comma </w:t>
      </w:r>
      <w:r w:rsidR="007F3B23">
        <w:rPr>
          <w:rFonts w:eastAsiaTheme="minorHAnsi"/>
          <w:b/>
          <w:bCs/>
          <w:kern w:val="2"/>
          <w:u w:val="single"/>
          <w:lang w:eastAsia="en-US"/>
          <w14:ligatures w14:val="standardContextual"/>
        </w:rPr>
        <w:t>2</w:t>
      </w:r>
      <w:r w:rsidRPr="00987C41">
        <w:rPr>
          <w:rFonts w:eastAsiaTheme="minorHAnsi"/>
          <w:b/>
          <w:bCs/>
          <w:kern w:val="2"/>
          <w:lang w:eastAsia="en-US"/>
          <w14:ligatures w14:val="standardContextual"/>
        </w:rPr>
        <w:t>)</w:t>
      </w:r>
      <w:r w:rsidR="00ED555E">
        <w:rPr>
          <w:rFonts w:eastAsiaTheme="minorHAnsi"/>
          <w:kern w:val="2"/>
          <w:lang w:eastAsia="en-US"/>
          <w14:ligatures w14:val="standardContextual"/>
        </w:rPr>
        <w:t>;</w:t>
      </w:r>
    </w:p>
    <w:p w:rsidR="00DE6783" w:rsidP="00A42770" w14:paraId="501C74C2" w14:textId="28DE0F43">
      <w:pPr>
        <w:numPr>
          <w:ilvl w:val="0"/>
          <w:numId w:val="6"/>
        </w:numPr>
        <w:spacing w:after="120"/>
        <w:ind w:left="357" w:hanging="215"/>
        <w:jc w:val="both"/>
        <w:rPr>
          <w:rFonts w:eastAsiaTheme="minorHAnsi"/>
          <w:kern w:val="2"/>
          <w:lang w:eastAsia="en-US"/>
          <w14:ligatures w14:val="standardContextual"/>
        </w:rPr>
      </w:pPr>
      <w:r w:rsidRPr="00987C41">
        <w:rPr>
          <w:rFonts w:eastAsiaTheme="minorHAnsi"/>
          <w:kern w:val="2"/>
          <w:lang w:eastAsia="en-US"/>
          <w14:ligatures w14:val="standardContextual"/>
        </w:rPr>
        <w:t>misure dirette a meglio definire gli effetti derivanti dal procedimento di superamento del dissenso di cui all’articolo 13, comma 1, del decreto-legge n. 77</w:t>
      </w:r>
      <w:r w:rsidRPr="00987C41" w:rsidR="003E4386">
        <w:rPr>
          <w:rFonts w:eastAsiaTheme="minorHAnsi"/>
          <w:kern w:val="2"/>
          <w:lang w:eastAsia="en-US"/>
          <w14:ligatures w14:val="standardContextual"/>
        </w:rPr>
        <w:t xml:space="preserve"> del 2021</w:t>
      </w:r>
      <w:r w:rsidRPr="00987C41">
        <w:rPr>
          <w:rFonts w:eastAsiaTheme="minorHAnsi"/>
          <w:kern w:val="2"/>
          <w:lang w:eastAsia="en-US"/>
          <w14:ligatures w14:val="standardContextual"/>
        </w:rPr>
        <w:t>, chiarendo che le determinazioni adottate in sede di Consiglio dei ministri sono idonee a comporre, in via definitiva, il contrasto precedentemente insorto tra Amministrazioni dello Stato, tenendo luogo di tutti i pareri, nulla osta, autorizzazioni o provvedimenti necessari all’efficace prosecuzione della fase attuativa degli interventi PNRR (</w:t>
      </w:r>
      <w:r w:rsidRPr="00987C41">
        <w:rPr>
          <w:rFonts w:eastAsiaTheme="minorHAnsi"/>
          <w:b/>
          <w:bCs/>
          <w:kern w:val="2"/>
          <w:u w:val="single"/>
          <w:lang w:eastAsia="en-US"/>
          <w14:ligatures w14:val="standardContextual"/>
        </w:rPr>
        <w:t xml:space="preserve">comma </w:t>
      </w:r>
      <w:r w:rsidR="003B6078">
        <w:rPr>
          <w:rFonts w:eastAsiaTheme="minorHAnsi"/>
          <w:b/>
          <w:bCs/>
          <w:kern w:val="2"/>
          <w:u w:val="single"/>
          <w:lang w:eastAsia="en-US"/>
          <w14:ligatures w14:val="standardContextual"/>
        </w:rPr>
        <w:t>3</w:t>
      </w:r>
      <w:r w:rsidRPr="00987C41">
        <w:rPr>
          <w:rFonts w:eastAsiaTheme="minorHAnsi"/>
          <w:kern w:val="2"/>
          <w:lang w:eastAsia="en-US"/>
          <w14:ligatures w14:val="standardContextual"/>
        </w:rPr>
        <w:t>)</w:t>
      </w:r>
      <w:r w:rsidR="00ED555E">
        <w:rPr>
          <w:rFonts w:eastAsiaTheme="minorHAnsi"/>
          <w:kern w:val="2"/>
          <w:lang w:eastAsia="en-US"/>
          <w14:ligatures w14:val="standardContextual"/>
        </w:rPr>
        <w:t>;</w:t>
      </w:r>
    </w:p>
    <w:p w:rsidR="000F79C2" w:rsidRPr="008D4535" w14:paraId="6BFD65BD" w14:textId="00E2A184">
      <w:pPr>
        <w:numPr>
          <w:ilvl w:val="0"/>
          <w:numId w:val="6"/>
        </w:numPr>
        <w:spacing w:after="120"/>
        <w:ind w:left="357" w:hanging="215"/>
        <w:jc w:val="both"/>
        <w:rPr>
          <w:rFonts w:eastAsiaTheme="minorEastAsia"/>
          <w:strike/>
          <w:color w:val="FF0000"/>
          <w:kern w:val="2"/>
          <w:lang w:eastAsia="en-US"/>
          <w14:ligatures w14:val="standardContextual"/>
        </w:rPr>
      </w:pPr>
      <w:r w:rsidRPr="6686AE14">
        <w:rPr>
          <w:rFonts w:eastAsiaTheme="minorEastAsia"/>
          <w:color w:val="FF0000"/>
          <w:kern w:val="2"/>
          <w:lang w:eastAsia="en-US"/>
          <w14:ligatures w14:val="standardContextual"/>
        </w:rPr>
        <w:t>la previsione di misure acceleratorie dirette al completamento dei progetti PNRR inclusi nella Missione 6, di pertinenza del Ministero della salute (</w:t>
      </w:r>
      <w:r w:rsidRPr="6686AE14">
        <w:rPr>
          <w:rFonts w:eastAsiaTheme="minorEastAsia"/>
          <w:b/>
          <w:color w:val="FF0000"/>
          <w:kern w:val="2"/>
          <w:u w:val="single"/>
          <w:lang w:eastAsia="en-US"/>
          <w14:ligatures w14:val="standardContextual"/>
        </w:rPr>
        <w:t>comma 4</w:t>
      </w:r>
      <w:r w:rsidRPr="6686AE14">
        <w:rPr>
          <w:rFonts w:eastAsiaTheme="minorEastAsia"/>
          <w:color w:val="FF0000"/>
          <w:kern w:val="2"/>
          <w:lang w:eastAsia="en-US"/>
          <w14:ligatures w14:val="standardContextual"/>
        </w:rPr>
        <w:t>);</w:t>
      </w:r>
      <w:r w:rsidRPr="6686AE14" w:rsidR="008D4535">
        <w:rPr>
          <w:rFonts w:eastAsiaTheme="minorEastAsia"/>
          <w:kern w:val="2"/>
          <w:lang w:eastAsia="en-US"/>
          <w14:ligatures w14:val="standardContextual"/>
        </w:rPr>
        <w:t xml:space="preserve"> </w:t>
      </w:r>
    </w:p>
    <w:p w:rsidR="00FA5606" w:rsidRPr="00FA5606" w:rsidP="00FA5606" w14:paraId="11C99B62" w14:textId="6E3A8844">
      <w:pPr>
        <w:numPr>
          <w:ilvl w:val="0"/>
          <w:numId w:val="6"/>
        </w:numPr>
        <w:spacing w:after="120"/>
        <w:ind w:left="357" w:hanging="215"/>
        <w:jc w:val="both"/>
        <w:rPr>
          <w:rFonts w:eastAsiaTheme="minorEastAsia"/>
          <w:color w:val="FF0000"/>
          <w:kern w:val="2"/>
          <w:lang w:eastAsia="en-US"/>
          <w14:ligatures w14:val="standardContextual"/>
        </w:rPr>
      </w:pPr>
      <w:r w:rsidRPr="6686AE14">
        <w:rPr>
          <w:rFonts w:eastAsiaTheme="minorEastAsia"/>
          <w:color w:val="FF0000"/>
          <w:kern w:val="2"/>
          <w:lang w:eastAsia="en-US"/>
          <w14:ligatures w14:val="standardContextual"/>
        </w:rPr>
        <w:t>disposizioni</w:t>
      </w:r>
      <w:r w:rsidRPr="6686AE14" w:rsidR="00C22CA2">
        <w:rPr>
          <w:rFonts w:eastAsiaTheme="minorEastAsia"/>
          <w:color w:val="FF0000"/>
          <w:kern w:val="2"/>
          <w:lang w:eastAsia="en-US"/>
          <w14:ligatures w14:val="standardContextual"/>
        </w:rPr>
        <w:t xml:space="preserve"> volte </w:t>
      </w:r>
      <w:r w:rsidRPr="6686AE14">
        <w:rPr>
          <w:rFonts w:eastAsiaTheme="minorEastAsia"/>
          <w:color w:val="FF0000"/>
          <w:kern w:val="2"/>
          <w:lang w:eastAsia="en-US"/>
          <w14:ligatures w14:val="standardContextual"/>
        </w:rPr>
        <w:t xml:space="preserve">a rendere coerente, con riguardo al Piano «Italia a 1 Giga» - Missione 1, Componente 2, Investimento 3 «Connessioni Internet veloci (banda ultra-larga e 5G)» del PNRR, la normativa nazionale alla </w:t>
      </w:r>
      <w:r w:rsidR="00D71089">
        <w:rPr>
          <w:rFonts w:eastAsiaTheme="minorEastAsia"/>
          <w:color w:val="FF0000"/>
          <w:kern w:val="2"/>
          <w:lang w:eastAsia="en-US"/>
          <w14:ligatures w14:val="standardContextual"/>
        </w:rPr>
        <w:t>d</w:t>
      </w:r>
      <w:r w:rsidRPr="6686AE14">
        <w:rPr>
          <w:rFonts w:eastAsiaTheme="minorEastAsia"/>
          <w:color w:val="FF0000"/>
          <w:kern w:val="2"/>
          <w:lang w:eastAsia="en-US"/>
          <w14:ligatures w14:val="standardContextual"/>
        </w:rPr>
        <w:t xml:space="preserve">ecisione </w:t>
      </w:r>
      <w:r w:rsidR="00D71089">
        <w:rPr>
          <w:rFonts w:eastAsiaTheme="minorEastAsia"/>
          <w:color w:val="FF0000"/>
          <w:kern w:val="2"/>
          <w:lang w:eastAsia="en-US"/>
          <w14:ligatures w14:val="standardContextual"/>
        </w:rPr>
        <w:t>del Consiglio UE</w:t>
      </w:r>
      <w:r w:rsidRPr="6686AE14">
        <w:rPr>
          <w:rFonts w:eastAsiaTheme="minorEastAsia"/>
          <w:color w:val="FF0000"/>
          <w:kern w:val="2"/>
          <w:lang w:eastAsia="en-US"/>
          <w14:ligatures w14:val="standardContextual"/>
        </w:rPr>
        <w:t xml:space="preserve"> del 27 novembre 2025 e ad ogni altra decisione successiva del Consiglio </w:t>
      </w:r>
      <w:r w:rsidRPr="6686AE14">
        <w:rPr>
          <w:rFonts w:eastAsiaTheme="minorEastAsia"/>
          <w:b/>
          <w:color w:val="FF0000"/>
          <w:kern w:val="2"/>
          <w:u w:val="single"/>
          <w:lang w:eastAsia="en-US"/>
          <w14:ligatures w14:val="standardContextual"/>
        </w:rPr>
        <w:t>(comma 5)</w:t>
      </w:r>
    </w:p>
    <w:p w:rsidR="002A6ABD" w:rsidP="00A42770" w14:paraId="1D174B45" w14:textId="0EEFE851">
      <w:pPr>
        <w:numPr>
          <w:ilvl w:val="0"/>
          <w:numId w:val="6"/>
        </w:numPr>
        <w:spacing w:after="120"/>
        <w:ind w:left="357" w:hanging="215"/>
        <w:jc w:val="both"/>
        <w:rPr>
          <w:rFonts w:eastAsiaTheme="minorHAnsi"/>
          <w:kern w:val="2"/>
          <w:lang w:eastAsia="en-US"/>
          <w14:ligatures w14:val="standardContextual"/>
        </w:rPr>
      </w:pPr>
      <w:bookmarkStart w:id="15" w:name="_Hlk214358276"/>
      <w:r w:rsidRPr="000F79C2">
        <w:rPr>
          <w:rFonts w:eastAsiaTheme="minorHAnsi"/>
          <w:kern w:val="2"/>
          <w:lang w:eastAsia="en-US"/>
          <w14:ligatures w14:val="standardContextual"/>
        </w:rPr>
        <w:t xml:space="preserve">la proroga dell’applicazione delle misure di semplificazione in materia di affidamento dei contratti pubblici e in materia di procedimenti amministrativi previste dall’articolo 12 del decreto-legge n. 19 del 2024 agli interventi non più finanziati, integralmente o parzialmente, dal PNRR in forza della decisione del Consiglio </w:t>
      </w:r>
      <w:r w:rsidRPr="000F79C2" w:rsidR="009737AD">
        <w:rPr>
          <w:rFonts w:eastAsiaTheme="minorHAnsi"/>
          <w:kern w:val="2"/>
          <w:lang w:eastAsia="en-US"/>
          <w14:ligatures w14:val="standardContextual"/>
        </w:rPr>
        <w:t>del 27 novembre 2025</w:t>
      </w:r>
      <w:r w:rsidRPr="000F79C2" w:rsidR="0049765C">
        <w:rPr>
          <w:rFonts w:eastAsiaTheme="minorHAnsi"/>
          <w:kern w:val="2"/>
          <w:lang w:eastAsia="en-US"/>
          <w14:ligatures w14:val="standardContextual"/>
        </w:rPr>
        <w:t xml:space="preserve"> </w:t>
      </w:r>
      <w:r w:rsidRPr="000F79C2" w:rsidR="0049765C">
        <w:rPr>
          <w:rFonts w:eastAsiaTheme="minorHAnsi"/>
          <w:b/>
          <w:bCs/>
          <w:kern w:val="2"/>
          <w:lang w:eastAsia="en-US"/>
          <w14:ligatures w14:val="standardContextual"/>
        </w:rPr>
        <w:t>(</w:t>
      </w:r>
      <w:r w:rsidRPr="000F79C2" w:rsidR="0049765C">
        <w:rPr>
          <w:rFonts w:eastAsiaTheme="minorHAnsi"/>
          <w:b/>
          <w:bCs/>
          <w:kern w:val="2"/>
          <w:u w:val="single"/>
          <w:lang w:eastAsia="en-US"/>
          <w14:ligatures w14:val="standardContextual"/>
        </w:rPr>
        <w:t xml:space="preserve">comma </w:t>
      </w:r>
      <w:r w:rsidR="008D4535">
        <w:rPr>
          <w:rFonts w:eastAsiaTheme="minorHAnsi"/>
          <w:b/>
          <w:bCs/>
          <w:kern w:val="2"/>
          <w:u w:val="single"/>
          <w:lang w:eastAsia="en-US"/>
          <w14:ligatures w14:val="standardContextual"/>
        </w:rPr>
        <w:t>6</w:t>
      </w:r>
      <w:r w:rsidRPr="000F79C2" w:rsidR="0049765C">
        <w:rPr>
          <w:rFonts w:eastAsiaTheme="minorHAnsi"/>
          <w:b/>
          <w:bCs/>
          <w:kern w:val="2"/>
          <w:lang w:eastAsia="en-US"/>
          <w14:ligatures w14:val="standardContextual"/>
        </w:rPr>
        <w:t>)</w:t>
      </w:r>
      <w:r w:rsidRPr="000F79C2" w:rsidR="00ED555E">
        <w:rPr>
          <w:rFonts w:eastAsiaTheme="minorHAnsi"/>
          <w:kern w:val="2"/>
          <w:lang w:eastAsia="en-US"/>
          <w14:ligatures w14:val="standardContextual"/>
        </w:rPr>
        <w:t xml:space="preserve">. </w:t>
      </w:r>
    </w:p>
    <w:bookmarkEnd w:id="15"/>
    <w:p w:rsidR="00DE6783" w:rsidRPr="00987C41" w:rsidP="00987C41" w14:paraId="6EB826B7" w14:textId="5A6FC7EB">
      <w:pPr>
        <w:spacing w:after="120"/>
        <w:jc w:val="both"/>
        <w:rPr>
          <w:rFonts w:eastAsiaTheme="minorHAnsi"/>
          <w:b/>
          <w:bCs/>
          <w:kern w:val="2"/>
          <w:lang w:eastAsia="en-US"/>
          <w14:ligatures w14:val="standardContextual"/>
        </w:rPr>
      </w:pPr>
      <w:r w:rsidRPr="00987C41">
        <w:rPr>
          <w:rFonts w:eastAsiaTheme="minorHAnsi"/>
          <w:b/>
          <w:bCs/>
          <w:kern w:val="2"/>
          <w:lang w:eastAsia="en-US"/>
          <w14:ligatures w14:val="standardContextual"/>
        </w:rPr>
        <w:t>Dal punto di vista finanziario, la disposizione non determina nuovi o maggiori oneri a carico della finanza pubblica, in quanto:</w:t>
      </w:r>
    </w:p>
    <w:p w:rsidR="00DE6783" w:rsidRPr="00987C41" w:rsidP="00A42770" w14:paraId="29B23E6E" w14:textId="46AA98EE">
      <w:pPr>
        <w:numPr>
          <w:ilvl w:val="0"/>
          <w:numId w:val="5"/>
        </w:numPr>
        <w:spacing w:after="120"/>
        <w:ind w:hanging="218"/>
        <w:jc w:val="both"/>
        <w:rPr>
          <w:rFonts w:eastAsiaTheme="minorHAnsi"/>
          <w:kern w:val="2"/>
          <w:lang w:eastAsia="en-US"/>
          <w14:ligatures w14:val="standardContextual"/>
        </w:rPr>
      </w:pPr>
      <w:r w:rsidRPr="00987C41">
        <w:rPr>
          <w:rFonts w:eastAsiaTheme="minorHAnsi"/>
          <w:b/>
          <w:bCs/>
          <w:kern w:val="2"/>
          <w:lang w:eastAsia="en-US"/>
          <w14:ligatures w14:val="standardContextual"/>
        </w:rPr>
        <w:t>i</w:t>
      </w:r>
      <w:r w:rsidR="00853309">
        <w:rPr>
          <w:rFonts w:eastAsiaTheme="minorHAnsi"/>
          <w:b/>
          <w:bCs/>
          <w:kern w:val="2"/>
          <w:lang w:eastAsia="en-US"/>
          <w14:ligatures w14:val="standardContextual"/>
        </w:rPr>
        <w:t xml:space="preserve">l </w:t>
      </w:r>
      <w:r w:rsidRPr="00987C41">
        <w:rPr>
          <w:rFonts w:eastAsiaTheme="minorHAnsi"/>
          <w:b/>
          <w:bCs/>
          <w:kern w:val="2"/>
          <w:lang w:eastAsia="en-US"/>
          <w14:ligatures w14:val="standardContextual"/>
        </w:rPr>
        <w:t>comm</w:t>
      </w:r>
      <w:r w:rsidR="00853309">
        <w:rPr>
          <w:rFonts w:eastAsiaTheme="minorHAnsi"/>
          <w:b/>
          <w:bCs/>
          <w:kern w:val="2"/>
          <w:lang w:eastAsia="en-US"/>
          <w14:ligatures w14:val="standardContextual"/>
        </w:rPr>
        <w:t>a</w:t>
      </w:r>
      <w:r w:rsidRPr="00987C41">
        <w:rPr>
          <w:rFonts w:eastAsiaTheme="minorHAnsi"/>
          <w:b/>
          <w:bCs/>
          <w:kern w:val="2"/>
          <w:lang w:eastAsia="en-US"/>
          <w14:ligatures w14:val="standardContextual"/>
        </w:rPr>
        <w:t xml:space="preserve"> 1 </w:t>
      </w:r>
      <w:r w:rsidRPr="00987C41">
        <w:rPr>
          <w:rFonts w:eastAsiaTheme="minorHAnsi"/>
          <w:kern w:val="2"/>
          <w:lang w:eastAsia="en-US"/>
          <w14:ligatures w14:val="standardContextual"/>
        </w:rPr>
        <w:t xml:space="preserve">si limita a prevedere semplificazioni in ordine alle modalità di aggiornamento dei provvedimenti relativi alle misure del PNNR al fine di tenere conto delle modifiche apportate con la decisione del Consiglio </w:t>
      </w:r>
      <w:r w:rsidRPr="00987C41" w:rsidR="00B75976">
        <w:rPr>
          <w:rFonts w:eastAsiaTheme="minorHAnsi"/>
          <w:kern w:val="2"/>
          <w:lang w:eastAsia="en-US"/>
          <w14:ligatures w14:val="standardContextual"/>
        </w:rPr>
        <w:t>del 27 novembre 2025</w:t>
      </w:r>
      <w:r w:rsidRPr="00987C41">
        <w:rPr>
          <w:rFonts w:eastAsiaTheme="minorHAnsi"/>
          <w:kern w:val="2"/>
          <w:lang w:eastAsia="en-US"/>
          <w14:ligatures w14:val="standardContextual"/>
        </w:rPr>
        <w:t>; conseguentemente si tratta di disposizion</w:t>
      </w:r>
      <w:r w:rsidR="00853309">
        <w:rPr>
          <w:rFonts w:eastAsiaTheme="minorHAnsi"/>
          <w:kern w:val="2"/>
          <w:lang w:eastAsia="en-US"/>
          <w14:ligatures w14:val="standardContextual"/>
        </w:rPr>
        <w:t>e</w:t>
      </w:r>
      <w:r w:rsidRPr="00987C41">
        <w:rPr>
          <w:rFonts w:eastAsiaTheme="minorHAnsi"/>
          <w:kern w:val="2"/>
          <w:lang w:eastAsia="en-US"/>
          <w14:ligatures w14:val="standardContextual"/>
        </w:rPr>
        <w:t xml:space="preserve"> di natura meramente ordinamentale;</w:t>
      </w:r>
      <w:r w:rsidRPr="00987C41" w:rsidR="003500D6">
        <w:rPr>
          <w:rFonts w:eastAsiaTheme="minorHAnsi"/>
          <w:kern w:val="2"/>
          <w:lang w:eastAsia="en-US"/>
          <w14:ligatures w14:val="standardContextual"/>
        </w:rPr>
        <w:t xml:space="preserve"> </w:t>
      </w:r>
    </w:p>
    <w:p w:rsidR="00A71F8C" w:rsidRPr="00987C41" w:rsidP="00A42770" w14:paraId="7EA47C43" w14:textId="081A1B56">
      <w:pPr>
        <w:numPr>
          <w:ilvl w:val="0"/>
          <w:numId w:val="5"/>
        </w:numPr>
        <w:spacing w:after="120"/>
        <w:jc w:val="both"/>
        <w:rPr>
          <w:rFonts w:eastAsiaTheme="minorHAnsi"/>
          <w:kern w:val="2"/>
          <w:lang w:eastAsia="en-US"/>
          <w14:ligatures w14:val="standardContextual"/>
        </w:rPr>
      </w:pPr>
      <w:r w:rsidRPr="00987C41">
        <w:rPr>
          <w:rFonts w:eastAsiaTheme="minorHAnsi"/>
          <w:kern w:val="2"/>
          <w:lang w:eastAsia="en-US"/>
          <w14:ligatures w14:val="standardContextual"/>
        </w:rPr>
        <w:t xml:space="preserve">il </w:t>
      </w:r>
      <w:r w:rsidRPr="00987C41">
        <w:rPr>
          <w:rFonts w:eastAsiaTheme="minorHAnsi"/>
          <w:b/>
          <w:bCs/>
          <w:kern w:val="2"/>
          <w:lang w:eastAsia="en-US"/>
          <w14:ligatures w14:val="standardContextual"/>
        </w:rPr>
        <w:t xml:space="preserve">comma </w:t>
      </w:r>
      <w:r w:rsidR="000F79C2">
        <w:rPr>
          <w:rFonts w:eastAsiaTheme="minorHAnsi"/>
          <w:b/>
          <w:bCs/>
          <w:kern w:val="2"/>
          <w:lang w:eastAsia="en-US"/>
          <w14:ligatures w14:val="standardContextual"/>
        </w:rPr>
        <w:t>2</w:t>
      </w:r>
      <w:r w:rsidRPr="00987C41" w:rsidR="000954A5">
        <w:rPr>
          <w:rFonts w:eastAsiaTheme="minorHAnsi"/>
          <w:kern w:val="2"/>
          <w:lang w:eastAsia="en-US"/>
          <w14:ligatures w14:val="standardContextual"/>
        </w:rPr>
        <w:t xml:space="preserve"> </w:t>
      </w:r>
      <w:r w:rsidRPr="00987C41" w:rsidR="008A18A4">
        <w:rPr>
          <w:rFonts w:eastAsiaTheme="minorHAnsi"/>
          <w:kern w:val="2"/>
          <w:lang w:eastAsia="en-US"/>
          <w14:ligatures w14:val="standardContextual"/>
        </w:rPr>
        <w:t xml:space="preserve">assume natura ordinamentale, limitandosi a regolare i termini di definizione di procedimenti amministrativi urgenti, relativi a specifici interventi di protezione civile rilevanti nell’ambito del PNRR; </w:t>
      </w:r>
    </w:p>
    <w:p w:rsidR="00EF435B" w:rsidP="00A42770" w14:paraId="7915359F" w14:textId="77777777">
      <w:pPr>
        <w:numPr>
          <w:ilvl w:val="0"/>
          <w:numId w:val="5"/>
        </w:numPr>
        <w:spacing w:after="120"/>
        <w:ind w:hanging="218"/>
        <w:jc w:val="both"/>
        <w:rPr>
          <w:rFonts w:eastAsiaTheme="minorHAnsi"/>
          <w:color w:val="FF0000"/>
          <w:kern w:val="2"/>
          <w:lang w:eastAsia="en-US"/>
          <w14:ligatures w14:val="standardContextual"/>
        </w:rPr>
      </w:pPr>
      <w:r w:rsidRPr="008D4535">
        <w:rPr>
          <w:rFonts w:eastAsiaTheme="minorHAnsi"/>
          <w:color w:val="FF0000"/>
          <w:kern w:val="2"/>
          <w:lang w:eastAsia="en-US"/>
          <w14:ligatures w14:val="standardContextual"/>
        </w:rPr>
        <w:t xml:space="preserve">il </w:t>
      </w:r>
      <w:r w:rsidRPr="008D4535">
        <w:rPr>
          <w:rFonts w:eastAsiaTheme="minorHAnsi"/>
          <w:b/>
          <w:bCs/>
          <w:color w:val="FF0000"/>
          <w:kern w:val="2"/>
          <w:lang w:eastAsia="en-US"/>
          <w14:ligatures w14:val="standardContextual"/>
        </w:rPr>
        <w:t xml:space="preserve">comma </w:t>
      </w:r>
      <w:r w:rsidRPr="008D4535" w:rsidR="00853309">
        <w:rPr>
          <w:rFonts w:eastAsiaTheme="minorHAnsi"/>
          <w:b/>
          <w:bCs/>
          <w:color w:val="FF0000"/>
          <w:kern w:val="2"/>
          <w:lang w:eastAsia="en-US"/>
          <w14:ligatures w14:val="standardContextual"/>
        </w:rPr>
        <w:t>4</w:t>
      </w:r>
      <w:r w:rsidRPr="008D4535" w:rsidR="008032AD">
        <w:rPr>
          <w:rFonts w:eastAsiaTheme="minorHAnsi"/>
          <w:color w:val="FF0000"/>
          <w:kern w:val="2"/>
          <w:lang w:eastAsia="en-US"/>
          <w14:ligatures w14:val="standardContextual"/>
        </w:rPr>
        <w:t>, nell’ambito dell’attuazione della Missione 6 del PNRR,</w:t>
      </w:r>
      <w:r w:rsidRPr="008D4535">
        <w:rPr>
          <w:rFonts w:eastAsiaTheme="minorHAnsi"/>
          <w:color w:val="FF0000"/>
          <w:kern w:val="2"/>
          <w:lang w:eastAsia="en-US"/>
          <w14:ligatures w14:val="standardContextual"/>
        </w:rPr>
        <w:t xml:space="preserve"> introduce una misura </w:t>
      </w:r>
      <w:r w:rsidRPr="008D4535" w:rsidR="00535D8B">
        <w:rPr>
          <w:rFonts w:eastAsiaTheme="minorHAnsi"/>
          <w:color w:val="FF0000"/>
          <w:kern w:val="2"/>
          <w:lang w:eastAsia="en-US"/>
          <w14:ligatures w14:val="standardContextual"/>
        </w:rPr>
        <w:t xml:space="preserve">acceleratoria, </w:t>
      </w:r>
      <w:r w:rsidRPr="008D4535" w:rsidR="008032AD">
        <w:rPr>
          <w:rFonts w:eastAsiaTheme="minorHAnsi"/>
          <w:color w:val="FF0000"/>
          <w:kern w:val="2"/>
          <w:lang w:eastAsia="en-US"/>
          <w14:ligatures w14:val="standardContextual"/>
        </w:rPr>
        <w:t>attraverso l’eliminazione della condizionalità del mancato ricorso alle risorse del cd. Fondo complementare</w:t>
      </w:r>
      <w:r w:rsidRPr="008D4535" w:rsidR="00DE0452">
        <w:rPr>
          <w:rFonts w:eastAsiaTheme="minorHAnsi"/>
          <w:color w:val="FF0000"/>
          <w:kern w:val="2"/>
          <w:lang w:eastAsia="en-US"/>
          <w14:ligatures w14:val="standardContextual"/>
        </w:rPr>
        <w:t xml:space="preserve"> ad oggi prevista dall’articolo 1, comma 13, del decreto-</w:t>
      </w:r>
      <w:r w:rsidRPr="008D4535" w:rsidR="007649E9">
        <w:rPr>
          <w:rFonts w:eastAsiaTheme="minorHAnsi"/>
          <w:color w:val="FF0000"/>
          <w:kern w:val="2"/>
          <w:lang w:eastAsia="en-US"/>
          <w14:ligatures w14:val="standardContextual"/>
        </w:rPr>
        <w:t>legge n. 19 del 2024</w:t>
      </w:r>
      <w:r w:rsidRPr="008D4535" w:rsidR="008032AD">
        <w:rPr>
          <w:rFonts w:eastAsiaTheme="minorHAnsi"/>
          <w:color w:val="FF0000"/>
          <w:kern w:val="2"/>
          <w:lang w:eastAsia="en-US"/>
          <w14:ligatures w14:val="standardContextual"/>
        </w:rPr>
        <w:t>, che consenta alle regioni, che avessero disponibilità, di accedere alle risorse di cui all’articolo 20 della legge n. 67 del 1988</w:t>
      </w:r>
      <w:r w:rsidRPr="008D4535">
        <w:rPr>
          <w:rFonts w:eastAsiaTheme="minorHAnsi"/>
          <w:color w:val="FF0000"/>
          <w:kern w:val="2"/>
          <w:lang w:eastAsia="en-US"/>
          <w14:ligatures w14:val="standardContextual"/>
        </w:rPr>
        <w:t>;</w:t>
      </w:r>
    </w:p>
    <w:p w:rsidR="00F13D83" w:rsidRPr="00312BDB" w14:paraId="1559DF09" w14:textId="4B03783B">
      <w:pPr>
        <w:pStyle w:val="ListParagraph"/>
        <w:numPr>
          <w:ilvl w:val="0"/>
          <w:numId w:val="5"/>
        </w:numPr>
        <w:spacing w:after="120"/>
        <w:ind w:hanging="218"/>
        <w:jc w:val="both"/>
        <w:rPr>
          <w:rFonts w:eastAsiaTheme="minorHAnsi"/>
          <w:color w:val="FF0000"/>
          <w:kern w:val="2"/>
          <w:lang w:eastAsia="en-US"/>
          <w14:ligatures w14:val="standardContextual"/>
        </w:rPr>
      </w:pPr>
      <w:r w:rsidRPr="00312BDB">
        <w:rPr>
          <w:rFonts w:eastAsiaTheme="minorHAnsi"/>
          <w:color w:val="FF0000"/>
          <w:kern w:val="2"/>
          <w:lang w:eastAsia="en-US"/>
          <w14:ligatures w14:val="standardContextual"/>
        </w:rPr>
        <w:t xml:space="preserve">il </w:t>
      </w:r>
      <w:r w:rsidRPr="00312BDB">
        <w:rPr>
          <w:rFonts w:eastAsiaTheme="minorHAnsi"/>
          <w:b/>
          <w:bCs/>
          <w:color w:val="FF0000"/>
          <w:kern w:val="2"/>
          <w:lang w:eastAsia="en-US"/>
          <w14:ligatures w14:val="standardContextual"/>
        </w:rPr>
        <w:t>comma 5</w:t>
      </w:r>
      <w:r w:rsidRPr="00312BDB">
        <w:rPr>
          <w:rFonts w:eastAsiaTheme="minorHAnsi"/>
          <w:color w:val="FF0000"/>
          <w:kern w:val="2"/>
          <w:lang w:eastAsia="en-US"/>
          <w14:ligatures w14:val="standardContextual"/>
        </w:rPr>
        <w:t xml:space="preserve"> si limita a chiarire </w:t>
      </w:r>
      <w:r w:rsidRPr="00312BDB" w:rsidR="00312BDB">
        <w:rPr>
          <w:rFonts w:eastAsiaTheme="minorHAnsi"/>
          <w:color w:val="FF0000"/>
          <w:kern w:val="2"/>
          <w:lang w:eastAsia="en-US"/>
          <w14:ligatures w14:val="standardContextual"/>
        </w:rPr>
        <w:t xml:space="preserve">le modalità di </w:t>
      </w:r>
      <w:r w:rsidRPr="006F27E1" w:rsidR="00312BDB">
        <w:rPr>
          <w:rFonts w:eastAsiaTheme="minorHAnsi"/>
          <w:color w:val="FF0000"/>
          <w:kern w:val="2"/>
          <w:lang w:eastAsia="en-US"/>
          <w14:ligatures w14:val="standardContextual"/>
        </w:rPr>
        <w:t xml:space="preserve">adeguamento degli atti aggiuntivi </w:t>
      </w:r>
      <w:r w:rsidRPr="00312BDB" w:rsidR="00312BDB">
        <w:rPr>
          <w:rFonts w:eastAsiaTheme="minorHAnsi"/>
          <w:color w:val="FF0000"/>
          <w:kern w:val="2"/>
          <w:lang w:eastAsia="en-US"/>
          <w14:ligatures w14:val="standardContextual"/>
        </w:rPr>
        <w:t>alle convenzioni in essere con i beneficiari della misura</w:t>
      </w:r>
      <w:r w:rsidRPr="00312BDB">
        <w:rPr>
          <w:rFonts w:eastAsiaTheme="minorHAnsi"/>
          <w:color w:val="FF0000"/>
          <w:kern w:val="2"/>
          <w:lang w:eastAsia="en-US"/>
          <w14:ligatures w14:val="standardContextual"/>
        </w:rPr>
        <w:t xml:space="preserve"> </w:t>
      </w:r>
      <w:r w:rsidRPr="00573950" w:rsidR="00573950">
        <w:rPr>
          <w:rFonts w:eastAsiaTheme="minorHAnsi"/>
          <w:color w:val="FF0000"/>
          <w:kern w:val="2"/>
          <w:lang w:eastAsia="en-US"/>
          <w14:ligatures w14:val="standardContextual"/>
        </w:rPr>
        <w:t>del PNRR</w:t>
      </w:r>
      <w:r w:rsidR="009732BD">
        <w:rPr>
          <w:rFonts w:eastAsiaTheme="minorHAnsi"/>
          <w:color w:val="FF0000"/>
          <w:kern w:val="2"/>
          <w:lang w:eastAsia="en-US"/>
          <w14:ligatures w14:val="standardContextual"/>
        </w:rPr>
        <w:t>.</w:t>
      </w:r>
    </w:p>
    <w:p w:rsidR="008B541A" w:rsidRPr="00EF435B" w:rsidP="00A42770" w14:paraId="4407025A" w14:textId="695213BA">
      <w:pPr>
        <w:numPr>
          <w:ilvl w:val="0"/>
          <w:numId w:val="5"/>
        </w:numPr>
        <w:spacing w:after="120"/>
        <w:ind w:hanging="218"/>
        <w:jc w:val="both"/>
        <w:rPr>
          <w:rFonts w:eastAsiaTheme="minorHAnsi"/>
          <w:kern w:val="2"/>
          <w:lang w:eastAsia="en-US"/>
          <w14:ligatures w14:val="standardContextual"/>
        </w:rPr>
      </w:pPr>
      <w:r w:rsidRPr="00EF435B">
        <w:rPr>
          <w:rFonts w:eastAsiaTheme="minorHAnsi"/>
          <w:kern w:val="2"/>
          <w:lang w:eastAsia="en-US"/>
          <w14:ligatures w14:val="standardContextual"/>
        </w:rPr>
        <w:t xml:space="preserve">il </w:t>
      </w:r>
      <w:r w:rsidRPr="00EF435B">
        <w:rPr>
          <w:rFonts w:eastAsiaTheme="minorHAnsi"/>
          <w:b/>
          <w:bCs/>
          <w:kern w:val="2"/>
          <w:lang w:eastAsia="en-US"/>
          <w14:ligatures w14:val="standardContextual"/>
        </w:rPr>
        <w:t>c</w:t>
      </w:r>
      <w:r w:rsidRPr="00EF435B" w:rsidR="00772C13">
        <w:rPr>
          <w:b/>
          <w:bCs/>
        </w:rPr>
        <w:t xml:space="preserve">omma </w:t>
      </w:r>
      <w:r w:rsidR="00251940">
        <w:rPr>
          <w:b/>
          <w:bCs/>
        </w:rPr>
        <w:t>6</w:t>
      </w:r>
      <w:r w:rsidRPr="00987C41" w:rsidR="00772C13">
        <w:t xml:space="preserve"> </w:t>
      </w:r>
      <w:r w:rsidRPr="00987C41" w:rsidR="002F3827">
        <w:t xml:space="preserve">contiene una disposizione di natura ordinamentale, </w:t>
      </w:r>
      <w:r w:rsidRPr="00987C41" w:rsidR="0038398F">
        <w:t>dispone</w:t>
      </w:r>
      <w:r w:rsidRPr="00987C41" w:rsidR="002F3827">
        <w:t>ndo</w:t>
      </w:r>
      <w:r w:rsidRPr="00987C41" w:rsidR="0038398F">
        <w:t xml:space="preserve"> la proroga di </w:t>
      </w:r>
      <w:r w:rsidRPr="00987C41" w:rsidR="008F1663">
        <w:t xml:space="preserve">previsioni </w:t>
      </w:r>
      <w:r w:rsidRPr="00987C41" w:rsidR="0012034B">
        <w:t xml:space="preserve">semplificatorie </w:t>
      </w:r>
      <w:r w:rsidRPr="00987C41" w:rsidR="00214202">
        <w:t>ad una specifica categoria di interventi</w:t>
      </w:r>
      <w:r w:rsidR="00853309">
        <w:t>.</w:t>
      </w:r>
    </w:p>
    <w:p w:rsidR="00085CB8" w:rsidRPr="00987C41" w:rsidP="00987C41" w14:paraId="1B3CED4E" w14:textId="77777777">
      <w:pPr>
        <w:spacing w:after="120"/>
        <w:ind w:left="360"/>
        <w:jc w:val="both"/>
        <w:rPr>
          <w:rFonts w:eastAsiaTheme="minorHAnsi"/>
          <w:kern w:val="2"/>
          <w:lang w:eastAsia="en-US"/>
          <w14:ligatures w14:val="standardContextual"/>
        </w:rPr>
      </w:pPr>
    </w:p>
    <w:p w:rsidR="00574D7A" w:rsidRPr="005E4038" w:rsidP="005E4038" w14:paraId="63D21702" w14:textId="5DB83E6F">
      <w:pPr>
        <w:pStyle w:val="Heading3"/>
        <w:spacing w:before="0" w:after="120"/>
        <w:ind w:left="-142" w:firstLine="142"/>
        <w:rPr>
          <w:rFonts w:cs="Times New Roman"/>
        </w:rPr>
      </w:pPr>
      <w:bookmarkStart w:id="16" w:name="_Toc204672799"/>
      <w:bookmarkStart w:id="17" w:name="_Toc204932821"/>
      <w:bookmarkStart w:id="18" w:name="_Toc210929483"/>
      <w:bookmarkStart w:id="19" w:name="_Toc220077549"/>
      <w:r w:rsidRPr="003A6118">
        <w:rPr>
          <w:rFonts w:cs="Times New Roman"/>
        </w:rPr>
        <w:t xml:space="preserve">ART. </w:t>
      </w:r>
      <w:bookmarkEnd w:id="16"/>
      <w:bookmarkEnd w:id="17"/>
      <w:bookmarkEnd w:id="18"/>
      <w:r w:rsidRPr="003A6118" w:rsidR="00A73168">
        <w:rPr>
          <w:rFonts w:cs="Times New Roman"/>
        </w:rPr>
        <w:t>5</w:t>
      </w:r>
      <w:r w:rsidRPr="003A6118" w:rsidR="0024611E">
        <w:rPr>
          <w:rFonts w:cs="Times New Roman"/>
        </w:rPr>
        <w:t xml:space="preserve">                                                                                                                                                </w:t>
      </w:r>
      <w:r w:rsidRPr="003A6118" w:rsidR="0024611E">
        <w:rPr>
          <w:rFonts w:cs="Times New Roman"/>
        </w:rPr>
        <w:t xml:space="preserve">   </w:t>
      </w:r>
      <w:r w:rsidRPr="005E4038">
        <w:rPr>
          <w:rFonts w:cs="Times New Roman"/>
        </w:rPr>
        <w:t>(</w:t>
      </w:r>
      <w:r w:rsidRPr="003A6118">
        <w:rPr>
          <w:rFonts w:cs="Times New Roman"/>
        </w:rPr>
        <w:t xml:space="preserve">Misure in materia in materia di </w:t>
      </w:r>
      <w:r w:rsidR="00853309">
        <w:rPr>
          <w:rFonts w:cs="Times New Roman"/>
        </w:rPr>
        <w:t xml:space="preserve">regimi </w:t>
      </w:r>
      <w:r w:rsidRPr="003A6118">
        <w:rPr>
          <w:rFonts w:cs="Times New Roman"/>
        </w:rPr>
        <w:t>amministrativi</w:t>
      </w:r>
      <w:r w:rsidRPr="005E4038">
        <w:rPr>
          <w:rFonts w:cs="Times New Roman"/>
        </w:rPr>
        <w:t>)</w:t>
      </w:r>
      <w:bookmarkEnd w:id="19"/>
    </w:p>
    <w:p w:rsidR="008346FC" w:rsidRPr="003A6118" w:rsidP="00987C41" w14:paraId="4656EEA4" w14:textId="4BE276C9">
      <w:pPr>
        <w:autoSpaceDE w:val="0"/>
        <w:autoSpaceDN w:val="0"/>
        <w:adjustRightInd w:val="0"/>
        <w:spacing w:after="120"/>
        <w:jc w:val="both"/>
        <w:rPr>
          <w:rFonts w:eastAsiaTheme="majorEastAsia"/>
          <w:color w:val="000000" w:themeColor="text1"/>
          <w:kern w:val="2"/>
          <w:szCs w:val="32"/>
          <w:lang w:eastAsia="en-US"/>
          <w14:ligatures w14:val="standardContextual"/>
        </w:rPr>
      </w:pPr>
      <w:r w:rsidRPr="003A6118">
        <w:rPr>
          <w:rFonts w:eastAsiaTheme="majorEastAsia"/>
          <w:color w:val="000000" w:themeColor="text1"/>
          <w:kern w:val="2"/>
          <w:szCs w:val="32"/>
          <w:lang w:eastAsia="en-US"/>
          <w14:ligatures w14:val="standardContextual"/>
        </w:rPr>
        <w:t xml:space="preserve">L’intervento </w:t>
      </w:r>
      <w:r w:rsidRPr="003A6118" w:rsidR="00271C8E">
        <w:rPr>
          <w:rFonts w:eastAsiaTheme="majorEastAsia"/>
          <w:color w:val="000000" w:themeColor="text1"/>
          <w:kern w:val="2"/>
          <w:szCs w:val="32"/>
          <w:lang w:eastAsia="en-US"/>
          <w14:ligatures w14:val="standardContextual"/>
        </w:rPr>
        <w:t xml:space="preserve">ha </w:t>
      </w:r>
      <w:r w:rsidRPr="003A6118">
        <w:rPr>
          <w:rFonts w:eastAsiaTheme="majorEastAsia"/>
          <w:color w:val="000000" w:themeColor="text1"/>
          <w:kern w:val="2"/>
          <w:szCs w:val="32"/>
          <w:lang w:eastAsia="en-US"/>
          <w14:ligatures w14:val="standardContextual"/>
        </w:rPr>
        <w:t>ad oggetto modifiche alla legge sul procedimento amministrativo (l. n. 241</w:t>
      </w:r>
      <w:r w:rsidRPr="003A6118" w:rsidR="005F1706">
        <w:rPr>
          <w:rFonts w:eastAsiaTheme="majorEastAsia"/>
          <w:color w:val="000000" w:themeColor="text1"/>
          <w:kern w:val="2"/>
          <w:szCs w:val="32"/>
          <w:lang w:eastAsia="en-US"/>
          <w14:ligatures w14:val="standardContextual"/>
        </w:rPr>
        <w:t xml:space="preserve"> del </w:t>
      </w:r>
      <w:r w:rsidRPr="003A6118">
        <w:rPr>
          <w:rFonts w:eastAsiaTheme="majorEastAsia"/>
          <w:color w:val="000000" w:themeColor="text1"/>
          <w:kern w:val="2"/>
          <w:szCs w:val="32"/>
          <w:lang w:eastAsia="en-US"/>
          <w14:ligatures w14:val="standardContextual"/>
        </w:rPr>
        <w:t>1990) e disposizion</w:t>
      </w:r>
      <w:r w:rsidRPr="003A6118" w:rsidR="00B14540">
        <w:rPr>
          <w:rFonts w:eastAsiaTheme="majorEastAsia"/>
          <w:color w:val="000000" w:themeColor="text1"/>
          <w:kern w:val="2"/>
          <w:szCs w:val="32"/>
          <w:lang w:eastAsia="en-US"/>
          <w14:ligatures w14:val="standardContextual"/>
        </w:rPr>
        <w:t xml:space="preserve">i </w:t>
      </w:r>
      <w:r w:rsidRPr="003A6118">
        <w:rPr>
          <w:rFonts w:eastAsiaTheme="majorEastAsia"/>
          <w:color w:val="000000" w:themeColor="text1"/>
          <w:kern w:val="2"/>
          <w:szCs w:val="32"/>
          <w:lang w:eastAsia="en-US"/>
          <w14:ligatures w14:val="standardContextual"/>
        </w:rPr>
        <w:t>di coordinamento della stessa con il permesso di costruire (DPR n. 380</w:t>
      </w:r>
      <w:r w:rsidRPr="003A6118" w:rsidR="005F1706">
        <w:rPr>
          <w:rFonts w:eastAsiaTheme="majorEastAsia"/>
          <w:color w:val="000000" w:themeColor="text1"/>
          <w:kern w:val="2"/>
          <w:szCs w:val="32"/>
          <w:lang w:eastAsia="en-US"/>
          <w14:ligatures w14:val="standardContextual"/>
        </w:rPr>
        <w:t xml:space="preserve"> del </w:t>
      </w:r>
      <w:r w:rsidRPr="003A6118">
        <w:rPr>
          <w:rFonts w:eastAsiaTheme="majorEastAsia"/>
          <w:color w:val="000000" w:themeColor="text1"/>
          <w:kern w:val="2"/>
          <w:szCs w:val="32"/>
          <w:lang w:eastAsia="en-US"/>
          <w14:ligatures w14:val="standardContextual"/>
        </w:rPr>
        <w:t xml:space="preserve">2001), nonché </w:t>
      </w:r>
      <w:r w:rsidRPr="003A6118" w:rsidR="00434785">
        <w:rPr>
          <w:rFonts w:eastAsiaTheme="majorEastAsia"/>
          <w:color w:val="000000" w:themeColor="text1"/>
          <w:kern w:val="2"/>
          <w:szCs w:val="32"/>
          <w:lang w:eastAsia="en-US"/>
          <w14:ligatures w14:val="standardContextual"/>
        </w:rPr>
        <w:t xml:space="preserve">previsioni volte ad </w:t>
      </w:r>
      <w:r w:rsidRPr="003A6118">
        <w:rPr>
          <w:rFonts w:eastAsiaTheme="majorEastAsia"/>
          <w:color w:val="000000" w:themeColor="text1"/>
          <w:kern w:val="2"/>
          <w:szCs w:val="32"/>
          <w:lang w:eastAsia="en-US"/>
          <w14:ligatures w14:val="standardContextual"/>
        </w:rPr>
        <w:t>assicurarne l’attuazione, anche attraverso disposizioni transitorie.</w:t>
      </w:r>
    </w:p>
    <w:p w:rsidR="008346FC" w:rsidRPr="00FB51E4" w:rsidP="00FB51E4" w14:paraId="63602D74" w14:textId="12598616">
      <w:pPr>
        <w:autoSpaceDE w:val="0"/>
        <w:autoSpaceDN w:val="0"/>
        <w:adjustRightInd w:val="0"/>
        <w:spacing w:after="120"/>
        <w:jc w:val="both"/>
        <w:rPr>
          <w:rFonts w:eastAsiaTheme="majorEastAsia"/>
          <w:strike/>
          <w:kern w:val="2"/>
          <w:szCs w:val="32"/>
          <w:lang w:eastAsia="en-US"/>
          <w14:ligatures w14:val="standardContextual"/>
        </w:rPr>
      </w:pPr>
      <w:r w:rsidRPr="003A6118">
        <w:rPr>
          <w:rFonts w:eastAsiaTheme="majorEastAsia"/>
          <w:color w:val="000000" w:themeColor="text1"/>
          <w:kern w:val="2"/>
          <w:szCs w:val="32"/>
          <w:lang w:eastAsia="en-US"/>
          <w14:ligatures w14:val="standardContextual"/>
        </w:rPr>
        <w:t xml:space="preserve">Il </w:t>
      </w:r>
      <w:r w:rsidRPr="003A6118">
        <w:rPr>
          <w:rFonts w:eastAsiaTheme="majorEastAsia"/>
          <w:b/>
          <w:color w:val="000000" w:themeColor="text1"/>
          <w:kern w:val="2"/>
          <w:szCs w:val="32"/>
          <w:lang w:eastAsia="en-US"/>
          <w14:ligatures w14:val="standardContextual"/>
        </w:rPr>
        <w:t xml:space="preserve">comma 1, </w:t>
      </w:r>
      <w:r w:rsidRPr="003A6118">
        <w:rPr>
          <w:rFonts w:eastAsiaTheme="majorEastAsia"/>
          <w:color w:val="000000" w:themeColor="text1"/>
          <w:kern w:val="2"/>
          <w:szCs w:val="32"/>
          <w:lang w:eastAsia="en-US"/>
          <w14:ligatures w14:val="standardContextual"/>
        </w:rPr>
        <w:t xml:space="preserve">alle </w:t>
      </w:r>
      <w:r w:rsidRPr="00B67232">
        <w:rPr>
          <w:rFonts w:eastAsiaTheme="minorEastAsia"/>
          <w:b/>
          <w:kern w:val="2"/>
          <w:u w:val="single"/>
          <w:lang w:eastAsia="en-US"/>
          <w14:ligatures w14:val="standardContextual"/>
        </w:rPr>
        <w:t xml:space="preserve">lettere </w:t>
      </w:r>
      <w:r w:rsidRPr="00F730EB" w:rsidR="000D5C61">
        <w:rPr>
          <w:rFonts w:eastAsiaTheme="minorEastAsia"/>
          <w:b/>
          <w:kern w:val="2"/>
          <w:u w:val="single"/>
          <w:lang w:eastAsia="en-US"/>
          <w14:ligatures w14:val="standardContextual"/>
        </w:rPr>
        <w:t>a)</w:t>
      </w:r>
      <w:r w:rsidR="000D5C61">
        <w:rPr>
          <w:rFonts w:eastAsiaTheme="minorEastAsia"/>
          <w:b/>
          <w:kern w:val="2"/>
          <w:u w:val="single"/>
          <w:lang w:eastAsia="en-US"/>
          <w14:ligatures w14:val="standardContextual"/>
        </w:rPr>
        <w:t xml:space="preserve"> e </w:t>
      </w:r>
      <w:r w:rsidRPr="00B67232">
        <w:rPr>
          <w:rFonts w:eastAsiaTheme="minorEastAsia"/>
          <w:b/>
          <w:kern w:val="2"/>
          <w:u w:val="single"/>
          <w:lang w:eastAsia="en-US"/>
          <w14:ligatures w14:val="standardContextual"/>
        </w:rPr>
        <w:t>b)</w:t>
      </w:r>
      <w:r w:rsidRPr="00FB51E4">
        <w:rPr>
          <w:rFonts w:eastAsiaTheme="minorEastAsia"/>
          <w:b/>
          <w:kern w:val="2"/>
          <w:lang w:eastAsia="en-US"/>
          <w14:ligatures w14:val="standardContextual"/>
        </w:rPr>
        <w:t xml:space="preserve"> </w:t>
      </w:r>
      <w:r w:rsidRPr="003A6118">
        <w:rPr>
          <w:rFonts w:eastAsiaTheme="majorEastAsia"/>
          <w:color w:val="000000" w:themeColor="text1"/>
          <w:kern w:val="2"/>
          <w:szCs w:val="32"/>
          <w:lang w:eastAsia="en-US"/>
          <w14:ligatures w14:val="standardContextual"/>
        </w:rPr>
        <w:t>rispettivamente modifica l’articolo 14-</w:t>
      </w:r>
      <w:r w:rsidRPr="003A6118">
        <w:rPr>
          <w:rFonts w:eastAsiaTheme="majorEastAsia"/>
          <w:i/>
          <w:color w:val="000000" w:themeColor="text1"/>
          <w:kern w:val="2"/>
          <w:szCs w:val="32"/>
          <w:lang w:eastAsia="en-US"/>
          <w14:ligatures w14:val="standardContextual"/>
        </w:rPr>
        <w:t>bis</w:t>
      </w:r>
      <w:r w:rsidRPr="003A6118">
        <w:rPr>
          <w:rFonts w:eastAsiaTheme="majorEastAsia"/>
          <w:color w:val="000000" w:themeColor="text1"/>
          <w:kern w:val="2"/>
          <w:szCs w:val="32"/>
          <w:lang w:eastAsia="en-US"/>
          <w14:ligatures w14:val="standardContextual"/>
        </w:rPr>
        <w:t xml:space="preserve"> </w:t>
      </w:r>
      <w:r w:rsidRPr="00FB51E4" w:rsidR="008A5D9C">
        <w:rPr>
          <w:rFonts w:eastAsiaTheme="minorEastAsia"/>
          <w:iCs/>
          <w:kern w:val="2"/>
          <w:lang w:eastAsia="en-US"/>
          <w14:ligatures w14:val="standardContextual"/>
        </w:rPr>
        <w:t>e l’articolo 14-</w:t>
      </w:r>
      <w:r w:rsidRPr="00FB51E4" w:rsidR="008A5D9C">
        <w:rPr>
          <w:rFonts w:eastAsiaTheme="minorEastAsia"/>
          <w:i/>
          <w:kern w:val="2"/>
          <w:lang w:eastAsia="en-US"/>
          <w14:ligatures w14:val="standardContextual"/>
        </w:rPr>
        <w:t>ter</w:t>
      </w:r>
      <w:r w:rsidRPr="00FB51E4" w:rsidR="008A5D9C">
        <w:rPr>
          <w:rFonts w:eastAsiaTheme="minorEastAsia"/>
          <w:kern w:val="2"/>
          <w:lang w:eastAsia="en-US"/>
          <w14:ligatures w14:val="standardContextual"/>
        </w:rPr>
        <w:t xml:space="preserve"> </w:t>
      </w:r>
      <w:r w:rsidRPr="00B67232" w:rsidR="008A5D9C">
        <w:rPr>
          <w:rFonts w:eastAsiaTheme="minorEastAsia"/>
          <w:kern w:val="2"/>
          <w:lang w:eastAsia="en-US"/>
          <w14:ligatures w14:val="standardContextual"/>
        </w:rPr>
        <w:t xml:space="preserve">della legge n. 241 del 1990, con l’obiettivo di rafforzare l’istituto della conferenza di </w:t>
      </w:r>
      <w:r w:rsidRPr="00FB51E4" w:rsidR="008A5D9C">
        <w:rPr>
          <w:rFonts w:eastAsiaTheme="minorEastAsia"/>
          <w:kern w:val="2"/>
          <w:lang w:eastAsia="en-US"/>
          <w14:ligatures w14:val="standardContextual"/>
        </w:rPr>
        <w:t xml:space="preserve">servizi semplificata. </w:t>
      </w:r>
      <w:r w:rsidRPr="00FB51E4">
        <w:rPr>
          <w:rFonts w:eastAsiaTheme="majorEastAsia"/>
          <w:strike/>
          <w:kern w:val="2"/>
          <w:szCs w:val="32"/>
          <w:lang w:eastAsia="en-US"/>
          <w14:ligatures w14:val="standardContextual"/>
        </w:rPr>
        <w:t xml:space="preserve"> </w:t>
      </w:r>
    </w:p>
    <w:p w:rsidR="0052149C" w:rsidP="00987C41" w14:paraId="1778963E" w14:textId="77777777">
      <w:pPr>
        <w:autoSpaceDE w:val="0"/>
        <w:autoSpaceDN w:val="0"/>
        <w:adjustRightInd w:val="0"/>
        <w:spacing w:after="120"/>
        <w:jc w:val="both"/>
        <w:rPr>
          <w:rFonts w:eastAsiaTheme="majorEastAsia"/>
          <w:color w:val="000000" w:themeColor="text1"/>
          <w:kern w:val="2"/>
          <w:szCs w:val="32"/>
          <w:lang w:eastAsia="en-US"/>
          <w14:ligatures w14:val="standardContextual"/>
        </w:rPr>
      </w:pPr>
      <w:r w:rsidRPr="003A6118">
        <w:rPr>
          <w:rFonts w:eastAsiaTheme="majorEastAsia"/>
          <w:color w:val="000000" w:themeColor="text1"/>
          <w:kern w:val="2"/>
          <w:szCs w:val="32"/>
          <w:lang w:eastAsia="en-US"/>
          <w14:ligatures w14:val="standardContextual"/>
        </w:rPr>
        <w:t xml:space="preserve">Le modifiche introdotte determinano e rendono strutturali la riduzione dei tempi della conferenza decisoria in forma semplificata e in modalità asincrona, in quanto si prevede: </w:t>
      </w:r>
    </w:p>
    <w:p w:rsidR="0052149C" w:rsidP="00987C41" w14:paraId="3F8CC4AF" w14:textId="62642056">
      <w:pPr>
        <w:autoSpaceDE w:val="0"/>
        <w:autoSpaceDN w:val="0"/>
        <w:adjustRightInd w:val="0"/>
        <w:spacing w:after="120"/>
        <w:jc w:val="both"/>
        <w:rPr>
          <w:rFonts w:eastAsiaTheme="majorEastAsia"/>
          <w:color w:val="000000" w:themeColor="text1"/>
          <w:kern w:val="2"/>
          <w:szCs w:val="32"/>
          <w:lang w:eastAsia="en-US"/>
          <w14:ligatures w14:val="standardContextual"/>
        </w:rPr>
      </w:pPr>
      <w:r>
        <w:rPr>
          <w:rFonts w:eastAsiaTheme="majorEastAsia"/>
          <w:b/>
          <w:color w:val="000000" w:themeColor="text1"/>
          <w:kern w:val="2"/>
          <w:szCs w:val="32"/>
          <w:lang w:eastAsia="en-US"/>
          <w14:ligatures w14:val="standardContextual"/>
        </w:rPr>
        <w:t>-</w:t>
      </w:r>
      <w:r w:rsidRPr="003A6118" w:rsidR="008346FC">
        <w:rPr>
          <w:rFonts w:eastAsiaTheme="majorEastAsia"/>
          <w:b/>
          <w:color w:val="000000" w:themeColor="text1"/>
          <w:kern w:val="2"/>
          <w:szCs w:val="32"/>
          <w:lang w:eastAsia="en-US"/>
          <w14:ligatures w14:val="standardContextual"/>
        </w:rPr>
        <w:t xml:space="preserve"> </w:t>
      </w:r>
      <w:r w:rsidRPr="003A6118" w:rsidR="008346FC">
        <w:rPr>
          <w:rFonts w:eastAsiaTheme="majorEastAsia"/>
          <w:color w:val="000000" w:themeColor="text1"/>
          <w:kern w:val="2"/>
          <w:szCs w:val="32"/>
          <w:lang w:eastAsia="en-US"/>
          <w14:ligatures w14:val="standardContextual"/>
        </w:rPr>
        <w:t>che le amministrazioni coinvolte sono tenute a rendere i pareri di competenza entro il termine perentorio di trenta giorni. In caso di amministrazioni preposte alla tutela ambientale, paesaggistico- territoriale, dei beni culturali</w:t>
      </w:r>
      <w:r w:rsidRPr="003A6118" w:rsidR="008B0908">
        <w:rPr>
          <w:rFonts w:eastAsiaTheme="majorEastAsia"/>
          <w:color w:val="000000" w:themeColor="text1"/>
          <w:kern w:val="2"/>
          <w:szCs w:val="32"/>
          <w:lang w:eastAsia="en-US"/>
          <w14:ligatures w14:val="standardContextual"/>
        </w:rPr>
        <w:t xml:space="preserve">, </w:t>
      </w:r>
      <w:r w:rsidRPr="003A6118" w:rsidR="008346FC">
        <w:rPr>
          <w:rFonts w:eastAsiaTheme="majorEastAsia"/>
          <w:color w:val="000000" w:themeColor="text1"/>
          <w:kern w:val="2"/>
          <w:szCs w:val="32"/>
          <w:lang w:eastAsia="en-US"/>
          <w14:ligatures w14:val="standardContextual"/>
        </w:rPr>
        <w:t xml:space="preserve">della salute </w:t>
      </w:r>
      <w:r w:rsidRPr="003A6118" w:rsidR="008B0908">
        <w:rPr>
          <w:rFonts w:eastAsiaTheme="majorEastAsia"/>
          <w:color w:val="000000" w:themeColor="text1"/>
          <w:kern w:val="2"/>
          <w:szCs w:val="32"/>
          <w:lang w:eastAsia="en-US"/>
          <w14:ligatures w14:val="standardContextual"/>
        </w:rPr>
        <w:t xml:space="preserve">o dell’incolumità pubblica </w:t>
      </w:r>
      <w:r w:rsidRPr="003A6118" w:rsidR="008346FC">
        <w:rPr>
          <w:rFonts w:eastAsiaTheme="majorEastAsia"/>
          <w:color w:val="000000" w:themeColor="text1"/>
          <w:kern w:val="2"/>
          <w:szCs w:val="32"/>
          <w:lang w:eastAsia="en-US"/>
          <w14:ligatures w14:val="standardContextual"/>
        </w:rPr>
        <w:t xml:space="preserve">il suddetto termine è fissato in quarantacinque giorni, fatti salvi i maggiori termini previsti dalle disposizioni del diritto dell’Unione europea; </w:t>
      </w:r>
    </w:p>
    <w:p w:rsidR="009618A4" w:rsidP="00987C41" w14:paraId="345CD517" w14:textId="54A8BE49">
      <w:pPr>
        <w:autoSpaceDE w:val="0"/>
        <w:autoSpaceDN w:val="0"/>
        <w:adjustRightInd w:val="0"/>
        <w:spacing w:after="120"/>
        <w:jc w:val="both"/>
        <w:rPr>
          <w:rFonts w:eastAsiaTheme="majorEastAsia"/>
          <w:color w:val="000000" w:themeColor="text1"/>
          <w:kern w:val="2"/>
          <w:szCs w:val="32"/>
          <w:lang w:eastAsia="en-US"/>
          <w14:ligatures w14:val="standardContextual"/>
        </w:rPr>
      </w:pPr>
      <w:r>
        <w:rPr>
          <w:rFonts w:eastAsiaTheme="majorEastAsia"/>
          <w:b/>
          <w:color w:val="000000" w:themeColor="text1"/>
          <w:kern w:val="2"/>
          <w:szCs w:val="32"/>
          <w:lang w:eastAsia="en-US"/>
          <w14:ligatures w14:val="standardContextual"/>
        </w:rPr>
        <w:t>-</w:t>
      </w:r>
      <w:r w:rsidRPr="003A6118" w:rsidR="008346FC">
        <w:rPr>
          <w:rFonts w:eastAsiaTheme="majorEastAsia"/>
          <w:b/>
          <w:color w:val="000000" w:themeColor="text1"/>
          <w:kern w:val="2"/>
          <w:szCs w:val="32"/>
          <w:lang w:eastAsia="en-US"/>
          <w14:ligatures w14:val="standardContextual"/>
        </w:rPr>
        <w:t xml:space="preserve"> </w:t>
      </w:r>
      <w:r w:rsidRPr="003A6118" w:rsidR="008346FC">
        <w:rPr>
          <w:rFonts w:eastAsiaTheme="majorEastAsia"/>
          <w:color w:val="000000" w:themeColor="text1"/>
          <w:kern w:val="2"/>
          <w:szCs w:val="32"/>
          <w:lang w:eastAsia="en-US"/>
          <w14:ligatures w14:val="standardContextual"/>
        </w:rPr>
        <w:t>il rafforzamento dell’obbligo di motivazione per le amministrazioni partecipanti, comprese quelle competenti in materia urbanistica, paesaggistica, archeologica e di tutela del patrimonio culturale, che, in caso di dissenso o non completo assenso, devono indicare le modifiche, le prescrizioni e le misure mitigatrici che rendano possibile l'assenso, con la quantificazione</w:t>
      </w:r>
      <w:r w:rsidRPr="003A6118" w:rsidR="00A76462">
        <w:rPr>
          <w:rFonts w:eastAsiaTheme="majorEastAsia"/>
          <w:color w:val="000000" w:themeColor="text1"/>
          <w:kern w:val="2"/>
          <w:szCs w:val="32"/>
          <w:lang w:eastAsia="en-US"/>
          <w14:ligatures w14:val="standardContextual"/>
        </w:rPr>
        <w:t>, laddove possibile,</w:t>
      </w:r>
      <w:r w:rsidRPr="003A6118" w:rsidR="008346FC">
        <w:rPr>
          <w:rFonts w:eastAsiaTheme="majorEastAsia"/>
          <w:color w:val="000000" w:themeColor="text1"/>
          <w:kern w:val="2"/>
          <w:szCs w:val="32"/>
          <w:lang w:eastAsia="en-US"/>
          <w14:ligatures w14:val="standardContextual"/>
        </w:rPr>
        <w:t xml:space="preserve"> dei relativi costi. Le prescrizioni dovranno essere determinate in conformità ai princìpi di proporzionalità, efficacia e sostenibilità finanziaria dell'intervento risultante dal progetto originariamente presentato</w:t>
      </w:r>
      <w:r>
        <w:rPr>
          <w:rFonts w:eastAsiaTheme="majorEastAsia"/>
          <w:color w:val="000000" w:themeColor="text1"/>
          <w:kern w:val="2"/>
          <w:szCs w:val="32"/>
          <w:lang w:eastAsia="en-US"/>
          <w14:ligatures w14:val="standardContextual"/>
        </w:rPr>
        <w:t>;</w:t>
      </w:r>
    </w:p>
    <w:p w:rsidR="009618A4" w:rsidP="009618A4" w14:paraId="103DB795" w14:textId="61127844">
      <w:pPr>
        <w:tabs>
          <w:tab w:val="left" w:pos="1725"/>
        </w:tabs>
        <w:spacing w:after="120"/>
        <w:jc w:val="both"/>
        <w:rPr>
          <w:rFonts w:eastAsiaTheme="minorEastAsia"/>
          <w:color w:val="FF0000"/>
          <w:kern w:val="2"/>
          <w:lang w:eastAsia="en-US"/>
          <w14:ligatures w14:val="standardContextual"/>
        </w:rPr>
      </w:pPr>
      <w:r>
        <w:rPr>
          <w:rFonts w:eastAsiaTheme="minorEastAsia"/>
          <w:b/>
          <w:bCs/>
          <w:color w:val="FF0000"/>
          <w:kern w:val="2"/>
          <w:lang w:eastAsia="en-US"/>
          <w14:ligatures w14:val="standardContextual"/>
        </w:rPr>
        <w:t>-</w:t>
      </w:r>
      <w:r w:rsidRPr="002D7B30">
        <w:rPr>
          <w:rFonts w:eastAsiaTheme="minorEastAsia"/>
          <w:color w:val="FF0000"/>
          <w:kern w:val="2"/>
          <w:lang w:eastAsia="en-US"/>
          <w14:ligatures w14:val="standardContextual"/>
        </w:rPr>
        <w:t xml:space="preserve"> fuori dei casi di svolgimento della conferenza secondo le modalità previste dal comma 5 dell’articolo 14-</w:t>
      </w:r>
      <w:r w:rsidRPr="002D7B30">
        <w:rPr>
          <w:rFonts w:eastAsiaTheme="minorEastAsia"/>
          <w:i/>
          <w:iCs/>
          <w:color w:val="FF0000"/>
          <w:kern w:val="2"/>
          <w:lang w:eastAsia="en-US"/>
          <w14:ligatures w14:val="standardContextual"/>
        </w:rPr>
        <w:t>bis</w:t>
      </w:r>
      <w:r w:rsidRPr="002D7B30">
        <w:rPr>
          <w:rFonts w:eastAsiaTheme="minorEastAsia"/>
          <w:color w:val="FF0000"/>
          <w:kern w:val="2"/>
          <w:lang w:eastAsia="en-US"/>
          <w14:ligatures w14:val="standardContextual"/>
        </w:rPr>
        <w:t xml:space="preserve">, l'amministrazione procedente, ai fini dell'esame contestuale degli interessi coinvolti, è tenuta a svolgere </w:t>
      </w:r>
      <w:r w:rsidRPr="004617FD" w:rsidR="004617FD">
        <w:rPr>
          <w:rFonts w:eastAsiaTheme="minorEastAsia"/>
          <w:color w:val="00B050"/>
          <w:kern w:val="2"/>
          <w:lang w:eastAsia="en-US"/>
          <w14:ligatures w14:val="standardContextual"/>
        </w:rPr>
        <w:t xml:space="preserve">entro la data stabilita ai sensi della lettera </w:t>
      </w:r>
      <w:r w:rsidRPr="004617FD" w:rsidR="004617FD">
        <w:rPr>
          <w:rFonts w:eastAsiaTheme="minorEastAsia"/>
          <w:i/>
          <w:iCs/>
          <w:color w:val="00B050"/>
          <w:kern w:val="2"/>
          <w:lang w:eastAsia="en-US"/>
          <w14:ligatures w14:val="standardContextual"/>
        </w:rPr>
        <w:t>d</w:t>
      </w:r>
      <w:r w:rsidRPr="004617FD" w:rsidR="004617FD">
        <w:rPr>
          <w:rFonts w:eastAsiaTheme="minorEastAsia"/>
          <w:color w:val="00B050"/>
          <w:kern w:val="2"/>
          <w:lang w:eastAsia="en-US"/>
          <w14:ligatures w14:val="standardContextual"/>
        </w:rPr>
        <w:t>) del comma 2 del medesimo articolo 14-</w:t>
      </w:r>
      <w:r w:rsidRPr="004617FD" w:rsidR="004617FD">
        <w:rPr>
          <w:rFonts w:eastAsiaTheme="minorEastAsia"/>
          <w:i/>
          <w:iCs/>
          <w:color w:val="00B050"/>
          <w:kern w:val="2"/>
          <w:lang w:eastAsia="en-US"/>
          <w14:ligatures w14:val="standardContextual"/>
        </w:rPr>
        <w:t>bis</w:t>
      </w:r>
      <w:r w:rsidRPr="004617FD" w:rsidR="004617FD">
        <w:rPr>
          <w:rFonts w:eastAsiaTheme="minorEastAsia"/>
          <w:color w:val="00B050"/>
          <w:kern w:val="2"/>
          <w:lang w:eastAsia="en-US"/>
          <w14:ligatures w14:val="standardContextual"/>
        </w:rPr>
        <w:t xml:space="preserve"> </w:t>
      </w:r>
      <w:r w:rsidRPr="00860EBB">
        <w:rPr>
          <w:rFonts w:eastAsiaTheme="minorEastAsia"/>
          <w:strike/>
          <w:color w:val="00B050"/>
          <w:kern w:val="2"/>
          <w:lang w:eastAsia="en-US"/>
          <w14:ligatures w14:val="standardContextual"/>
        </w:rPr>
        <w:t>entro dieci giorni dalla scadenza del termine per il rilascio delle determinazioni di competenza delle singole amministrazioni,</w:t>
      </w:r>
      <w:r w:rsidRPr="002D7B30">
        <w:rPr>
          <w:rFonts w:eastAsiaTheme="minorEastAsia"/>
          <w:color w:val="FF0000"/>
          <w:kern w:val="2"/>
          <w:lang w:eastAsia="en-US"/>
          <w14:ligatures w14:val="standardContextual"/>
        </w:rPr>
        <w:t xml:space="preserve"> una riunione telematica di tutte le amministrazioni coinvolte – che intervengono mediante rappresentante unico –  nella quale prende atto delle rispettive posizioni e predispone la determinazione motivata conclusiva della conferenza di servizi, verso la quale può essere proposta opposizione. La disposizione in commento, poi, chiarisce che qualora le amministrazioni chiamate a partecipare alla conferenza non vi prendano parte, ovvero vi abbiano partecipato senza esprimere la propria posizione, ovvero abbiano espresso dissenso non motivato o riferito a questioni non trattate dalla conferenza, si considera acquisito l’assenso incondizionato delle stesse</w:t>
      </w:r>
      <w:r>
        <w:rPr>
          <w:rFonts w:eastAsiaTheme="minorEastAsia"/>
          <w:color w:val="FF0000"/>
          <w:kern w:val="2"/>
          <w:lang w:eastAsia="en-US"/>
          <w14:ligatures w14:val="standardContextual"/>
        </w:rPr>
        <w:t>;</w:t>
      </w:r>
    </w:p>
    <w:p w:rsidR="006A0B7A" w:rsidRPr="006A0B7A" w:rsidP="006A0B7A" w14:paraId="5301D48E" w14:textId="2B2749D7">
      <w:pPr>
        <w:tabs>
          <w:tab w:val="left" w:pos="1725"/>
        </w:tabs>
        <w:spacing w:after="120"/>
        <w:jc w:val="both"/>
        <w:rPr>
          <w:rFonts w:eastAsiaTheme="minorEastAsia"/>
          <w:color w:val="FF0000"/>
          <w:kern w:val="2"/>
          <w:lang w:eastAsia="en-US"/>
          <w14:ligatures w14:val="standardContextual"/>
        </w:rPr>
      </w:pPr>
      <w:r>
        <w:rPr>
          <w:rFonts w:eastAsiaTheme="minorEastAsia"/>
          <w:b/>
          <w:bCs/>
          <w:color w:val="FF0000"/>
          <w:kern w:val="2"/>
          <w:lang w:eastAsia="en-US"/>
          <w14:ligatures w14:val="standardContextual"/>
        </w:rPr>
        <w:t>-</w:t>
      </w:r>
      <w:r w:rsidRPr="006A0B7A">
        <w:rPr>
          <w:rFonts w:eastAsiaTheme="minorEastAsia"/>
          <w:color w:val="FF0000"/>
          <w:kern w:val="2"/>
          <w:lang w:eastAsia="en-US"/>
          <w14:ligatures w14:val="standardContextual"/>
        </w:rPr>
        <w:t xml:space="preserve"> vengono ridotti da quarantacinque a trenta giorni i termini entro i quali l’Amministrazione procedente può, laddove la determinazione risulti particolarmente complessa, procedere direttamente in forma simultanea e in modalità sincrona;</w:t>
      </w:r>
    </w:p>
    <w:p w:rsidR="009618A4" w:rsidP="4EB900D3" w14:paraId="41F916DE" w14:textId="4ADD5A14">
      <w:pPr>
        <w:tabs>
          <w:tab w:val="left" w:pos="1725"/>
        </w:tabs>
        <w:spacing w:after="120"/>
        <w:jc w:val="both"/>
        <w:rPr>
          <w:b/>
          <w:bCs/>
          <w:highlight w:val="magenta"/>
        </w:rPr>
      </w:pPr>
      <w:r w:rsidRPr="4EB900D3">
        <w:rPr>
          <w:rFonts w:eastAsiaTheme="minorEastAsia"/>
          <w:b/>
          <w:bCs/>
          <w:color w:val="FF0000"/>
          <w:kern w:val="2"/>
          <w:lang w:eastAsia="en-US"/>
          <w14:ligatures w14:val="standardContextual"/>
        </w:rPr>
        <w:t>-</w:t>
      </w:r>
      <w:r w:rsidRPr="4EB900D3" w:rsidR="006A0B7A">
        <w:rPr>
          <w:rFonts w:eastAsiaTheme="minorEastAsia"/>
          <w:color w:val="FF0000"/>
          <w:kern w:val="2"/>
          <w:lang w:eastAsia="en-US"/>
          <w14:ligatures w14:val="standardContextual"/>
        </w:rPr>
        <w:t xml:space="preserve"> </w:t>
      </w:r>
      <w:r w:rsidRPr="4EB900D3" w:rsidR="006A0B7A">
        <w:rPr>
          <w:rFonts w:eastAsiaTheme="minorEastAsia"/>
          <w:strike/>
          <w:color w:val="FF0000"/>
          <w:kern w:val="2"/>
          <w:lang w:eastAsia="en-US"/>
          <w14:ligatures w14:val="standardContextual"/>
        </w:rPr>
        <w:t xml:space="preserve">viene ridotto da quarantacinque a trenta giorni anche il termine di conclusione dei lavori della conferenza che si svolga in modalità simultanea ed in forma sincrona. </w:t>
      </w:r>
      <w:r w:rsidRPr="4EB900D3" w:rsidR="52787273">
        <w:rPr>
          <w:rFonts w:eastAsiaTheme="minorEastAsia"/>
          <w:strike/>
          <w:color w:val="FF0000"/>
          <w:kern w:val="2"/>
          <w:lang w:eastAsia="en-US"/>
          <w14:ligatures w14:val="standardContextual"/>
        </w:rPr>
        <w:t xml:space="preserve"> </w:t>
      </w:r>
      <w:r w:rsidRPr="4EB900D3" w:rsidR="52787273">
        <w:rPr>
          <w:b/>
          <w:bCs/>
        </w:rPr>
        <w:t xml:space="preserve"> </w:t>
      </w:r>
      <w:r w:rsidRPr="4EB900D3" w:rsidR="52787273">
        <w:rPr>
          <w:b/>
          <w:bCs/>
          <w:color w:val="FF0000"/>
          <w:highlight w:val="lightGray"/>
        </w:rPr>
        <w:t>vengono ridotti da quarantacinque a trenta giorni e</w:t>
      </w:r>
      <w:r w:rsidRPr="00016A6E" w:rsidR="52787273">
        <w:rPr>
          <w:b/>
          <w:bCs/>
          <w:color w:val="00B050"/>
          <w:highlight w:val="lightGray"/>
        </w:rPr>
        <w:t>, in caso di coinvolgimento di amministrazioni preposte alla tutela ambientale, paesaggistico-territoriale, dei beni culturali e della salute dei cittadini, da novanta a quarantacinque giorni i termini di conclusione dei lavori della conferenza che si svolga in modalità simultanea ed in forma sincrona</w:t>
      </w:r>
      <w:r w:rsidRPr="4EB900D3" w:rsidR="52787273">
        <w:rPr>
          <w:b/>
          <w:bCs/>
          <w:highlight w:val="lightGray"/>
        </w:rPr>
        <w:t>;</w:t>
      </w:r>
    </w:p>
    <w:p w:rsidR="009618A4" w:rsidP="4EB900D3" w14:paraId="4DDA87F9" w14:textId="7D54B22D">
      <w:pPr>
        <w:tabs>
          <w:tab w:val="left" w:pos="1725"/>
        </w:tabs>
        <w:spacing w:after="120"/>
        <w:jc w:val="both"/>
        <w:rPr>
          <w:rFonts w:eastAsiaTheme="minorEastAsia"/>
          <w:color w:val="4C94D8" w:themeColor="text2" w:themeTint="80"/>
          <w:kern w:val="2"/>
          <w:lang w:eastAsia="en-US"/>
          <w14:ligatures w14:val="standardContextual"/>
        </w:rPr>
      </w:pPr>
      <w:r w:rsidRPr="4EB900D3">
        <w:rPr>
          <w:rFonts w:eastAsiaTheme="minorEastAsia"/>
          <w:b/>
          <w:bCs/>
          <w:color w:val="4C94D8" w:themeColor="text2" w:themeTint="80"/>
          <w:kern w:val="2"/>
          <w:lang w:eastAsia="en-US"/>
          <w14:ligatures w14:val="standardContextual"/>
        </w:rPr>
        <w:t xml:space="preserve">Sotto il profilo finanziario, le previsioni di cui alle lettere </w:t>
      </w:r>
      <w:r w:rsidRPr="4EB900D3" w:rsidR="006D199B">
        <w:rPr>
          <w:rFonts w:eastAsiaTheme="minorEastAsia"/>
          <w:b/>
          <w:bCs/>
          <w:color w:val="4C94D8" w:themeColor="text2" w:themeTint="80"/>
          <w:kern w:val="2"/>
          <w:lang w:eastAsia="en-US"/>
          <w14:ligatures w14:val="standardContextual"/>
        </w:rPr>
        <w:t xml:space="preserve">a) e b) del comma 1 </w:t>
      </w:r>
      <w:r w:rsidRPr="4EB900D3" w:rsidR="001A20DD">
        <w:rPr>
          <w:rFonts w:eastAsiaTheme="minorEastAsia"/>
          <w:b/>
          <w:bCs/>
          <w:color w:val="4C94D8" w:themeColor="text2" w:themeTint="80"/>
          <w:kern w:val="2"/>
          <w:lang w:eastAsia="en-US"/>
          <w14:ligatures w14:val="standardContextual"/>
        </w:rPr>
        <w:t xml:space="preserve">non comportano nuovi o maggiori oneri a carico della finanza pubblica, tenuto conto che agli adempimenti ivi prescritti, le amministrazioni </w:t>
      </w:r>
      <w:r w:rsidRPr="4EB900D3" w:rsidR="00115525">
        <w:rPr>
          <w:rFonts w:eastAsiaTheme="minorEastAsia"/>
          <w:b/>
          <w:bCs/>
          <w:color w:val="4C94D8" w:themeColor="text2" w:themeTint="80"/>
          <w:kern w:val="2"/>
          <w:lang w:eastAsia="en-US"/>
          <w14:ligatures w14:val="standardContextual"/>
        </w:rPr>
        <w:t>interessate provvederanno</w:t>
      </w:r>
      <w:r w:rsidRPr="4EB900D3" w:rsidR="001A20DD">
        <w:rPr>
          <w:rFonts w:eastAsiaTheme="minorEastAsia"/>
          <w:b/>
          <w:bCs/>
          <w:color w:val="4C94D8" w:themeColor="text2" w:themeTint="80"/>
          <w:kern w:val="2"/>
          <w:lang w:eastAsia="en-US"/>
          <w14:ligatures w14:val="standardContextual"/>
        </w:rPr>
        <w:t xml:space="preserve"> nell’ambito delle risorse strumentali, umane e finanziarie già previste a legislazione vigente.</w:t>
      </w:r>
    </w:p>
    <w:p w:rsidR="00C560F0" w:rsidP="00987C41" w14:paraId="44608230" w14:textId="4E5F587C">
      <w:pPr>
        <w:spacing w:after="120"/>
        <w:jc w:val="both"/>
        <w:rPr>
          <w:rFonts w:eastAsiaTheme="minorHAnsi"/>
          <w:kern w:val="2"/>
          <w14:ligatures w14:val="standardContextual"/>
        </w:rPr>
      </w:pPr>
      <w:r w:rsidRPr="005639E3">
        <w:rPr>
          <w:rFonts w:eastAsiaTheme="minorEastAsia"/>
          <w:b/>
          <w:bCs/>
          <w:kern w:val="2"/>
          <w:u w:val="single"/>
          <w:lang w:eastAsia="en-US"/>
          <w14:ligatures w14:val="standardContextual"/>
        </w:rPr>
        <w:t>Il comma 1</w:t>
      </w:r>
      <w:r w:rsidR="00A87D8D">
        <w:rPr>
          <w:rFonts w:eastAsiaTheme="minorEastAsia"/>
          <w:b/>
          <w:bCs/>
          <w:kern w:val="2"/>
          <w:u w:val="single"/>
          <w:lang w:eastAsia="en-US"/>
          <w14:ligatures w14:val="standardContextual"/>
        </w:rPr>
        <w:t xml:space="preserve">, </w:t>
      </w:r>
      <w:r w:rsidR="00591A87">
        <w:rPr>
          <w:rFonts w:eastAsiaTheme="minorEastAsia"/>
          <w:b/>
          <w:bCs/>
          <w:kern w:val="2"/>
          <w:u w:val="single"/>
          <w:lang w:eastAsia="en-US"/>
          <w14:ligatures w14:val="standardContextual"/>
        </w:rPr>
        <w:t xml:space="preserve">lettere </w:t>
      </w:r>
      <w:r w:rsidRPr="005639E3" w:rsidR="00591A87">
        <w:rPr>
          <w:rFonts w:eastAsiaTheme="minorEastAsia"/>
          <w:b/>
          <w:bCs/>
          <w:kern w:val="2"/>
          <w:u w:val="single"/>
          <w:lang w:eastAsia="en-US"/>
          <w14:ligatures w14:val="standardContextual"/>
        </w:rPr>
        <w:t>c</w:t>
      </w:r>
      <w:r w:rsidRPr="00A87D8D">
        <w:rPr>
          <w:rFonts w:eastAsiaTheme="minorEastAsia"/>
          <w:b/>
          <w:kern w:val="2"/>
          <w:u w:val="single"/>
          <w:lang w:eastAsia="en-US"/>
          <w14:ligatures w14:val="standardContextual"/>
        </w:rPr>
        <w:t>)</w:t>
      </w:r>
      <w:r w:rsidRPr="00A87D8D">
        <w:rPr>
          <w:rFonts w:eastAsiaTheme="minorEastAsia"/>
          <w:kern w:val="2"/>
          <w:lang w:eastAsia="en-US"/>
          <w14:ligatures w14:val="standardContextual"/>
        </w:rPr>
        <w:t xml:space="preserve"> </w:t>
      </w:r>
      <w:r w:rsidRPr="00A87D8D" w:rsidR="00012408">
        <w:rPr>
          <w:rFonts w:eastAsiaTheme="minorEastAsia"/>
          <w:b/>
          <w:bCs/>
          <w:kern w:val="2"/>
          <w:lang w:eastAsia="en-US"/>
          <w14:ligatures w14:val="standardContextual"/>
        </w:rPr>
        <w:t>e d)</w:t>
      </w:r>
      <w:r w:rsidR="009F342C">
        <w:rPr>
          <w:rFonts w:eastAsiaTheme="minorEastAsia"/>
          <w:kern w:val="2"/>
          <w:lang w:eastAsia="en-US"/>
          <w14:ligatures w14:val="standardContextual"/>
        </w:rPr>
        <w:t>,</w:t>
      </w:r>
      <w:r w:rsidRPr="00A87D8D" w:rsidR="009F342C">
        <w:rPr>
          <w:rFonts w:eastAsiaTheme="minorHAnsi"/>
          <w:kern w:val="2"/>
          <w14:ligatures w14:val="standardContextual"/>
        </w:rPr>
        <w:t xml:space="preserve"> </w:t>
      </w:r>
      <w:r w:rsidRPr="00A87D8D" w:rsidR="00C43750">
        <w:rPr>
          <w:rFonts w:eastAsiaTheme="minorHAnsi"/>
          <w:kern w:val="2"/>
          <w14:ligatures w14:val="standardContextual"/>
        </w:rPr>
        <w:t xml:space="preserve">introduce </w:t>
      </w:r>
      <w:r w:rsidRPr="003A6118" w:rsidR="008346FC">
        <w:rPr>
          <w:rFonts w:eastAsiaTheme="minorHAnsi"/>
          <w:kern w:val="2"/>
          <w14:ligatures w14:val="standardContextual"/>
        </w:rPr>
        <w:t>modifiche alla disciplina della l. n. 241</w:t>
      </w:r>
      <w:r w:rsidRPr="003A6118" w:rsidR="00AF0A19">
        <w:rPr>
          <w:rFonts w:eastAsiaTheme="minorHAnsi"/>
          <w:kern w:val="2"/>
          <w14:ligatures w14:val="standardContextual"/>
        </w:rPr>
        <w:t xml:space="preserve"> del 19</w:t>
      </w:r>
      <w:r w:rsidRPr="003A6118" w:rsidR="008346FC">
        <w:rPr>
          <w:rFonts w:eastAsiaTheme="minorHAnsi"/>
          <w:kern w:val="2"/>
          <w14:ligatures w14:val="standardContextual"/>
        </w:rPr>
        <w:t>90 e, in particolare, con riferimento ai regimi amministrativi della Segnalazione certificata di inizio attività (SCIA) e della Comunicazione.</w:t>
      </w:r>
      <w:r w:rsidR="00A87D8D">
        <w:rPr>
          <w:rFonts w:eastAsiaTheme="minorHAnsi"/>
          <w:kern w:val="2"/>
          <w14:ligatures w14:val="standardContextual"/>
        </w:rPr>
        <w:t xml:space="preserve"> </w:t>
      </w:r>
    </w:p>
    <w:p w:rsidR="00A87D8D" w:rsidRPr="00C133F6" w:rsidP="00C133F6" w14:paraId="60918E74" w14:textId="5F2E0CDE">
      <w:pPr>
        <w:tabs>
          <w:tab w:val="left" w:pos="1725"/>
        </w:tabs>
        <w:spacing w:after="120"/>
        <w:jc w:val="both"/>
        <w:rPr>
          <w:rFonts w:eastAsiaTheme="minorEastAsia"/>
          <w:b/>
          <w:color w:val="4C94D8" w:themeColor="text2" w:themeTint="80"/>
          <w:kern w:val="2"/>
          <w:lang w:eastAsia="en-US"/>
          <w14:ligatures w14:val="standardContextual"/>
        </w:rPr>
      </w:pPr>
      <w:r w:rsidRPr="00C133F6">
        <w:rPr>
          <w:rFonts w:eastAsiaTheme="minorEastAsia"/>
          <w:b/>
          <w:color w:val="4C94D8" w:themeColor="text2" w:themeTint="80"/>
          <w:kern w:val="2"/>
          <w:lang w:eastAsia="en-US"/>
          <w14:ligatures w14:val="standardContextual"/>
        </w:rPr>
        <w:t xml:space="preserve">Le previsioni di cui alle lettere c) e d) del comma 1 non determinano nuovi o più gravosi oneri a carico della finanza pubblica, atteso che </w:t>
      </w:r>
      <w:r w:rsidRPr="00C133F6" w:rsidR="00550A77">
        <w:rPr>
          <w:rFonts w:eastAsiaTheme="minorEastAsia"/>
          <w:b/>
          <w:color w:val="4C94D8" w:themeColor="text2" w:themeTint="80"/>
          <w:kern w:val="2"/>
          <w:lang w:eastAsia="en-US"/>
          <w14:ligatures w14:val="standardContextual"/>
        </w:rPr>
        <w:t xml:space="preserve">introducono </w:t>
      </w:r>
      <w:r w:rsidRPr="00C133F6" w:rsidR="00E734F0">
        <w:rPr>
          <w:rFonts w:eastAsiaTheme="minorEastAsia"/>
          <w:b/>
          <w:color w:val="4C94D8" w:themeColor="text2" w:themeTint="80"/>
          <w:kern w:val="2"/>
          <w:lang w:eastAsia="en-US"/>
          <w14:ligatures w14:val="standardContextual"/>
        </w:rPr>
        <w:t>mere modifiche di natura procedimentale, prive di e</w:t>
      </w:r>
      <w:r w:rsidRPr="00C133F6" w:rsidR="007649F1">
        <w:rPr>
          <w:rFonts w:eastAsiaTheme="minorEastAsia"/>
          <w:b/>
          <w:color w:val="4C94D8" w:themeColor="text2" w:themeTint="80"/>
          <w:kern w:val="2"/>
          <w:lang w:eastAsia="en-US"/>
          <w14:ligatures w14:val="standardContextual"/>
        </w:rPr>
        <w:t>ffetti finanziari negativi sull</w:t>
      </w:r>
      <w:r w:rsidRPr="00C133F6" w:rsidR="00CB5F82">
        <w:rPr>
          <w:rFonts w:eastAsiaTheme="minorEastAsia"/>
          <w:b/>
          <w:color w:val="4C94D8" w:themeColor="text2" w:themeTint="80"/>
          <w:kern w:val="2"/>
          <w:lang w:eastAsia="en-US"/>
          <w14:ligatures w14:val="standardContextual"/>
        </w:rPr>
        <w:t xml:space="preserve">e risorse erariali. </w:t>
      </w:r>
    </w:p>
    <w:p w:rsidR="00433DD8" w:rsidP="00433DD8" w14:paraId="4A7D660A" w14:textId="7BBD9F5C">
      <w:pPr>
        <w:spacing w:after="120"/>
        <w:jc w:val="both"/>
        <w:rPr>
          <w:rFonts w:eastAsiaTheme="majorEastAsia"/>
          <w:b/>
          <w:szCs w:val="28"/>
        </w:rPr>
      </w:pPr>
      <w:r w:rsidRPr="00591A87">
        <w:t xml:space="preserve">Il </w:t>
      </w:r>
      <w:r w:rsidRPr="00591A87">
        <w:rPr>
          <w:b/>
          <w:bCs/>
          <w:u w:val="single"/>
        </w:rPr>
        <w:t>comma 2</w:t>
      </w:r>
      <w:r w:rsidRPr="00591A87">
        <w:t xml:space="preserve"> reca </w:t>
      </w:r>
      <w:r w:rsidRPr="00591A87">
        <w:t xml:space="preserve">misure urgenti di semplificazione del regime amministrativo delle insegne di esercizio. In particolare, si prevede che, fino alla data dell’emanazione del decreto legislativo di attuazione della delega di cui all’articolo 35, comma 4, lettera n), della legge </w:t>
      </w:r>
      <w:r w:rsidRPr="003A6118">
        <w:t>n.</w:t>
      </w:r>
      <w:r w:rsidRPr="00591A87">
        <w:t xml:space="preserve"> 177</w:t>
      </w:r>
      <w:r w:rsidR="002F7FF2">
        <w:t xml:space="preserve"> del 2024</w:t>
      </w:r>
      <w:r w:rsidRPr="00591A87">
        <w:t xml:space="preserve">, la collocazione di insegne di esercizio di cui all’articolo 23 decreto legislativo </w:t>
      </w:r>
      <w:r w:rsidRPr="003A6118">
        <w:t>n.</w:t>
      </w:r>
      <w:r w:rsidRPr="00591A87">
        <w:t xml:space="preserve"> 285</w:t>
      </w:r>
      <w:r w:rsidR="002F7FF2">
        <w:t xml:space="preserve"> del 1992</w:t>
      </w:r>
      <w:r w:rsidRPr="00591A87">
        <w:t xml:space="preserve">, recante il Nuovo codice della strada, </w:t>
      </w:r>
      <w:r w:rsidRPr="00591A87" w:rsidR="00085CAF">
        <w:t>lungo le strade, anche su suolo privato, o in vista di esse – ad eccezione delle isole di traffico delle intersezioni canalizzate, ove è vietata la posa di qualunque installazione diversa dalla prescritta segnaletica –</w:t>
      </w:r>
      <w:r w:rsidRPr="00591A87" w:rsidR="007C0D44">
        <w:t xml:space="preserve"> </w:t>
      </w:r>
      <w:r w:rsidRPr="00591A87">
        <w:t xml:space="preserve">è subordinata alla presentazione della segnalazione certificata di inizio attività (SCIA) allo sportello unico per le attività produttive (SUAP) del Comune ove è svolta l’attività, fermo restando il rispetto dei requisiti di cui al comma 1 del predetto articolo 23, nonché dei requisiti e criteri previsti </w:t>
      </w:r>
      <w:r w:rsidRPr="00591A87" w:rsidR="00820AAE">
        <w:t xml:space="preserve">Regolamento di esecuzione e di attuazione del nuovo codice della strada, </w:t>
      </w:r>
      <w:r w:rsidRPr="00591A87">
        <w:t>dai regolamenti comunali o dell’ente proprietario della st</w:t>
      </w:r>
      <w:r w:rsidRPr="003A6118">
        <w:t xml:space="preserve">rada. Si prevede altresì che la predetta SCIA deve essere corredata da un’asseverazione del tecnico abilitato e che, qualora l’ente proprietario della strada non sia il Comune, il SUAP del Comune deve inviare immediatamente la SCIA agli enti interessati, </w:t>
      </w:r>
      <w:r w:rsidRPr="003A6118">
        <w:rPr>
          <w:rFonts w:eastAsia="Calibri"/>
        </w:rPr>
        <w:t>al fine di consentire il controllo sulla sussistenza dei requisiti e dei presupposti per lo svolgimento dell'attività e la presentazione, almeno cinque giorni prima della scadenza del termine di sessanta giorni dal ricevimento della SCIA da parte del SUAP, di eventuali proposte motivate per l’adozione dei provvedimenti ivi previsti. S</w:t>
      </w:r>
      <w:r w:rsidRPr="003A6118">
        <w:t xml:space="preserve">ono fatte salve le prescrizioni specifiche per le aree sottoposte a vincolo storico-artistico o paesaggistico, per le quali permane il vincolo dell’autorizzazione. </w:t>
      </w:r>
      <w:r w:rsidRPr="003A6118">
        <w:rPr>
          <w:rFonts w:eastAsiaTheme="majorEastAsia"/>
          <w:b/>
          <w:szCs w:val="28"/>
        </w:rPr>
        <w:t xml:space="preserve"> </w:t>
      </w:r>
    </w:p>
    <w:p w:rsidR="004D7AAA" w:rsidRPr="009632CC" w:rsidP="00433DD8" w14:paraId="14063F4D" w14:textId="5AE553A0">
      <w:pPr>
        <w:spacing w:after="120"/>
        <w:jc w:val="both"/>
        <w:rPr>
          <w:rFonts w:eastAsiaTheme="majorEastAsia"/>
          <w:b/>
          <w:color w:val="FF0000"/>
          <w:szCs w:val="28"/>
        </w:rPr>
      </w:pPr>
      <w:r w:rsidRPr="00487EC6">
        <w:rPr>
          <w:rFonts w:eastAsiaTheme="majorEastAsia"/>
          <w:b/>
        </w:rPr>
        <w:t>Le disposizioni di cui al comma 2 hanno carattere di semplificazione procedimentale e, pertanto, non determinano nuovi o maggiori oneri a carico della finanza pubblica; al contrario, le stesse appaiono suscettibili di generare risparmi di finanza pubblica per effetto del passaggio dal regime autorizzatorio a quello della SCIA.</w:t>
      </w:r>
    </w:p>
    <w:p w:rsidR="00853309" w:rsidP="00433DD8" w14:paraId="2886B180" w14:textId="77777777">
      <w:pPr>
        <w:spacing w:after="120"/>
        <w:jc w:val="both"/>
        <w:rPr>
          <w:rFonts w:eastAsiaTheme="majorEastAsia"/>
          <w:b/>
        </w:rPr>
      </w:pPr>
    </w:p>
    <w:p w:rsidR="00853309" w:rsidRPr="00AB19E7" w:rsidP="00AB19E7" w14:paraId="013D31AF" w14:textId="0BDEE7B3">
      <w:pPr>
        <w:pStyle w:val="Heading3"/>
        <w:spacing w:before="0" w:after="120"/>
        <w:ind w:left="-142" w:firstLine="142"/>
        <w:rPr>
          <w:rFonts w:cs="Times New Roman"/>
        </w:rPr>
      </w:pPr>
      <w:bookmarkStart w:id="20" w:name="_Toc217379835"/>
      <w:bookmarkStart w:id="21" w:name="_Toc220077550"/>
      <w:r w:rsidRPr="00AB19E7">
        <w:rPr>
          <w:rFonts w:cs="Times New Roman"/>
        </w:rPr>
        <w:t xml:space="preserve">ART. 6                                                                                                                                                                                                                                                     </w:t>
      </w:r>
      <w:r w:rsidRPr="00AB19E7">
        <w:rPr>
          <w:rFonts w:cs="Times New Roman"/>
        </w:rPr>
        <w:t xml:space="preserve">   (</w:t>
      </w:r>
      <w:r w:rsidRPr="00AB19E7">
        <w:rPr>
          <w:rFonts w:cs="Times New Roman"/>
        </w:rPr>
        <w:t>Misure di semplificazione in favore dei cittadini e dei consumatori)</w:t>
      </w:r>
      <w:bookmarkEnd w:id="20"/>
      <w:bookmarkEnd w:id="21"/>
    </w:p>
    <w:p w:rsidR="00E73200" w:rsidRPr="00E73200" w:rsidP="00433DD8" w14:paraId="5903B4D4" w14:textId="77777777">
      <w:pPr>
        <w:spacing w:after="120"/>
        <w:jc w:val="both"/>
      </w:pPr>
      <w:r w:rsidRPr="00E73200">
        <w:t xml:space="preserve">L’intervento prevede misure di semplificazione in favore dei cittadini e dei consumatori. </w:t>
      </w:r>
    </w:p>
    <w:p w:rsidR="002644D8" w:rsidRPr="00E73200" w:rsidP="00433DD8" w14:paraId="0359DCA8" w14:textId="39DDAB76">
      <w:pPr>
        <w:spacing w:after="120"/>
        <w:jc w:val="both"/>
        <w:rPr>
          <w:color w:val="FF0000"/>
        </w:rPr>
      </w:pPr>
      <w:r w:rsidRPr="00E73200">
        <w:t>In particolare, i</w:t>
      </w:r>
      <w:r>
        <w:t xml:space="preserve">l </w:t>
      </w:r>
      <w:r w:rsidRPr="00E73200" w:rsidR="00264141">
        <w:rPr>
          <w:b/>
          <w:bCs/>
          <w:u w:val="single"/>
        </w:rPr>
        <w:t xml:space="preserve">comma </w:t>
      </w:r>
      <w:r w:rsidRPr="00E73200" w:rsidR="00853309">
        <w:rPr>
          <w:b/>
          <w:bCs/>
          <w:u w:val="single"/>
        </w:rPr>
        <w:t>1</w:t>
      </w:r>
      <w:r w:rsidRPr="00E73200" w:rsidR="00264141">
        <w:t xml:space="preserve"> prevede che scuole, università, comuni (e altre amministrazioni pubbliche) siano tenut</w:t>
      </w:r>
      <w:r w:rsidRPr="00E73200" w:rsidR="002530F9">
        <w:t>i</w:t>
      </w:r>
      <w:r w:rsidRPr="00E73200" w:rsidR="00264141">
        <w:t xml:space="preserve"> ad acquisire d’ufficio i dati ISEE per via telematica dall’INP</w:t>
      </w:r>
      <w:r w:rsidRPr="00E73200" w:rsidR="00FF3576">
        <w:t>S, l</w:t>
      </w:r>
      <w:r w:rsidRPr="00E73200" w:rsidR="00264141">
        <w:t xml:space="preserve">’accesso ai </w:t>
      </w:r>
      <w:r w:rsidRPr="00E73200" w:rsidR="00FF3576">
        <w:t xml:space="preserve">quali </w:t>
      </w:r>
      <w:r w:rsidRPr="00E73200" w:rsidR="00264141">
        <w:t xml:space="preserve">avviene in modo interoperabile attraverso </w:t>
      </w:r>
      <w:r w:rsidRPr="00E73200" w:rsidR="00A02386">
        <w:t>i</w:t>
      </w:r>
      <w:r w:rsidRPr="00E73200" w:rsidR="00264141">
        <w:t xml:space="preserve"> sistemi informativi </w:t>
      </w:r>
      <w:r w:rsidRPr="00E73200" w:rsidR="00EC057A">
        <w:t>già in uso alle</w:t>
      </w:r>
      <w:r w:rsidRPr="00E73200" w:rsidR="00264141">
        <w:t xml:space="preserve"> amministrazioni</w:t>
      </w:r>
      <w:r w:rsidRPr="00E73200" w:rsidR="00EC057A">
        <w:t xml:space="preserve"> coinvolte</w:t>
      </w:r>
      <w:r w:rsidRPr="00E73200" w:rsidR="00FF3576">
        <w:t>.</w:t>
      </w:r>
      <w:r w:rsidRPr="00E73200" w:rsidR="00FF3576">
        <w:rPr>
          <w:b/>
          <w:bCs/>
        </w:rPr>
        <w:t xml:space="preserve"> </w:t>
      </w:r>
      <w:r w:rsidRPr="65CB6BA5" w:rsidR="00FF3576">
        <w:rPr>
          <w:b/>
          <w:color w:val="0070C0"/>
        </w:rPr>
        <w:t>P</w:t>
      </w:r>
      <w:r w:rsidRPr="65CB6BA5" w:rsidR="00264141">
        <w:rPr>
          <w:b/>
          <w:color w:val="0070C0"/>
        </w:rPr>
        <w:t>ertanto,</w:t>
      </w:r>
      <w:r w:rsidRPr="65CB6BA5" w:rsidR="00FF3576">
        <w:rPr>
          <w:b/>
          <w:color w:val="0070C0"/>
        </w:rPr>
        <w:t xml:space="preserve"> la disposizione in esame</w:t>
      </w:r>
      <w:r w:rsidRPr="65CB6BA5" w:rsidR="00264141">
        <w:rPr>
          <w:b/>
          <w:color w:val="0070C0"/>
        </w:rPr>
        <w:t xml:space="preserve"> non comporta nuovi o maggiori oneri per la finanza pubblica</w:t>
      </w:r>
      <w:r w:rsidRPr="65CB6BA5" w:rsidR="00DB2833">
        <w:rPr>
          <w:b/>
          <w:color w:val="0070C0"/>
        </w:rPr>
        <w:t xml:space="preserve"> in quanto le attività previste sono svolte </w:t>
      </w:r>
      <w:r w:rsidRPr="65CB6BA5" w:rsidR="00DB2833">
        <w:rPr>
          <w:rFonts w:eastAsiaTheme="majorEastAsia"/>
          <w:b/>
          <w:color w:val="0070C0"/>
        </w:rPr>
        <w:t>nell’ambito delle risorse umane, strumentali e finanziarie disponibili a legislazione vigente</w:t>
      </w:r>
      <w:r w:rsidRPr="65CB6BA5" w:rsidR="00264141">
        <w:rPr>
          <w:b/>
          <w:color w:val="0070C0"/>
        </w:rPr>
        <w:t>.</w:t>
      </w:r>
      <w:r w:rsidRPr="65CB6BA5" w:rsidR="3C359AF3">
        <w:rPr>
          <w:b/>
          <w:color w:val="0070C0"/>
        </w:rPr>
        <w:t xml:space="preserve"> </w:t>
      </w:r>
      <w:r w:rsidRPr="65CB6BA5" w:rsidR="00324155">
        <w:rPr>
          <w:b/>
          <w:color w:val="0070C0"/>
        </w:rPr>
        <w:t>In particolare, p</w:t>
      </w:r>
      <w:r w:rsidRPr="65CB6BA5" w:rsidR="3C359AF3">
        <w:rPr>
          <w:b/>
          <w:color w:val="0070C0"/>
        </w:rPr>
        <w:t>er quanto di competenza del Ministero dell’università e della ricerca, si rappresenta che l’attuaz</w:t>
      </w:r>
      <w:r w:rsidRPr="65CB6BA5" w:rsidR="60B4F7FD">
        <w:rPr>
          <w:b/>
          <w:color w:val="0070C0"/>
        </w:rPr>
        <w:t xml:space="preserve">ione della disposizione in esame </w:t>
      </w:r>
      <w:r w:rsidRPr="65CB6BA5" w:rsidR="3C359AF3">
        <w:rPr>
          <w:b/>
          <w:color w:val="0070C0"/>
        </w:rPr>
        <w:t>non necessita di nuove assunzioni di personale né di nuove e ulteriori strutture tecniche. Al contrario, la disposizione è suscettibile di determinare effetti positivi, riducendo il rischio di concessioni di borse di studio ed altre prestazioni agevolate in favore di non aventi diritto, sulla base di dichiarazioni non veritiere, potendo le istituzioni universitarie e dell’alta formazione verificare direttamente i dati ISEE dichiarati dagli iscritti accedendo d’ufficio alla piattaforma digitale nazionale dati (PDND)</w:t>
      </w:r>
      <w:r w:rsidRPr="65CB6BA5" w:rsidR="3C359AF3">
        <w:rPr>
          <w:rFonts w:ascii="Aptos" w:eastAsia="Aptos" w:hAnsi="Aptos" w:cs="Aptos"/>
          <w:b/>
          <w:color w:val="0070C0"/>
          <w:sz w:val="28"/>
          <w:szCs w:val="28"/>
        </w:rPr>
        <w:t>.</w:t>
      </w:r>
    </w:p>
    <w:p w:rsidR="009A2DA4" w:rsidRPr="00E73200" w:rsidP="00433DD8" w14:paraId="410170C5" w14:textId="53BABD83">
      <w:pPr>
        <w:spacing w:after="120"/>
        <w:jc w:val="both"/>
        <w:rPr>
          <w:rFonts w:eastAsiaTheme="majorEastAsia"/>
          <w:b/>
        </w:rPr>
      </w:pPr>
      <w:r>
        <w:t>I</w:t>
      </w:r>
      <w:r w:rsidR="51A1CFE0">
        <w:t>l</w:t>
      </w:r>
      <w:r>
        <w:t xml:space="preserve"> </w:t>
      </w:r>
      <w:r w:rsidRPr="00F21E74">
        <w:rPr>
          <w:b/>
          <w:bCs/>
          <w:u w:val="single"/>
        </w:rPr>
        <w:t>comm</w:t>
      </w:r>
      <w:r w:rsidRPr="00F21E74" w:rsidR="678F14AC">
        <w:rPr>
          <w:b/>
          <w:bCs/>
          <w:u w:val="single"/>
        </w:rPr>
        <w:t>a</w:t>
      </w:r>
      <w:r w:rsidRPr="00F21E74" w:rsidR="00B41381">
        <w:rPr>
          <w:b/>
          <w:bCs/>
          <w:u w:val="single"/>
        </w:rPr>
        <w:t xml:space="preserve"> </w:t>
      </w:r>
      <w:r w:rsidRPr="00F21E74" w:rsidR="00853309">
        <w:rPr>
          <w:b/>
          <w:bCs/>
          <w:u w:val="single"/>
        </w:rPr>
        <w:t>2</w:t>
      </w:r>
      <w:r w:rsidRPr="00E73200" w:rsidR="00B41381">
        <w:t xml:space="preserve"> </w:t>
      </w:r>
      <w:r w:rsidR="502E8F73">
        <w:t>modifica</w:t>
      </w:r>
      <w:r w:rsidRPr="00E73200" w:rsidR="00342123">
        <w:t xml:space="preserve"> la disciplina</w:t>
      </w:r>
      <w:r w:rsidRPr="00E73200" w:rsidR="00B41381">
        <w:t xml:space="preserve"> </w:t>
      </w:r>
      <w:r w:rsidRPr="00E73200">
        <w:t>della validità</w:t>
      </w:r>
      <w:r w:rsidRPr="00E73200" w:rsidR="00B41381">
        <w:t xml:space="preserve"> della carta d’identità elettronica (CIE) </w:t>
      </w:r>
      <w:r w:rsidRPr="00E73200">
        <w:t xml:space="preserve">da rilasciare </w:t>
      </w:r>
      <w:r w:rsidRPr="00E73200" w:rsidR="00B41381">
        <w:t>agli ultrasettantenni</w:t>
      </w:r>
      <w:r w:rsidRPr="00E73200" w:rsidR="00C66345">
        <w:t>, con l’obiettivo di semplificare gli adempimenti per gli anziani, ridurre disagi e oneri amministrativi e alleggerire il lavoro dei Comuni, in linea con i principi di semplificazione e proporzionalità.</w:t>
      </w:r>
    </w:p>
    <w:p w:rsidR="009A2DA4" w:rsidRPr="00E73200" w:rsidP="00433DD8" w14:paraId="6DF5D43E" w14:textId="57759E9C">
      <w:pPr>
        <w:spacing w:after="120"/>
        <w:jc w:val="both"/>
      </w:pPr>
      <w:r>
        <w:t>In particolare,</w:t>
      </w:r>
      <w:r w:rsidR="43A10672">
        <w:t xml:space="preserve"> il</w:t>
      </w:r>
      <w:r w:rsidR="00B41381">
        <w:t xml:space="preserve"> comma </w:t>
      </w:r>
      <w:r w:rsidR="00853309">
        <w:t>2</w:t>
      </w:r>
      <w:r w:rsidR="00B41381">
        <w:t xml:space="preserve"> stabilisce che, per chi ha almeno 70 anni</w:t>
      </w:r>
      <w:r>
        <w:t xml:space="preserve"> al momento del rilascio</w:t>
      </w:r>
      <w:r w:rsidR="00B41381">
        <w:t>, l</w:t>
      </w:r>
      <w:r w:rsidR="00A836C5">
        <w:t>e</w:t>
      </w:r>
      <w:r w:rsidR="00B41381">
        <w:t xml:space="preserve"> </w:t>
      </w:r>
      <w:r w:rsidR="00C72B5E">
        <w:t>carte d’identità</w:t>
      </w:r>
      <w:r w:rsidRPr="4EB900D3" w:rsidR="00B41381">
        <w:rPr>
          <w:color w:val="000000" w:themeColor="text1"/>
        </w:rPr>
        <w:t xml:space="preserve"> </w:t>
      </w:r>
      <w:r w:rsidRPr="4EB900D3" w:rsidR="00C72B5E">
        <w:rPr>
          <w:color w:val="000000" w:themeColor="text1"/>
        </w:rPr>
        <w:t xml:space="preserve">emesse </w:t>
      </w:r>
      <w:r w:rsidRPr="4EB900D3" w:rsidR="6AA89C56">
        <w:rPr>
          <w:color w:val="000000" w:themeColor="text1"/>
        </w:rPr>
        <w:t xml:space="preserve">a </w:t>
      </w:r>
      <w:r w:rsidR="6AA89C56">
        <w:t xml:space="preserve">decorrere </w:t>
      </w:r>
      <w:r w:rsidRPr="4EB900D3" w:rsidR="6AA89C56">
        <w:rPr>
          <w:b/>
          <w:bCs/>
        </w:rPr>
        <w:t>dal 30 luglio 2026</w:t>
      </w:r>
      <w:r w:rsidR="6AA89C56">
        <w:t xml:space="preserve"> </w:t>
      </w:r>
      <w:r w:rsidR="00B41381">
        <w:t>abbia</w:t>
      </w:r>
      <w:r w:rsidR="006A5F61">
        <w:t>no</w:t>
      </w:r>
      <w:r w:rsidR="52466C5C">
        <w:t xml:space="preserve"> una</w:t>
      </w:r>
      <w:r w:rsidR="00B41381">
        <w:t xml:space="preserve"> </w:t>
      </w:r>
      <w:r w:rsidRPr="4EB900D3" w:rsidR="00B41381">
        <w:rPr>
          <w:color w:val="000000" w:themeColor="text1"/>
        </w:rPr>
        <w:t>validità</w:t>
      </w:r>
      <w:r w:rsidRPr="4EB900D3" w:rsidR="510F254C">
        <w:rPr>
          <w:color w:val="000000" w:themeColor="text1"/>
        </w:rPr>
        <w:t xml:space="preserve"> </w:t>
      </w:r>
      <w:r w:rsidRPr="4EB900D3" w:rsidR="00B41381">
        <w:rPr>
          <w:color w:val="000000" w:themeColor="text1"/>
        </w:rPr>
        <w:t xml:space="preserve"> </w:t>
      </w:r>
      <w:r w:rsidRPr="4EB900D3" w:rsidR="00B41381">
        <w:rPr>
          <w:strike/>
          <w:color w:val="FF0000"/>
        </w:rPr>
        <w:t>cinquantennale</w:t>
      </w:r>
      <w:r w:rsidRPr="4EB900D3" w:rsidR="609D0070">
        <w:rPr>
          <w:color w:val="FF0000"/>
        </w:rPr>
        <w:t xml:space="preserve"> </w:t>
      </w:r>
      <w:r w:rsidRPr="005662BD" w:rsidR="6B118A8C">
        <w:rPr>
          <w:b/>
          <w:bCs/>
          <w:color w:val="00B050"/>
          <w:highlight w:val="lightGray"/>
        </w:rPr>
        <w:t>temporale</w:t>
      </w:r>
      <w:r w:rsidRPr="005662BD" w:rsidR="6B118A8C">
        <w:rPr>
          <w:b/>
          <w:bCs/>
          <w:color w:val="00B050"/>
        </w:rPr>
        <w:t xml:space="preserve"> </w:t>
      </w:r>
      <w:r w:rsidRPr="005662BD" w:rsidR="609D0070">
        <w:rPr>
          <w:b/>
          <w:bCs/>
          <w:color w:val="00B050"/>
          <w:highlight w:val="lightGray"/>
        </w:rPr>
        <w:t>illimitata</w:t>
      </w:r>
      <w:r w:rsidRPr="005662BD" w:rsidR="00B41381">
        <w:rPr>
          <w:color w:val="00B050"/>
        </w:rPr>
        <w:t xml:space="preserve"> </w:t>
      </w:r>
      <w:r w:rsidR="00B41381">
        <w:t>e sia</w:t>
      </w:r>
      <w:r w:rsidR="006A5F61">
        <w:t>no</w:t>
      </w:r>
      <w:r w:rsidR="00B41381">
        <w:t xml:space="preserve"> valid</w:t>
      </w:r>
      <w:r w:rsidR="006A5F61">
        <w:t>e</w:t>
      </w:r>
      <w:r w:rsidR="00B41381">
        <w:t xml:space="preserve"> per l’espatrio,</w:t>
      </w:r>
      <w:r>
        <w:t xml:space="preserve"> pur potendo l’</w:t>
      </w:r>
      <w:r w:rsidR="00B41381">
        <w:t>interessato chiedere</w:t>
      </w:r>
      <w:r>
        <w:t xml:space="preserve"> sempre</w:t>
      </w:r>
      <w:r w:rsidR="00B41381">
        <w:t xml:space="preserve"> un rinnovo dopo dieci anni per esigenze legate al certificato di autenticazione. </w:t>
      </w:r>
    </w:p>
    <w:p w:rsidR="00433DD8" w:rsidRPr="00E71AA8" w:rsidP="00987C41" w14:paraId="590B2F4C" w14:textId="0F6F0915">
      <w:pPr>
        <w:spacing w:after="120"/>
        <w:jc w:val="both"/>
        <w:rPr>
          <w:rFonts w:eastAsiaTheme="majorEastAsia"/>
          <w:b/>
          <w:color w:val="4C94D8" w:themeColor="text2" w:themeTint="80"/>
          <w:highlight w:val="yellow"/>
        </w:rPr>
      </w:pPr>
      <w:r w:rsidRPr="4CF5AFC4">
        <w:rPr>
          <w:rFonts w:eastAsiaTheme="majorEastAsia"/>
          <w:b/>
          <w:bCs/>
        </w:rPr>
        <w:t>La disposizione</w:t>
      </w:r>
      <w:r w:rsidRPr="4CF5AFC4" w:rsidR="40023916">
        <w:rPr>
          <w:rFonts w:eastAsiaTheme="majorEastAsia"/>
          <w:b/>
          <w:bCs/>
        </w:rPr>
        <w:t xml:space="preserve"> </w:t>
      </w:r>
      <w:r w:rsidR="008911B9">
        <w:rPr>
          <w:rFonts w:eastAsiaTheme="majorEastAsia"/>
          <w:b/>
          <w:bCs/>
        </w:rPr>
        <w:t>non</w:t>
      </w:r>
      <w:r w:rsidRPr="6A90EF08" w:rsidR="007D2729">
        <w:rPr>
          <w:rFonts w:eastAsiaTheme="majorEastAsia"/>
          <w:b/>
        </w:rPr>
        <w:t xml:space="preserve"> </w:t>
      </w:r>
      <w:r w:rsidRPr="4CF5AFC4" w:rsidR="45D5029B">
        <w:rPr>
          <w:rFonts w:eastAsiaTheme="majorEastAsia"/>
          <w:b/>
          <w:bCs/>
        </w:rPr>
        <w:t>comporta</w:t>
      </w:r>
      <w:r w:rsidR="008911B9">
        <w:rPr>
          <w:rFonts w:eastAsiaTheme="majorEastAsia"/>
          <w:b/>
          <w:bCs/>
        </w:rPr>
        <w:t xml:space="preserve"> </w:t>
      </w:r>
      <w:r w:rsidRPr="6A90EF08" w:rsidR="007D2729">
        <w:rPr>
          <w:rFonts w:eastAsiaTheme="majorEastAsia"/>
          <w:b/>
        </w:rPr>
        <w:t xml:space="preserve">nuovi o </w:t>
      </w:r>
      <w:r w:rsidR="008911B9">
        <w:rPr>
          <w:rFonts w:eastAsiaTheme="majorEastAsia"/>
          <w:b/>
        </w:rPr>
        <w:t>maggiori oneri</w:t>
      </w:r>
      <w:r w:rsidRPr="6A90EF08" w:rsidR="007D2729">
        <w:rPr>
          <w:rFonts w:eastAsiaTheme="majorEastAsia"/>
          <w:b/>
        </w:rPr>
        <w:t xml:space="preserve"> a carico della finanza pubblica</w:t>
      </w:r>
      <w:r w:rsidRPr="6A90EF08" w:rsidR="00E557CD">
        <w:rPr>
          <w:rFonts w:eastAsiaTheme="majorEastAsia"/>
          <w:b/>
        </w:rPr>
        <w:t xml:space="preserve">. </w:t>
      </w:r>
      <w:r w:rsidRPr="00E71AA8" w:rsidR="00E17DAC">
        <w:rPr>
          <w:rFonts w:eastAsiaTheme="majorEastAsia"/>
          <w:b/>
          <w:color w:val="4C94D8" w:themeColor="text2" w:themeTint="80"/>
        </w:rPr>
        <w:t xml:space="preserve">La decorrenza fissata al 30 luglio 2026 per l’emissione delle carte di identità elettroniche con validità cinquantennale in favore dei cittadini che abbiano compiuto settanta anni alla data del rilascio tiene conto delle tempistiche tecniche </w:t>
      </w:r>
      <w:r w:rsidRPr="00E71AA8" w:rsidR="00EC626F">
        <w:rPr>
          <w:rFonts w:eastAsiaTheme="majorEastAsia"/>
          <w:b/>
          <w:color w:val="4C94D8" w:themeColor="text2" w:themeTint="80"/>
        </w:rPr>
        <w:t>necessarie all’</w:t>
      </w:r>
      <w:r w:rsidRPr="00E71AA8" w:rsidR="00E17DAC">
        <w:rPr>
          <w:rFonts w:eastAsiaTheme="majorEastAsia"/>
          <w:b/>
          <w:color w:val="4C94D8" w:themeColor="text2" w:themeTint="80"/>
        </w:rPr>
        <w:t>adeguamento dei sistemi di produzione della CIE</w:t>
      </w:r>
      <w:r w:rsidRPr="00E71AA8" w:rsidR="00EC626F">
        <w:rPr>
          <w:rFonts w:eastAsiaTheme="majorEastAsia"/>
          <w:b/>
          <w:color w:val="4C94D8" w:themeColor="text2" w:themeTint="80"/>
        </w:rPr>
        <w:t xml:space="preserve">. </w:t>
      </w:r>
      <w:r w:rsidRPr="00E71AA8" w:rsidR="00524550">
        <w:rPr>
          <w:rFonts w:eastAsiaTheme="majorEastAsia"/>
          <w:b/>
          <w:color w:val="4C94D8" w:themeColor="text2" w:themeTint="80"/>
        </w:rPr>
        <w:t xml:space="preserve"> </w:t>
      </w:r>
      <w:r w:rsidRPr="00E71AA8" w:rsidR="00874ECD">
        <w:rPr>
          <w:rFonts w:eastAsiaTheme="majorEastAsia"/>
          <w:b/>
          <w:color w:val="4C94D8" w:themeColor="text2" w:themeTint="80"/>
        </w:rPr>
        <w:t>In proposito, l’Istituto Poligrafico e Zecca dello Stato S.p.A. (IPZS) ha rappresentato che tali adeguamenti potranno essere realizzati mediante una ripianificazione delle attività già programmate con il Ministero dell’interno e, pertanto, senza necessità di risorse aggiuntive.</w:t>
      </w:r>
    </w:p>
    <w:p w:rsidR="00D00267" w:rsidRPr="00D00267" w:rsidP="00D00267" w14:paraId="08C98FD2" w14:textId="0858227B">
      <w:pPr>
        <w:spacing w:after="120"/>
        <w:jc w:val="both"/>
      </w:pPr>
      <w:r w:rsidRPr="45FC919A">
        <w:rPr>
          <w:rFonts w:eastAsiaTheme="majorEastAsia"/>
          <w:b/>
        </w:rPr>
        <w:t xml:space="preserve">Il </w:t>
      </w:r>
      <w:r w:rsidRPr="45FC919A">
        <w:rPr>
          <w:rFonts w:eastAsiaTheme="majorEastAsia"/>
          <w:b/>
          <w:u w:val="single"/>
        </w:rPr>
        <w:t xml:space="preserve">comma </w:t>
      </w:r>
      <w:r w:rsidRPr="10D8B275" w:rsidR="1F229B6F">
        <w:rPr>
          <w:rFonts w:eastAsiaTheme="majorEastAsia"/>
          <w:b/>
          <w:bCs/>
          <w:u w:val="single"/>
        </w:rPr>
        <w:t>3</w:t>
      </w:r>
      <w:r w:rsidRPr="6A90EF08">
        <w:rPr>
          <w:rFonts w:eastAsiaTheme="majorEastAsia"/>
          <w:b/>
          <w:u w:val="single"/>
        </w:rPr>
        <w:t xml:space="preserve"> </w:t>
      </w:r>
      <w:r>
        <w:t>introduce</w:t>
      </w:r>
      <w:r w:rsidRPr="00D00267">
        <w:t xml:space="preserve"> una ulteriore modalità di rilascio della tessera elettorale in aggiunta al rilascio da parte del Comune</w:t>
      </w:r>
      <w:r>
        <w:t>. A tal fine, viene introdotto il nuovo art</w:t>
      </w:r>
      <w:r w:rsidR="7A7E6E16">
        <w:t>icolo</w:t>
      </w:r>
      <w:r>
        <w:t xml:space="preserve"> 13-bis a</w:t>
      </w:r>
      <w:r w:rsidRPr="00D00267">
        <w:t xml:space="preserve">lla legge 30 aprile 1999, n. </w:t>
      </w:r>
      <w:r>
        <w:t xml:space="preserve">120, che prevede </w:t>
      </w:r>
      <w:r w:rsidR="0E181676">
        <w:t xml:space="preserve">al comma 1 </w:t>
      </w:r>
      <w:r>
        <w:t>che</w:t>
      </w:r>
      <w:r w:rsidR="7BCD2B2E">
        <w:t xml:space="preserve"> la tessera elettorale possa essere rilasciata in modalità digitale sulla base dei dati integrati nel</w:t>
      </w:r>
      <w:r w:rsidR="07FA1AB1">
        <w:t>l’</w:t>
      </w:r>
      <w:r>
        <w:t>ANPR (Anagrafe nazionale della popolazione residente)</w:t>
      </w:r>
      <w:r w:rsidR="522197F2">
        <w:t>. Il</w:t>
      </w:r>
      <w:r>
        <w:t xml:space="preserve"> </w:t>
      </w:r>
      <w:r w:rsidR="00393039">
        <w:t xml:space="preserve">successivo </w:t>
      </w:r>
      <w:r>
        <w:t>comma 2</w:t>
      </w:r>
      <w:r w:rsidR="5677D499">
        <w:t xml:space="preserve"> prevede che con uno o pi</w:t>
      </w:r>
      <w:r w:rsidR="78F3E434">
        <w:t>ù</w:t>
      </w:r>
      <w:r w:rsidR="5677D499">
        <w:t xml:space="preserve"> decreti del Ministro dell’interno siano definite le caratteristiche tecniche della tessera elettorale in formato digitale</w:t>
      </w:r>
      <w:r w:rsidR="3C7A3E17">
        <w:t xml:space="preserve">, </w:t>
      </w:r>
      <w:r w:rsidRPr="10D8B275" w:rsidR="2B5DE468">
        <w:rPr>
          <w:color w:val="000000" w:themeColor="text1"/>
        </w:rPr>
        <w:t>l’eventuale confluenza nel portafoglio digitale italiano (Sistema IT-Wallet) e le modalità di utilizzo digitale ovvero le modalità di utilizzo della copia analogica esclusivamente presso il seggio di iscrizione dell’elettore.</w:t>
      </w:r>
    </w:p>
    <w:p w:rsidR="008F13EF" w:rsidP="008F13EF" w14:paraId="4E67A232" w14:textId="77777777">
      <w:pPr>
        <w:spacing w:after="120"/>
        <w:jc w:val="both"/>
        <w:rPr>
          <w:b/>
        </w:rPr>
      </w:pPr>
      <w:r w:rsidRPr="00096DF0">
        <w:rPr>
          <w:b/>
          <w:bCs/>
        </w:rPr>
        <w:t>La disposizione</w:t>
      </w:r>
      <w:r>
        <w:t xml:space="preserve"> </w:t>
      </w:r>
      <w:r w:rsidRPr="00E73200">
        <w:rPr>
          <w:rFonts w:eastAsiaTheme="majorEastAsia"/>
          <w:b/>
          <w:szCs w:val="28"/>
        </w:rPr>
        <w:t xml:space="preserve">non comporta nuovi o </w:t>
      </w:r>
      <w:r>
        <w:rPr>
          <w:rFonts w:eastAsiaTheme="majorEastAsia"/>
          <w:b/>
          <w:szCs w:val="28"/>
        </w:rPr>
        <w:t>maggiori oneri</w:t>
      </w:r>
      <w:r w:rsidRPr="00E73200">
        <w:rPr>
          <w:rFonts w:eastAsiaTheme="majorEastAsia"/>
          <w:b/>
          <w:szCs w:val="28"/>
        </w:rPr>
        <w:t xml:space="preserve"> a carico della finanza pubblica</w:t>
      </w:r>
      <w:r>
        <w:rPr>
          <w:rFonts w:eastAsiaTheme="majorEastAsia"/>
          <w:b/>
          <w:szCs w:val="28"/>
        </w:rPr>
        <w:t xml:space="preserve">, </w:t>
      </w:r>
      <w:r w:rsidRPr="00D00267">
        <w:rPr>
          <w:rFonts w:eastAsiaTheme="majorEastAsia"/>
          <w:b/>
          <w:szCs w:val="28"/>
        </w:rPr>
        <w:t xml:space="preserve">poiché </w:t>
      </w:r>
      <w:r>
        <w:rPr>
          <w:rFonts w:eastAsiaTheme="majorEastAsia"/>
          <w:b/>
          <w:szCs w:val="28"/>
        </w:rPr>
        <w:t xml:space="preserve">i relativi </w:t>
      </w:r>
      <w:r w:rsidRPr="00D00267">
        <w:rPr>
          <w:b/>
        </w:rPr>
        <w:t xml:space="preserve">oneri </w:t>
      </w:r>
      <w:r>
        <w:rPr>
          <w:b/>
        </w:rPr>
        <w:t>trovano adeguata copertura nei</w:t>
      </w:r>
      <w:r w:rsidRPr="00D00267">
        <w:rPr>
          <w:b/>
        </w:rPr>
        <w:t xml:space="preserve"> fondi del PNRR. </w:t>
      </w:r>
    </w:p>
    <w:p w:rsidR="008F13EF" w:rsidRPr="008F13EF" w:rsidP="008F13EF" w14:paraId="660DF05B" w14:textId="16C63EE5">
      <w:pPr>
        <w:spacing w:after="120"/>
        <w:jc w:val="both"/>
        <w:rPr>
          <w:b/>
        </w:rPr>
      </w:pPr>
      <w:r w:rsidRPr="00D00267">
        <w:t xml:space="preserve">Nello specifico, le attività propedeutiche al rilascio della tessera elettorale in modalità telematica tramite ANPR, saranno sviluppati dalla Società Sogei S.p.A., incaricata, ai sensi </w:t>
      </w:r>
      <w:r>
        <w:t>dell’art</w:t>
      </w:r>
      <w:r w:rsidR="3CB1D81D">
        <w:t>icolo</w:t>
      </w:r>
      <w:r w:rsidRPr="00D00267">
        <w:t xml:space="preserve"> 1, comma 306, della </w:t>
      </w:r>
      <w:r w:rsidR="43F9C26B">
        <w:t>legge</w:t>
      </w:r>
      <w:r w:rsidRPr="00D00267">
        <w:t xml:space="preserve"> n. 228/2012, della realizzazione, implementazione e gestione dell’ANPR e trovano copertura a valere sul sub-investimento 1.4.4 “Estensione dell’utilizzo delle piattaforme nazionali di identità̀ digitale (SPID, CIE) e dell’anagrafe nazionale digitale (ANPR)” della Missione 1 - Componente 1 - Asse 1 del PNRR, già oggetto di specifico Accordo tra il Ministero dell’Interno e il Dipartimento per la trasformazione digitale per disciplinare le modalità di collaborazione tra le due amministrazioni al fine di garantire la realizzazione del potenziamento dei servizi erogati dalla medesima banca dati, incluso l’adeguamento e l’evoluzione delle caratteristiche tecniche della piattaforma di funzionamento dell’ANPR. </w:t>
      </w:r>
      <w:r w:rsidRPr="2799CAB4" w:rsidR="24468242">
        <w:rPr>
          <w:b/>
          <w:bCs/>
        </w:rPr>
        <w:t xml:space="preserve"> L’implementazione del servizio oggetto della presente disposizione non comporta costi ulteriori per la Sogei S.p.a. rientrando nelle evoluzioni già oggetto del citato accordo.</w:t>
      </w:r>
    </w:p>
    <w:p w:rsidR="00EF5BED" w:rsidRPr="00EF5BED" w:rsidP="00EF5BED" w14:paraId="1CDA86D7" w14:textId="77777777">
      <w:pPr>
        <w:spacing w:after="120"/>
        <w:jc w:val="both"/>
        <w:rPr>
          <w:b/>
          <w:bCs/>
          <w:color w:val="00B050"/>
          <w:highlight w:val="lightGray"/>
        </w:rPr>
      </w:pPr>
      <w:r w:rsidRPr="00EF5BED">
        <w:rPr>
          <w:b/>
          <w:bCs/>
          <w:color w:val="00B050"/>
          <w:highlight w:val="lightGray"/>
        </w:rPr>
        <w:t xml:space="preserve">Il </w:t>
      </w:r>
      <w:r w:rsidRPr="00EF5BED">
        <w:rPr>
          <w:b/>
          <w:bCs/>
          <w:highlight w:val="lightGray"/>
          <w:u w:val="single"/>
        </w:rPr>
        <w:t>comma 4</w:t>
      </w:r>
      <w:r w:rsidRPr="00EF5BED">
        <w:rPr>
          <w:b/>
          <w:bCs/>
          <w:color w:val="00B050"/>
          <w:highlight w:val="lightGray"/>
        </w:rPr>
        <w:t xml:space="preserve"> reca modifiche alla disciplina in materia di ricorsi straordinari al Presidente della Repubblica di cui al decreto del Presidente della Repubblica 24 novembre 1971, n. 1199.</w:t>
      </w:r>
    </w:p>
    <w:p w:rsidR="00EF5BED" w:rsidRPr="00EF5BED" w:rsidP="00EF5BED" w14:paraId="0673A9C5" w14:textId="77777777">
      <w:pPr>
        <w:spacing w:after="120"/>
        <w:jc w:val="both"/>
        <w:rPr>
          <w:b/>
          <w:bCs/>
          <w:color w:val="00B050"/>
          <w:highlight w:val="lightGray"/>
        </w:rPr>
      </w:pPr>
      <w:r w:rsidRPr="00EF5BED">
        <w:rPr>
          <w:b/>
          <w:bCs/>
          <w:color w:val="00B050"/>
          <w:highlight w:val="lightGray"/>
        </w:rPr>
        <w:t>Il d.P.R. 24 novembre 1971, n. 1199 (concomitante alla creazione dei Tribunali amministrativi regionali, con legge 6 dicembre 1971, n. 1034), configura espressamente il ricorso al Presidente della Repubblica come un rimedio amministrativo.</w:t>
      </w:r>
    </w:p>
    <w:p w:rsidR="00EF5BED" w:rsidRPr="00EF5BED" w:rsidP="00EF5BED" w14:paraId="1E449EDE" w14:textId="77777777">
      <w:pPr>
        <w:spacing w:after="120"/>
        <w:jc w:val="both"/>
        <w:rPr>
          <w:b/>
          <w:bCs/>
          <w:color w:val="00B050"/>
          <w:highlight w:val="lightGray"/>
        </w:rPr>
      </w:pPr>
      <w:r w:rsidRPr="00EF5BED">
        <w:rPr>
          <w:b/>
          <w:bCs/>
          <w:color w:val="00B050"/>
          <w:highlight w:val="lightGray"/>
        </w:rPr>
        <w:t>In ordine al procedimento che conduce alla decisione, il legislatore prevede che: il ricorso venga notificato all’organo che ha emanato l’atto o al Ministero competente, il quale ordina, se del caso, l’integrazione del procedimento (art. 9); l’Amministrazione competente per materia, svolge l’istruttoria (art. 11); l’affare già istruito viene trasmesso alle Sezioni Consultive del Consiglio di Stato (art. 12) per l’adozione del parere vincolante (art. 13).</w:t>
      </w:r>
    </w:p>
    <w:p w:rsidR="00EF5BED" w:rsidRPr="00EF5BED" w:rsidP="00EF5BED" w14:paraId="498F7C3F" w14:textId="77777777">
      <w:pPr>
        <w:spacing w:after="120"/>
        <w:jc w:val="both"/>
        <w:rPr>
          <w:b/>
          <w:bCs/>
          <w:color w:val="00B050"/>
          <w:highlight w:val="lightGray"/>
        </w:rPr>
      </w:pPr>
      <w:r w:rsidRPr="00EF5BED">
        <w:rPr>
          <w:b/>
          <w:bCs/>
          <w:color w:val="00B050"/>
          <w:highlight w:val="lightGray"/>
        </w:rPr>
        <w:t>Infine, la decisione sul ricorso straordinario «è adottata con decreto del Presidente della Repubblica su proposta del Ministero competente, conforme al parere del Consiglio di Stato» (art 14).</w:t>
      </w:r>
    </w:p>
    <w:p w:rsidR="7A57FC5C" w:rsidRPr="00EF5BED" w:rsidP="00EF5BED" w14:paraId="7C73E08D" w14:textId="209E4F4F">
      <w:pPr>
        <w:spacing w:after="120"/>
        <w:jc w:val="both"/>
        <w:rPr>
          <w:color w:val="00B050"/>
          <w:highlight w:val="lightGray"/>
        </w:rPr>
      </w:pPr>
      <w:r w:rsidRPr="00EF5BED">
        <w:rPr>
          <w:b/>
          <w:bCs/>
          <w:color w:val="00B050"/>
          <w:highlight w:val="lightGray"/>
        </w:rPr>
        <w:t>Tanto premesso, la disposizione, in commento, in ragione della natura vincolante del parere reso dal Consiglio di Stato sostituisce, in un’ottica di semplificazione e di riduzione dei termini definizione del rimedio giustiziale in esame, la proposta del Ministro competente e l’adozione del conseguente decreto del Presidente della Repubblica, con un decreto del Presidente del Consiglio di Stato, operando le occorrenti modifiche di coordinamento normativo e lasciando inalterate la natura del rimedio e dell’atto decisorio, nonché le garanzie e le tutele attualmente previste per le parti.</w:t>
      </w:r>
      <w:r w:rsidRPr="00EF5BED">
        <w:rPr>
          <w:b/>
          <w:bCs/>
          <w:color w:val="00B050"/>
          <w:highlight w:val="lightGray"/>
        </w:rPr>
        <w:t>.</w:t>
      </w:r>
    </w:p>
    <w:p w:rsidR="7A57FC5C" w:rsidRPr="00EF5BED" w:rsidP="143CDDE0" w14:paraId="24790508" w14:textId="035E74A4">
      <w:pPr>
        <w:spacing w:after="120"/>
        <w:jc w:val="both"/>
        <w:rPr>
          <w:b/>
          <w:bCs/>
          <w:color w:val="00B050"/>
        </w:rPr>
      </w:pPr>
      <w:r w:rsidRPr="00EF5BED">
        <w:rPr>
          <w:b/>
          <w:bCs/>
          <w:color w:val="00B050"/>
          <w:highlight w:val="lightGray"/>
        </w:rPr>
        <w:t xml:space="preserve">Dal punto di vista finanziario, </w:t>
      </w:r>
      <w:r w:rsidRPr="00EF5BED" w:rsidR="16DD0A88">
        <w:rPr>
          <w:b/>
          <w:bCs/>
          <w:color w:val="00B050"/>
          <w:highlight w:val="lightGray"/>
        </w:rPr>
        <w:t>la disposizione</w:t>
      </w:r>
      <w:r w:rsidRPr="00EF5BED">
        <w:rPr>
          <w:b/>
          <w:bCs/>
          <w:color w:val="00B050"/>
          <w:highlight w:val="lightGray"/>
        </w:rPr>
        <w:t xml:space="preserve"> ha contenuto meramente ordinamentale (</w:t>
      </w:r>
      <w:r w:rsidRPr="00EF5BED" w:rsidR="76156DF5">
        <w:rPr>
          <w:b/>
          <w:bCs/>
          <w:color w:val="00B050"/>
          <w:highlight w:val="lightGray"/>
        </w:rPr>
        <w:t>contenendo</w:t>
      </w:r>
      <w:r w:rsidRPr="00EF5BED">
        <w:rPr>
          <w:b/>
          <w:bCs/>
          <w:color w:val="00B050"/>
          <w:highlight w:val="lightGray"/>
        </w:rPr>
        <w:t xml:space="preserve"> una semplificazione di tipo procedimentale) e, pertanto, </w:t>
      </w:r>
      <w:r w:rsidRPr="00EF5BED">
        <w:rPr>
          <w:rFonts w:eastAsiaTheme="majorEastAsia"/>
          <w:b/>
          <w:bCs/>
          <w:color w:val="00B050"/>
          <w:highlight w:val="lightGray"/>
        </w:rPr>
        <w:t>non comporta nuovi o maggiori oneri a carico della finanza pubblica.</w:t>
      </w:r>
    </w:p>
    <w:p w:rsidR="00AE3D98" w:rsidRPr="00987C41" w:rsidP="00E73200" w14:paraId="08C94A35" w14:textId="6CB8EAF7">
      <w:pPr>
        <w:pStyle w:val="Heading3"/>
        <w:spacing w:before="0" w:after="120"/>
        <w:rPr>
          <w:rFonts w:cs="Times New Roman"/>
        </w:rPr>
      </w:pPr>
      <w:bookmarkStart w:id="22" w:name="_Toc220077551"/>
      <w:r>
        <w:rPr>
          <w:rFonts w:cs="Times New Roman"/>
        </w:rPr>
        <w:t>ART. 7</w:t>
      </w:r>
      <w:r w:rsidRPr="00987C41" w:rsidR="0024611E">
        <w:rPr>
          <w:rFonts w:cs="Times New Roman"/>
        </w:rPr>
        <w:t xml:space="preserve">                                                                                                                                                </w:t>
      </w:r>
      <w:r w:rsidRPr="00987C41" w:rsidR="0024611E">
        <w:rPr>
          <w:rFonts w:cs="Times New Roman"/>
        </w:rPr>
        <w:t xml:space="preserve">   </w:t>
      </w:r>
      <w:r w:rsidRPr="00987C41" w:rsidR="001D0772">
        <w:rPr>
          <w:rFonts w:cs="Times New Roman"/>
        </w:rPr>
        <w:t>(</w:t>
      </w:r>
      <w:r w:rsidRPr="00987C41" w:rsidR="001D0772">
        <w:rPr>
          <w:rFonts w:cs="Times New Roman"/>
        </w:rPr>
        <w:t>Misure di semplificazione per l’attuazione della riforma in materia di disabilità)</w:t>
      </w:r>
      <w:bookmarkEnd w:id="22"/>
    </w:p>
    <w:p w:rsidR="00BE6CA5" w:rsidP="00987C41" w14:paraId="74A9CA4F" w14:textId="77777777">
      <w:pPr>
        <w:pStyle w:val="ListParagraph"/>
        <w:spacing w:after="120"/>
        <w:ind w:left="0"/>
        <w:contextualSpacing w:val="0"/>
        <w:jc w:val="both"/>
      </w:pPr>
      <w:r>
        <w:rPr>
          <w:b/>
          <w:bCs/>
          <w:u w:val="single"/>
        </w:rPr>
        <w:t xml:space="preserve">Il </w:t>
      </w:r>
      <w:r>
        <w:rPr>
          <w:b/>
          <w:bCs/>
          <w:u w:val="single"/>
        </w:rPr>
        <w:t>c</w:t>
      </w:r>
      <w:r w:rsidRPr="00987C41" w:rsidR="00DB3426">
        <w:rPr>
          <w:b/>
          <w:bCs/>
          <w:u w:val="single"/>
        </w:rPr>
        <w:t>omma 1, primo periodo</w:t>
      </w:r>
      <w:r>
        <w:t xml:space="preserve"> </w:t>
      </w:r>
      <w:r w:rsidRPr="009D54FE">
        <w:t>estende le attività di sperimentazione previste dall’articolo 33 del decreto legislativo n. 62 del 2024 ad ulteriori 40 province</w:t>
      </w:r>
      <w:r>
        <w:t>.</w:t>
      </w:r>
    </w:p>
    <w:p w:rsidR="00DB3426" w:rsidRPr="00987C41" w:rsidP="00987C41" w14:paraId="017D54D6" w14:textId="7313A26F">
      <w:pPr>
        <w:pStyle w:val="ListParagraph"/>
        <w:spacing w:after="120"/>
        <w:ind w:left="0"/>
        <w:contextualSpacing w:val="0"/>
        <w:jc w:val="both"/>
      </w:pPr>
      <w:r w:rsidRPr="00987C41">
        <w:rPr>
          <w:b/>
          <w:bCs/>
        </w:rPr>
        <w:t xml:space="preserve">La disposizione non comporta nuovi o maggiori oneri per la finanza pubblica, poiché le risorse finanziarie stanziate dal decreto legislativo n. 62 del 2024 dal primo gennaio 2026 in poi, ai fini dell’attuazione della relativa riforma, sono commisurate all’applicazione della medesima sull’intero territorio nazionale, anziché nelle sole 40 province indicate all’allegato A. </w:t>
      </w:r>
      <w:r w:rsidRPr="00987C41">
        <w:t>L’art. 19-</w:t>
      </w:r>
      <w:r w:rsidRPr="00987C41">
        <w:rPr>
          <w:i/>
          <w:iCs/>
        </w:rPr>
        <w:t>quater</w:t>
      </w:r>
      <w:r w:rsidRPr="00987C41">
        <w:t xml:space="preserve">, </w:t>
      </w:r>
      <w:r>
        <w:t>co</w:t>
      </w:r>
      <w:r w:rsidR="637B3335">
        <w:t>mma</w:t>
      </w:r>
      <w:r w:rsidRPr="00987C41">
        <w:t xml:space="preserve"> 2, del decreto-legge n. 202 del 2024, nel prorogare il termine iniziale di applicazione a tutto il Paese delle disposizioni di cui al menzionato decreto legislativo al </w:t>
      </w:r>
      <w:r w:rsidRPr="00987C41" w:rsidR="005F5B23">
        <w:t>1°</w:t>
      </w:r>
      <w:r w:rsidRPr="00987C41">
        <w:t xml:space="preserve"> gennaio 2027, non ha però rimodulato in alcuna maniera le risorse finanziarie già previste e stanziate, che sono rimaste commisurate alla necessità derivante da un’attuazione estesa a tutto il territorio nazionale sin dal primo gennaio 2026.</w:t>
      </w:r>
    </w:p>
    <w:p w:rsidR="00DB3426" w:rsidRPr="00987C41" w:rsidP="00987C41" w14:paraId="402C55A8" w14:textId="77777777">
      <w:pPr>
        <w:pStyle w:val="ListParagraph"/>
        <w:spacing w:after="120"/>
        <w:ind w:left="0"/>
        <w:contextualSpacing w:val="0"/>
        <w:jc w:val="both"/>
        <w:rPr>
          <w:b/>
          <w:bCs/>
        </w:rPr>
      </w:pPr>
      <w:r w:rsidRPr="00987C41">
        <w:t xml:space="preserve">Ne deriva che </w:t>
      </w:r>
      <w:r w:rsidRPr="00987C41">
        <w:rPr>
          <w:b/>
          <w:bCs/>
        </w:rPr>
        <w:t>le risorse occorrenti ad estendere la sperimentazione ad ulteriori 40 province, dal primo marzo 2026 sino al 31 dicembre dello stesso anno, sono già stanziate e disponibili.</w:t>
      </w:r>
    </w:p>
    <w:p w:rsidR="00DB3426" w:rsidRPr="00987C41" w:rsidP="00987C41" w14:paraId="7FDEE58C" w14:textId="7C3704E1">
      <w:pPr>
        <w:pStyle w:val="ListParagraph"/>
        <w:spacing w:after="120"/>
        <w:ind w:left="0"/>
        <w:contextualSpacing w:val="0"/>
        <w:jc w:val="both"/>
        <w:rPr>
          <w:b/>
          <w:bCs/>
        </w:rPr>
      </w:pPr>
      <w:r>
        <w:rPr>
          <w:b/>
          <w:bCs/>
          <w:u w:val="single"/>
        </w:rPr>
        <w:t>Il c</w:t>
      </w:r>
      <w:r w:rsidRPr="00987C41">
        <w:rPr>
          <w:b/>
          <w:bCs/>
          <w:u w:val="single"/>
        </w:rPr>
        <w:t>omma 1, secondo periodo</w:t>
      </w:r>
      <w:r>
        <w:rPr>
          <w:i/>
          <w:iCs/>
        </w:rPr>
        <w:t xml:space="preserve"> </w:t>
      </w:r>
      <w:r w:rsidRPr="00987C41">
        <w:t xml:space="preserve">ha </w:t>
      </w:r>
      <w:r w:rsidRPr="00987C41">
        <w:rPr>
          <w:b/>
          <w:bCs/>
        </w:rPr>
        <w:t>natura ordinamentale</w:t>
      </w:r>
      <w:r w:rsidRPr="00987C41">
        <w:t>, poiché si limita a precisare che il regolamento n. 94 del 2025 si applica, oltre che alle nove province della prima sperimentazione delle disposizioni di cui al decreto legislativo n. 62 del 2024, anche alle ulteriori 11 e alle nuove 40 introdotte con le estensioni della sperimentazione di cui all’art. 19-</w:t>
      </w:r>
      <w:r w:rsidRPr="00987C41">
        <w:rPr>
          <w:i/>
          <w:iCs/>
        </w:rPr>
        <w:t>quater</w:t>
      </w:r>
      <w:r w:rsidRPr="00987C41">
        <w:t xml:space="preserve"> del decreto-legge n. 202 del 2024 e di cui alla presente disposizione, nonché, quando la riforma entrerà a regime, a tutta l’Italia. </w:t>
      </w:r>
      <w:r w:rsidRPr="00987C41">
        <w:rPr>
          <w:b/>
          <w:bCs/>
        </w:rPr>
        <w:t>Detto regolamento non comporta, come da relativa relazione tecnica bollinata, alcun nuovo o maggiore onere per la finanza pubblica, per cui non può comportarne nemmeno la nuova disposizione, che ne conferma la validità anche nelle ulteriori sperimentazioni e, poi, a regime.</w:t>
      </w:r>
    </w:p>
    <w:p w:rsidR="00D12C6E" w:rsidP="00987C41" w14:paraId="4C37E7F6" w14:textId="77777777">
      <w:pPr>
        <w:pStyle w:val="ListParagraph"/>
        <w:spacing w:after="120"/>
        <w:ind w:left="0"/>
        <w:contextualSpacing w:val="0"/>
        <w:jc w:val="both"/>
      </w:pPr>
      <w:r>
        <w:rPr>
          <w:b/>
          <w:bCs/>
          <w:u w:val="single"/>
        </w:rPr>
        <w:t>Il c</w:t>
      </w:r>
      <w:r w:rsidRPr="00987C41" w:rsidR="00DB3426">
        <w:rPr>
          <w:b/>
          <w:bCs/>
          <w:u w:val="single"/>
        </w:rPr>
        <w:t>omma 2</w:t>
      </w:r>
      <w:r>
        <w:t xml:space="preserve"> </w:t>
      </w:r>
      <w:r w:rsidRPr="00C63A5F" w:rsidR="00080DFC">
        <w:t>regola le modalità di svolgimento della formazione nazionale e regionale a supporto della</w:t>
      </w:r>
      <w:r w:rsidRPr="009D54FE" w:rsidR="00080DFC">
        <w:t xml:space="preserve"> progressiva applicazione sul territorio della riforma di cui al decreto legislativo n. 62 del 2024</w:t>
      </w:r>
      <w:r>
        <w:t>.</w:t>
      </w:r>
    </w:p>
    <w:p w:rsidR="00DB3426" w:rsidRPr="00987C41" w:rsidP="00987C41" w14:paraId="25191729" w14:textId="1EA799EA">
      <w:pPr>
        <w:pStyle w:val="ListParagraph"/>
        <w:spacing w:after="120"/>
        <w:ind w:left="0"/>
        <w:contextualSpacing w:val="0"/>
        <w:jc w:val="both"/>
      </w:pPr>
      <w:r>
        <w:t xml:space="preserve">La disposizione </w:t>
      </w:r>
      <w:r w:rsidRPr="00987C41">
        <w:rPr>
          <w:b/>
          <w:bCs/>
        </w:rPr>
        <w:t>ha natura ordinamentale, per cui non comporta nuovi o maggiori oneri per la finanza pubblica. La formazione, in particolare, sarà erogata a valere sulle risorse umane, finanziarie e strumentali già disponibili a legislazione vigente.</w:t>
      </w:r>
    </w:p>
    <w:p w:rsidR="00DB3426" w:rsidRPr="00987C41" w:rsidP="00987C41" w14:paraId="4E9A3791" w14:textId="1DDA0F54">
      <w:pPr>
        <w:spacing w:after="120"/>
        <w:jc w:val="both"/>
      </w:pPr>
      <w:r w:rsidRPr="00987C41">
        <w:rPr>
          <w:rFonts w:eastAsia="Aptos"/>
        </w:rPr>
        <w:t xml:space="preserve">In relazione al </w:t>
      </w:r>
      <w:r w:rsidRPr="00987C41">
        <w:rPr>
          <w:rFonts w:eastAsia="Aptos"/>
          <w:b/>
          <w:bCs/>
          <w:u w:val="single"/>
        </w:rPr>
        <w:t>comma 3</w:t>
      </w:r>
      <w:r w:rsidR="00EC2185">
        <w:rPr>
          <w:rFonts w:eastAsia="Aptos"/>
          <w:b/>
          <w:bCs/>
          <w:u w:val="single"/>
        </w:rPr>
        <w:t>,</w:t>
      </w:r>
      <w:r w:rsidRPr="00987C41">
        <w:rPr>
          <w:rFonts w:eastAsia="Aptos"/>
          <w:b/>
          <w:bCs/>
          <w:u w:val="single"/>
        </w:rPr>
        <w:t xml:space="preserve"> lettera</w:t>
      </w:r>
      <w:r w:rsidRPr="00987C41">
        <w:rPr>
          <w:rFonts w:eastAsia="Aptos"/>
          <w:b/>
          <w:bCs/>
          <w:i/>
          <w:iCs/>
          <w:u w:val="single"/>
        </w:rPr>
        <w:t xml:space="preserve"> a)</w:t>
      </w:r>
      <w:r w:rsidRPr="00987C41">
        <w:rPr>
          <w:rFonts w:eastAsia="Aptos"/>
        </w:rPr>
        <w:t>,</w:t>
      </w:r>
      <w:r w:rsidRPr="00987C41">
        <w:rPr>
          <w:rFonts w:eastAsia="Aptos"/>
          <w:i/>
          <w:iCs/>
        </w:rPr>
        <w:t xml:space="preserve"> </w:t>
      </w:r>
      <w:r w:rsidRPr="6A0F8FD8" w:rsidR="78C7985F">
        <w:rPr>
          <w:rFonts w:eastAsia="Aptos"/>
        </w:rPr>
        <w:t>occorr</w:t>
      </w:r>
      <w:r w:rsidRPr="6A0F8FD8">
        <w:rPr>
          <w:rFonts w:eastAsia="Aptos"/>
        </w:rPr>
        <w:t>e</w:t>
      </w:r>
      <w:r w:rsidRPr="00987C41">
        <w:rPr>
          <w:rFonts w:eastAsia="Aptos"/>
        </w:rPr>
        <w:t xml:space="preserve"> precisare che il decreto </w:t>
      </w:r>
      <w:r w:rsidR="31043C5D">
        <w:t>legislativo</w:t>
      </w:r>
      <w:r w:rsidRPr="6A0F8FD8">
        <w:rPr>
          <w:rFonts w:eastAsia="Aptos"/>
        </w:rPr>
        <w:t xml:space="preserve"> n.</w:t>
      </w:r>
      <w:r w:rsidRPr="00987C41">
        <w:rPr>
          <w:rFonts w:eastAsia="Aptos"/>
        </w:rPr>
        <w:t xml:space="preserve"> 62 del 2024 ha previsto un </w:t>
      </w:r>
      <w:r w:rsidRPr="00987C41">
        <w:t>regime sperimentale di due anni per consentire una graduale attuazione della riforma. Dai dati di monitoraggio dell’Istituto emerge che l’avvio della sperimentazione abbia prodotto risultati positivi che confermano le opportunità di scelta del legislatore.</w:t>
      </w:r>
    </w:p>
    <w:p w:rsidR="00DB3426" w:rsidRPr="00987C41" w:rsidP="00987C41" w14:paraId="0D528DF2" w14:textId="5DD07F40">
      <w:pPr>
        <w:spacing w:after="120"/>
        <w:jc w:val="both"/>
        <w:rPr>
          <w:rFonts w:eastAsia="Aptos"/>
          <w:highlight w:val="yellow"/>
        </w:rPr>
      </w:pPr>
      <w:r w:rsidRPr="00987C41">
        <w:t>In considerazione dell’approssimarsi dell’ultimo anno di sperimentazione, che richiede quindi la conclusione delle attività propedeutiche di preparazione all’attuazione a regime della riforma, occorrerebbe mantenere su tutto il territorio nazionale livelli di efficienza riscontrati nella fase sperimentale, attraverso alcune semplificazioni</w:t>
      </w:r>
      <w:r w:rsidRPr="00EF0082" w:rsidR="00EF0082">
        <w:t xml:space="preserve"> </w:t>
      </w:r>
      <w:r w:rsidRPr="65CB6BA5" w:rsidR="00EF0082">
        <w:rPr>
          <w:b/>
          <w:color w:val="0070C0"/>
        </w:rPr>
        <w:t>richieste da INPS</w:t>
      </w:r>
      <w:r w:rsidRPr="65CB6BA5" w:rsidR="0B32F053">
        <w:rPr>
          <w:b/>
          <w:color w:val="0070C0"/>
        </w:rPr>
        <w:t>.</w:t>
      </w:r>
      <w:r w:rsidR="1ABA7735">
        <w:t xml:space="preserve"> </w:t>
      </w:r>
    </w:p>
    <w:p w:rsidR="5B7A173B" w:rsidP="578A6A5D" w14:paraId="50C53646" w14:textId="172A3B29">
      <w:pPr>
        <w:spacing w:after="120"/>
        <w:jc w:val="both"/>
        <w:rPr>
          <w:color w:val="000000" w:themeColor="text1"/>
        </w:rPr>
      </w:pPr>
      <w:r w:rsidRPr="578A6A5D">
        <w:rPr>
          <w:color w:val="000000" w:themeColor="text1"/>
        </w:rPr>
        <w:t xml:space="preserve">In particolare, la </w:t>
      </w:r>
      <w:r w:rsidRPr="578A6A5D">
        <w:rPr>
          <w:b/>
          <w:bCs/>
          <w:color w:val="000000" w:themeColor="text1"/>
          <w:u w:val="single"/>
        </w:rPr>
        <w:t>lettera a)</w:t>
      </w:r>
      <w:r w:rsidRPr="578A6A5D">
        <w:rPr>
          <w:color w:val="000000" w:themeColor="text1"/>
        </w:rPr>
        <w:t xml:space="preserve"> introduce modifiche all’articolo 9, comma 3, capoverso articolo 4 del citato decreto, che ha modificato l’articolo 4, della legge n. 104 del 1992. </w:t>
      </w:r>
    </w:p>
    <w:p w:rsidR="5B7A173B" w:rsidP="578A6A5D" w14:paraId="411F8C07" w14:textId="04EE2B15">
      <w:pPr>
        <w:spacing w:after="120"/>
        <w:jc w:val="both"/>
        <w:rPr>
          <w:color w:val="000000" w:themeColor="text1"/>
        </w:rPr>
      </w:pPr>
      <w:r w:rsidRPr="578A6A5D">
        <w:rPr>
          <w:color w:val="000000" w:themeColor="text1"/>
        </w:rPr>
        <w:t xml:space="preserve">Come noto, nel corso dell’anno 2024 è stata approvata la riforma sulla disabilità di cui al decreto legislativo n. 62 del 2024 che, tra l’altro, modifica la composizione delle Commissioni mediche di accertamento, ora denominate Unità di Valutazione di base (UVB), anche in ragione della nuova logica di accertamento della disabilità fondato sul modello </w:t>
      </w:r>
      <w:r w:rsidRPr="578A6A5D">
        <w:rPr>
          <w:color w:val="000000" w:themeColor="text1"/>
        </w:rPr>
        <w:t>bio</w:t>
      </w:r>
      <w:r w:rsidRPr="578A6A5D">
        <w:rPr>
          <w:color w:val="000000" w:themeColor="text1"/>
        </w:rPr>
        <w:t xml:space="preserve">-psico-sociale. </w:t>
      </w:r>
    </w:p>
    <w:p w:rsidR="5B7A173B" w:rsidP="578A6A5D" w14:paraId="38F24376" w14:textId="5DB42A74">
      <w:pPr>
        <w:spacing w:after="120"/>
        <w:jc w:val="both"/>
        <w:rPr>
          <w:color w:val="000000" w:themeColor="text1"/>
        </w:rPr>
      </w:pPr>
      <w:r w:rsidRPr="578A6A5D">
        <w:rPr>
          <w:color w:val="000000" w:themeColor="text1"/>
        </w:rPr>
        <w:t xml:space="preserve">In vista della attivazione a regime, a partire dal 1° gennaio 2027, di circa 1.000 unità di valutazione di base su tutto il territorio nazionale e tenuto conto dell’attuale fase di sperimentazione, utile, tra l’altro, proprio ad assicurare il progressivo aggiornamento delle definizioni, dei criteri e delle modalità di accertamento e a valutare eventuali modifiche alla disciplina in oggetto, </w:t>
      </w:r>
      <w:r w:rsidRPr="578A6A5D">
        <w:rPr>
          <w:color w:val="215E99" w:themeColor="text2" w:themeTint="BF"/>
        </w:rPr>
        <w:t>l</w:t>
      </w:r>
      <w:r w:rsidRPr="37DEB206">
        <w:t>’INPS, in qualità di soggetto unico accertatore, ha richiesto l’adozione di modifiche all’</w:t>
      </w:r>
      <w:r w:rsidRPr="578A6A5D">
        <w:rPr>
          <w:color w:val="000000" w:themeColor="text1"/>
        </w:rPr>
        <w:t>articolo 9 del decreto legislativo n. 62 del 2024, in materia di composizione della UVB.</w:t>
      </w:r>
    </w:p>
    <w:p w:rsidR="5B7A173B" w:rsidP="578A6A5D" w14:paraId="36EC35A1" w14:textId="32D05B67">
      <w:pPr>
        <w:spacing w:after="120"/>
        <w:jc w:val="both"/>
        <w:rPr>
          <w:color w:val="000000" w:themeColor="text1"/>
        </w:rPr>
      </w:pPr>
      <w:r w:rsidRPr="578A6A5D">
        <w:rPr>
          <w:color w:val="000000" w:themeColor="text1"/>
        </w:rPr>
        <w:t xml:space="preserve">Più nel dettaglio, </w:t>
      </w:r>
      <w:r w:rsidRPr="578A6A5D">
        <w:rPr>
          <w:b/>
          <w:bCs/>
          <w:color w:val="000000" w:themeColor="text1"/>
          <w:u w:val="single"/>
        </w:rPr>
        <w:t>al numero 1</w:t>
      </w:r>
      <w:r w:rsidRPr="578A6A5D">
        <w:rPr>
          <w:color w:val="000000" w:themeColor="text1"/>
        </w:rPr>
        <w:t xml:space="preserve">, in materia di valutazione di base rispettivamente degli adulti e dei minori, anche al fine di ottimizzare i processi organizzativi e logistici di INPS, </w:t>
      </w:r>
      <w:r w:rsidRPr="0079672A">
        <w:rPr>
          <w:color w:val="000000" w:themeColor="text1"/>
        </w:rPr>
        <w:t>si modifica il comma</w:t>
      </w:r>
      <w:r w:rsidRPr="578A6A5D">
        <w:rPr>
          <w:b/>
          <w:bCs/>
          <w:color w:val="215E99" w:themeColor="text2" w:themeTint="BF"/>
        </w:rPr>
        <w:t xml:space="preserve"> </w:t>
      </w:r>
      <w:r w:rsidRPr="0079672A">
        <w:rPr>
          <w:b/>
          <w:bCs/>
        </w:rPr>
        <w:t>2</w:t>
      </w:r>
      <w:r w:rsidRPr="0079672A">
        <w:t xml:space="preserve"> prevedendo </w:t>
      </w:r>
      <w:r w:rsidRPr="578A6A5D">
        <w:rPr>
          <w:color w:val="000000" w:themeColor="text1"/>
        </w:rPr>
        <w:t>che:</w:t>
      </w:r>
    </w:p>
    <w:p w:rsidR="5B7A173B" w:rsidP="578A6A5D" w14:paraId="79BEE472" w14:textId="6241AEC7">
      <w:pPr>
        <w:pStyle w:val="ListParagraph"/>
        <w:numPr>
          <w:ilvl w:val="0"/>
          <w:numId w:val="31"/>
        </w:numPr>
        <w:spacing w:after="120"/>
        <w:jc w:val="both"/>
        <w:rPr>
          <w:color w:val="215E99" w:themeColor="text2" w:themeTint="BF"/>
        </w:rPr>
      </w:pPr>
      <w:r w:rsidRPr="3B0D2A97">
        <w:t>il Presidente dell’UVB p</w:t>
      </w:r>
      <w:r w:rsidRPr="3B0D2A97" w:rsidR="1A45A5F7">
        <w:t>ossa</w:t>
      </w:r>
      <w:r w:rsidRPr="3B0D2A97">
        <w:t xml:space="preserve"> essere specializzato, oltre che in medicina legale, anche in medicina del lavoro o specializzazioni equipollenti o affini (</w:t>
      </w:r>
      <w:r w:rsidRPr="3B0D2A97">
        <w:rPr>
          <w:b/>
        </w:rPr>
        <w:t>punto 1.1)</w:t>
      </w:r>
      <w:r w:rsidRPr="3B0D2A97">
        <w:t>;</w:t>
      </w:r>
    </w:p>
    <w:p w:rsidR="5B7A173B" w:rsidP="578A6A5D" w14:paraId="12FBDCE4" w14:textId="103623F8">
      <w:pPr>
        <w:pStyle w:val="ListParagraph"/>
        <w:numPr>
          <w:ilvl w:val="0"/>
          <w:numId w:val="31"/>
        </w:numPr>
        <w:spacing w:after="120"/>
        <w:jc w:val="both"/>
        <w:rPr>
          <w:color w:val="215E99" w:themeColor="text2" w:themeTint="BF"/>
        </w:rPr>
      </w:pPr>
      <w:r w:rsidRPr="3B0D2A97">
        <w:t>l’INPS, in caso di indisponibilità di un medico in possesso delle citate specializzazioni, nomini come Presidente un medico che abbia svolto attività per almeno un anno (in luogo di tre) in organi di accertamento in materia assistenziale o previdenziale (</w:t>
      </w:r>
      <w:r w:rsidRPr="3B0D2A97">
        <w:rPr>
          <w:b/>
        </w:rPr>
        <w:t>punto 1.2)</w:t>
      </w:r>
    </w:p>
    <w:p w:rsidR="5B7A173B" w:rsidP="578A6A5D" w14:paraId="013523FC" w14:textId="2DD82511">
      <w:pPr>
        <w:spacing w:after="120"/>
        <w:jc w:val="both"/>
        <w:rPr>
          <w:color w:val="000000" w:themeColor="text1"/>
        </w:rPr>
      </w:pPr>
      <w:r w:rsidRPr="578A6A5D">
        <w:rPr>
          <w:color w:val="000000" w:themeColor="text1"/>
        </w:rPr>
        <w:t>Viene, quindi, eliminato l’obbligo della presenza di un componente specializzato in medicina legale</w:t>
      </w:r>
      <w:r w:rsidRPr="578A6A5D">
        <w:rPr>
          <w:rFonts w:ascii="Aptos" w:eastAsia="Aptos" w:hAnsi="Aptos" w:cs="Aptos"/>
          <w:b/>
          <w:bCs/>
          <w:color w:val="000000" w:themeColor="text1"/>
        </w:rPr>
        <w:t xml:space="preserve"> </w:t>
      </w:r>
      <w:r w:rsidRPr="03A8ABC7">
        <w:t>con seguente soppressione del quarto periodo del comma 2</w:t>
      </w:r>
      <w:r w:rsidRPr="578A6A5D">
        <w:rPr>
          <w:color w:val="215E99" w:themeColor="text2" w:themeTint="BF"/>
        </w:rPr>
        <w:t xml:space="preserve"> </w:t>
      </w:r>
      <w:r w:rsidRPr="578A6A5D">
        <w:rPr>
          <w:color w:val="000000" w:themeColor="text1"/>
        </w:rPr>
        <w:t>(</w:t>
      </w:r>
      <w:r w:rsidRPr="578A6A5D">
        <w:rPr>
          <w:b/>
          <w:bCs/>
          <w:color w:val="000000" w:themeColor="text1"/>
        </w:rPr>
        <w:t>punto 1.3).</w:t>
      </w:r>
      <w:r w:rsidRPr="578A6A5D">
        <w:rPr>
          <w:color w:val="000000" w:themeColor="text1"/>
        </w:rPr>
        <w:t xml:space="preserve"> </w:t>
      </w:r>
    </w:p>
    <w:p w:rsidR="578A6A5D" w:rsidP="578A6A5D" w14:paraId="15A36600" w14:textId="3737905B">
      <w:pPr>
        <w:spacing w:after="120"/>
        <w:jc w:val="both"/>
        <w:rPr>
          <w:rFonts w:eastAsia="Aptos"/>
          <w:color w:val="000000" w:themeColor="text1"/>
        </w:rPr>
      </w:pPr>
      <w:r w:rsidRPr="54779AAF">
        <w:t xml:space="preserve">Analoga modifica si apporta al </w:t>
      </w:r>
      <w:r w:rsidRPr="54779AAF">
        <w:rPr>
          <w:b/>
          <w:u w:val="single"/>
        </w:rPr>
        <w:t>comma 3</w:t>
      </w:r>
      <w:r w:rsidRPr="578A6A5D">
        <w:rPr>
          <w:color w:val="215E99" w:themeColor="text2" w:themeTint="BF"/>
        </w:rPr>
        <w:t xml:space="preserve">, </w:t>
      </w:r>
      <w:r w:rsidRPr="578A6A5D">
        <w:rPr>
          <w:color w:val="000000" w:themeColor="text1"/>
        </w:rPr>
        <w:t>in particolare, per le UVB afferenti ai minori</w:t>
      </w:r>
      <w:r w:rsidRPr="54779AAF" w:rsidR="5861D7F4">
        <w:rPr>
          <w:color w:val="000000" w:themeColor="text1"/>
        </w:rPr>
        <w:t xml:space="preserve"> (</w:t>
      </w:r>
      <w:r w:rsidRPr="54779AAF" w:rsidR="5861D7F4">
        <w:rPr>
          <w:b/>
          <w:bCs/>
          <w:color w:val="000000" w:themeColor="text1"/>
        </w:rPr>
        <w:t>punto 2</w:t>
      </w:r>
      <w:r w:rsidRPr="54779AAF" w:rsidR="5861D7F4">
        <w:rPr>
          <w:color w:val="000000" w:themeColor="text1"/>
        </w:rPr>
        <w:t>)</w:t>
      </w:r>
      <w:r w:rsidRPr="54779AAF">
        <w:rPr>
          <w:color w:val="000000" w:themeColor="text1"/>
        </w:rPr>
        <w:t>.</w:t>
      </w:r>
      <w:r w:rsidRPr="578A6A5D">
        <w:rPr>
          <w:color w:val="000000" w:themeColor="text1"/>
        </w:rPr>
        <w:t xml:space="preserve"> Inoltre, per le medesime UVB si prevede la possibilità di partecipazione, anche in modalità a distanza mediante video-collegamento da parte del medico specializzato nella patologia che connota la condizione di salute del minore. Tale modalità partecipativa potrebbe sopperire alla carenza, in alcuni territori, di medici specializzati nella specifica patologia oggetto di accertamento, permettendo di assicurare la funzionalità delle commissioni sull’intero territorio nazionale/regionale e di garantire la partecipazione in tutti i territori regionali alle commissioni da attivare sulla base del numero di domande pervenute e non pregiudicare il buon andamento dei risultati della sperimentazione.</w:t>
      </w:r>
    </w:p>
    <w:p w:rsidR="1DCF96F5" w:rsidP="54779AAF" w14:paraId="61A8663F" w14:textId="2D707643">
      <w:pPr>
        <w:spacing w:after="120"/>
        <w:jc w:val="both"/>
        <w:rPr>
          <w:b/>
          <w:bCs/>
          <w:color w:val="000000" w:themeColor="text1"/>
        </w:rPr>
      </w:pPr>
      <w:r w:rsidRPr="54779AAF">
        <w:rPr>
          <w:b/>
          <w:bCs/>
          <w:color w:val="000000" w:themeColor="text1"/>
        </w:rPr>
        <w:t xml:space="preserve">Le </w:t>
      </w:r>
      <w:r w:rsidRPr="54779AAF">
        <w:rPr>
          <w:b/>
          <w:bCs/>
          <w:color w:val="000000" w:themeColor="text1"/>
        </w:rPr>
        <w:t>predette</w:t>
      </w:r>
      <w:r w:rsidRPr="54779AAF">
        <w:rPr>
          <w:b/>
          <w:bCs/>
          <w:color w:val="000000" w:themeColor="text1"/>
        </w:rPr>
        <w:t xml:space="preserve"> disposizioni hanno natura ordinamentale e non comportano pertanto nuovi o maggiori oneri a carico della finanza pubblica.</w:t>
      </w:r>
    </w:p>
    <w:p w:rsidR="00DB3426" w:rsidRPr="00987C41" w:rsidP="00987C41" w14:paraId="331C2F58" w14:textId="1949E90D">
      <w:pPr>
        <w:spacing w:after="120"/>
        <w:jc w:val="both"/>
        <w:rPr>
          <w:rFonts w:eastAsia="Aptos"/>
          <w:strike/>
        </w:rPr>
      </w:pPr>
      <w:r w:rsidRPr="00987C41">
        <w:rPr>
          <w:rFonts w:eastAsia="Aptos"/>
        </w:rPr>
        <w:t>Proprio in considerazione del fatto che le procedure di assunzione sono attualmente in corso, l’eliminazione di tale vincolo normativo potrebbe essere compiutamente assolto attraverso l’impiego delle risorse stanziate a legislazione vigente. </w:t>
      </w:r>
    </w:p>
    <w:p w:rsidR="00DB3426" w:rsidRPr="00987C41" w:rsidP="00987C41" w14:paraId="655F0F32" w14:textId="6908B6D7">
      <w:pPr>
        <w:spacing w:after="120"/>
        <w:jc w:val="both"/>
        <w:rPr>
          <w:rFonts w:eastAsia="Aptos"/>
          <w:i/>
          <w:color w:val="0070C0"/>
        </w:rPr>
      </w:pPr>
      <w:r w:rsidRPr="00987C41">
        <w:rPr>
          <w:rFonts w:eastAsia="Aptos"/>
        </w:rPr>
        <w:t>Quanto al</w:t>
      </w:r>
      <w:r w:rsidRPr="00987C41">
        <w:rPr>
          <w:rFonts w:eastAsia="Aptos"/>
          <w:i/>
          <w:iCs/>
        </w:rPr>
        <w:t xml:space="preserve"> </w:t>
      </w:r>
      <w:r w:rsidRPr="00987C41">
        <w:rPr>
          <w:rFonts w:eastAsia="Aptos"/>
          <w:b/>
          <w:bCs/>
          <w:u w:val="single"/>
        </w:rPr>
        <w:t>comma 3</w:t>
      </w:r>
      <w:r w:rsidR="00EC2185">
        <w:rPr>
          <w:rFonts w:eastAsia="Aptos"/>
          <w:b/>
          <w:bCs/>
          <w:u w:val="single"/>
        </w:rPr>
        <w:t>,</w:t>
      </w:r>
      <w:r w:rsidRPr="00987C41">
        <w:rPr>
          <w:rFonts w:eastAsia="Aptos"/>
          <w:b/>
          <w:bCs/>
          <w:u w:val="single"/>
        </w:rPr>
        <w:t xml:space="preserve"> lettera</w:t>
      </w:r>
      <w:r w:rsidRPr="00987C41">
        <w:rPr>
          <w:rFonts w:eastAsia="Aptos"/>
          <w:b/>
          <w:bCs/>
          <w:i/>
          <w:iCs/>
          <w:u w:val="single"/>
        </w:rPr>
        <w:t xml:space="preserve"> b)</w:t>
      </w:r>
      <w:r w:rsidRPr="00987C41">
        <w:rPr>
          <w:rFonts w:eastAsia="Aptos"/>
          <w:i/>
          <w:iCs/>
        </w:rPr>
        <w:t>,</w:t>
      </w:r>
      <w:r w:rsidRPr="074F8B57">
        <w:rPr>
          <w:rFonts w:eastAsia="Aptos"/>
          <w:color w:val="000000" w:themeColor="text1"/>
        </w:rPr>
        <w:t xml:space="preserve"> </w:t>
      </w:r>
      <w:r w:rsidRPr="074F8B57" w:rsidR="060E44C7">
        <w:rPr>
          <w:color w:val="000000" w:themeColor="text1"/>
        </w:rPr>
        <w:t>introduce modifiche all’articolo 15 del decreto legislativo n. 62 del 2024 apportando alcune semplificazioni nelle modalità di trasmissione documentale tra gli enti coinvolti nei processi di valutazione di base e multidimensionale. In particolare</w:t>
      </w:r>
      <w:r w:rsidRPr="06FBD7E0" w:rsidR="1F5A60FB">
        <w:rPr>
          <w:color w:val="000000" w:themeColor="text1"/>
        </w:rPr>
        <w:t>,</w:t>
      </w:r>
      <w:r w:rsidRPr="074F8B57">
        <w:rPr>
          <w:rFonts w:eastAsia="Aptos"/>
          <w:i/>
          <w:iCs/>
        </w:rPr>
        <w:t xml:space="preserve"> </w:t>
      </w:r>
      <w:r w:rsidRPr="074F8B57">
        <w:rPr>
          <w:rFonts w:eastAsia="Aptos"/>
        </w:rPr>
        <w:t>si</w:t>
      </w:r>
      <w:r w:rsidRPr="074F8B57">
        <w:rPr>
          <w:rFonts w:eastAsia="Aptos"/>
          <w:i/>
          <w:iCs/>
        </w:rPr>
        <w:t xml:space="preserve"> </w:t>
      </w:r>
      <w:r w:rsidRPr="074F8B57">
        <w:rPr>
          <w:rFonts w:eastAsia="Aptos"/>
        </w:rPr>
        <w:t>prevede</w:t>
      </w:r>
      <w:r w:rsidRPr="074F8B57" w:rsidR="348BAF9B">
        <w:rPr>
          <w:rFonts w:eastAsia="Aptos"/>
        </w:rPr>
        <w:t xml:space="preserve"> che</w:t>
      </w:r>
      <w:r w:rsidRPr="00987C41">
        <w:rPr>
          <w:rFonts w:eastAsia="Aptos"/>
        </w:rPr>
        <w:t xml:space="preserve"> la trasmissione dell’istanza di avvio del procedimento per la formazione del Progetto di vita individuale personalizzato e partecipato avvenga </w:t>
      </w:r>
      <w:r w:rsidRPr="7D29B4F0" w:rsidR="00C54238">
        <w:rPr>
          <w:rFonts w:eastAsia="Aptos"/>
        </w:rPr>
        <w:t>previa presentazione</w:t>
      </w:r>
      <w:r w:rsidRPr="7D29B4F0" w:rsidR="480BD825">
        <w:rPr>
          <w:rFonts w:eastAsia="Aptos"/>
        </w:rPr>
        <w:t xml:space="preserve">, </w:t>
      </w:r>
      <w:r w:rsidRPr="00987C41">
        <w:rPr>
          <w:rFonts w:eastAsia="Aptos"/>
        </w:rPr>
        <w:t>da parte dell’interessato</w:t>
      </w:r>
      <w:r w:rsidRPr="7D29B4F0" w:rsidR="480BD825">
        <w:rPr>
          <w:rFonts w:eastAsia="Aptos"/>
        </w:rPr>
        <w:t>,</w:t>
      </w:r>
      <w:r w:rsidRPr="00987C41" w:rsidR="00C54238">
        <w:rPr>
          <w:rFonts w:eastAsia="Aptos"/>
        </w:rPr>
        <w:t xml:space="preserve"> di espressa istanza </w:t>
      </w:r>
      <w:r w:rsidRPr="00987C41">
        <w:rPr>
          <w:rFonts w:eastAsia="Aptos"/>
        </w:rPr>
        <w:t>per il tramite di un apposito servizio messo a disposizione dall’INPS</w:t>
      </w:r>
      <w:r w:rsidRPr="2CA891C1" w:rsidR="1BF06F24">
        <w:rPr>
          <w:rFonts w:eastAsia="Aptos"/>
        </w:rPr>
        <w:t xml:space="preserve"> </w:t>
      </w:r>
      <w:r w:rsidRPr="2CA891C1" w:rsidR="1BF06F24">
        <w:rPr>
          <w:color w:val="000000" w:themeColor="text1"/>
        </w:rPr>
        <w:t>che si interfaccia con eventuali piattaforme regionali</w:t>
      </w:r>
      <w:r w:rsidRPr="7D29B4F0">
        <w:rPr>
          <w:rFonts w:eastAsia="Aptos"/>
        </w:rPr>
        <w:t>.</w:t>
      </w:r>
      <w:r w:rsidRPr="00987C41">
        <w:rPr>
          <w:rFonts w:eastAsia="Aptos"/>
        </w:rPr>
        <w:t xml:space="preserve"> </w:t>
      </w:r>
      <w:r w:rsidRPr="00D22BDE" w:rsidR="009E4D59">
        <w:rPr>
          <w:rFonts w:eastAsia="Aptos"/>
          <w:b/>
          <w:color w:val="0070C0"/>
        </w:rPr>
        <w:t>L</w:t>
      </w:r>
      <w:r w:rsidRPr="06FBD7E0" w:rsidR="009E4D59">
        <w:rPr>
          <w:rFonts w:eastAsia="Aptos"/>
          <w:b/>
          <w:color w:val="0070C0"/>
        </w:rPr>
        <w:t xml:space="preserve">a disposizione ha l’unico effetto di ridurre il gravame amministrativo </w:t>
      </w:r>
      <w:r w:rsidRPr="06FBD7E0" w:rsidR="18BFC391">
        <w:rPr>
          <w:rFonts w:eastAsia="Aptos"/>
          <w:b/>
          <w:color w:val="0070C0"/>
        </w:rPr>
        <w:t>de</w:t>
      </w:r>
      <w:r w:rsidRPr="06FBD7E0" w:rsidR="009E4D59">
        <w:rPr>
          <w:rFonts w:eastAsia="Aptos"/>
          <w:b/>
          <w:color w:val="0070C0"/>
        </w:rPr>
        <w:t xml:space="preserve">ll’INPS. Le funzioni informatiche per la gestione </w:t>
      </w:r>
      <w:r w:rsidRPr="06FBD7E0" w:rsidR="00341CA2">
        <w:rPr>
          <w:rFonts w:eastAsia="Aptos"/>
          <w:b/>
          <w:color w:val="0070C0"/>
        </w:rPr>
        <w:t>dell’istanza sono</w:t>
      </w:r>
      <w:r w:rsidRPr="06FBD7E0" w:rsidR="009E4D59">
        <w:rPr>
          <w:rFonts w:eastAsia="Aptos"/>
          <w:b/>
          <w:color w:val="0070C0"/>
        </w:rPr>
        <w:t xml:space="preserve"> state già realizzate per il caso in cui, a legislazione vigente, la persona con disabilità chieda di avviare il procedimento in occasione della visita. Le stesse funzioni saranno, ora, messe a disposizione direttamente della persona con disabilità. La disposizione, perciò,</w:t>
      </w:r>
      <w:r w:rsidRPr="06FBD7E0" w:rsidR="00EF30B3">
        <w:rPr>
          <w:rFonts w:eastAsia="Aptos"/>
          <w:b/>
          <w:color w:val="0070C0"/>
        </w:rPr>
        <w:t xml:space="preserve"> </w:t>
      </w:r>
      <w:r w:rsidRPr="06FBD7E0">
        <w:rPr>
          <w:rFonts w:eastAsia="Aptos"/>
          <w:b/>
          <w:color w:val="0070C0"/>
        </w:rPr>
        <w:t>non comporta nuovi o maggiori oneri per la finanza pubblica.</w:t>
      </w:r>
      <w:r w:rsidRPr="06FBD7E0">
        <w:rPr>
          <w:rFonts w:eastAsia="Aptos"/>
          <w:color w:val="0070C0"/>
        </w:rPr>
        <w:t xml:space="preserve"> </w:t>
      </w:r>
    </w:p>
    <w:p w:rsidR="00DB3426" w:rsidRPr="004242F4" w:rsidP="0014361A" w14:paraId="3EF02BC4" w14:textId="3B7D4B89">
      <w:pPr>
        <w:spacing w:before="120" w:after="120"/>
        <w:jc w:val="both"/>
        <w:rPr>
          <w:rFonts w:eastAsia="Aptos"/>
          <w:b/>
          <w:color w:val="4C94D8" w:themeColor="text2" w:themeTint="80"/>
        </w:rPr>
      </w:pPr>
      <w:r w:rsidRPr="5CC5AEE8">
        <w:rPr>
          <w:rFonts w:eastAsia="Aptos"/>
        </w:rPr>
        <w:t xml:space="preserve">La </w:t>
      </w:r>
      <w:r w:rsidRPr="5CC5AEE8">
        <w:rPr>
          <w:rFonts w:eastAsia="Aptos"/>
          <w:b/>
          <w:bCs/>
          <w:u w:val="single"/>
        </w:rPr>
        <w:t>lettera</w:t>
      </w:r>
      <w:r w:rsidRPr="5CC5AEE8">
        <w:rPr>
          <w:rFonts w:eastAsia="Aptos"/>
          <w:b/>
          <w:bCs/>
          <w:i/>
          <w:iCs/>
          <w:u w:val="single"/>
        </w:rPr>
        <w:t xml:space="preserve"> c)</w:t>
      </w:r>
      <w:r w:rsidRPr="5CC5AEE8">
        <w:rPr>
          <w:rFonts w:eastAsia="Aptos"/>
        </w:rPr>
        <w:t xml:space="preserve"> </w:t>
      </w:r>
      <w:r w:rsidRPr="5CC5AEE8" w:rsidR="0278464D">
        <w:rPr>
          <w:color w:val="000000" w:themeColor="text1"/>
        </w:rPr>
        <w:t>inserisce all’articolo 16 del decreto legislativo n. 62 del 2024 il comma 1-bis che</w:t>
      </w:r>
      <w:r w:rsidRPr="3F3D839F">
        <w:rPr>
          <w:rFonts w:eastAsia="Aptos"/>
          <w:color w:val="000000" w:themeColor="text1"/>
        </w:rPr>
        <w:t xml:space="preserve"> </w:t>
      </w:r>
      <w:r w:rsidRPr="00987C41">
        <w:rPr>
          <w:rFonts w:eastAsia="Aptos"/>
        </w:rPr>
        <w:t>introduce semplificazioni e permette</w:t>
      </w:r>
      <w:r w:rsidRPr="3F3D839F" w:rsidR="47DA05A6">
        <w:rPr>
          <w:rFonts w:eastAsia="Aptos"/>
        </w:rPr>
        <w:t>,</w:t>
      </w:r>
      <w:r w:rsidRPr="00987C41">
        <w:rPr>
          <w:rFonts w:eastAsia="Aptos"/>
        </w:rPr>
        <w:t xml:space="preserve"> nelle more della piena interoperabilità delle banche dati dell’INPS con il Fascicolo Sanitario Elettronico</w:t>
      </w:r>
      <w:r w:rsidRPr="3F3D839F" w:rsidR="145BB4C8">
        <w:rPr>
          <w:rFonts w:eastAsia="Aptos"/>
        </w:rPr>
        <w:t>,</w:t>
      </w:r>
      <w:r w:rsidRPr="00987C41">
        <w:rPr>
          <w:rFonts w:eastAsia="Aptos"/>
        </w:rPr>
        <w:t xml:space="preserve"> una più efficiente collaborazione tra gli enti che erogano prestazioni </w:t>
      </w:r>
      <w:r w:rsidRPr="3F3D839F" w:rsidR="7DBBBE5A">
        <w:rPr>
          <w:rFonts w:eastAsia="Aptos"/>
        </w:rPr>
        <w:t>a tutela dei disabili</w:t>
      </w:r>
      <w:r w:rsidRPr="3F3D839F">
        <w:rPr>
          <w:rFonts w:eastAsia="Aptos"/>
        </w:rPr>
        <w:t>.</w:t>
      </w:r>
      <w:r w:rsidRPr="00987C41">
        <w:rPr>
          <w:rFonts w:eastAsia="Aptos"/>
        </w:rPr>
        <w:t xml:space="preserve"> La misura verrà implementata attraverso l’impiego di banche dati già nella disponibilità dell’Istituto di cui occorre garantire la condivisione nel rispetto della normativa sulla protezione dei dati personali. </w:t>
      </w:r>
      <w:r w:rsidRPr="06FBD7E0" w:rsidR="00B63177">
        <w:rPr>
          <w:rFonts w:eastAsia="Aptos"/>
          <w:b/>
          <w:color w:val="0070C0"/>
        </w:rPr>
        <w:t>La disposizione di cui al comma 1-</w:t>
      </w:r>
      <w:r w:rsidRPr="06FBD7E0" w:rsidR="00B63177">
        <w:rPr>
          <w:rFonts w:eastAsia="Aptos"/>
          <w:b/>
          <w:i/>
          <w:color w:val="0070C0"/>
        </w:rPr>
        <w:t>bis</w:t>
      </w:r>
      <w:r w:rsidRPr="06FBD7E0" w:rsidR="00B63177">
        <w:rPr>
          <w:rFonts w:eastAsia="Aptos"/>
          <w:b/>
          <w:color w:val="0070C0"/>
        </w:rPr>
        <w:t xml:space="preserve"> è finalizzata ad individuare una modalità eventuale di esercizio dell'interoperabilità dei dati, che le parti (Inps, regioni e Provincia autonoma) potranno prevedere per evitare duplicazioni nel caricamento dei dati.  In ogni caso, trattandosi di una mera facoltà, anziché di un obbligo, l’INPS</w:t>
      </w:r>
      <w:r w:rsidRPr="06FBD7E0" w:rsidR="44DC4FAF">
        <w:rPr>
          <w:rFonts w:eastAsia="Aptos"/>
          <w:b/>
          <w:color w:val="0070C0"/>
        </w:rPr>
        <w:t>,</w:t>
      </w:r>
      <w:r w:rsidRPr="06FBD7E0" w:rsidR="00B63177">
        <w:rPr>
          <w:rFonts w:eastAsia="Aptos"/>
          <w:b/>
          <w:color w:val="0070C0"/>
        </w:rPr>
        <w:t xml:space="preserve"> le Regioni e le Province attueranno la norma solo ove sia possibile avvale</w:t>
      </w:r>
      <w:r w:rsidRPr="06FBD7E0" w:rsidR="7FD73BFB">
        <w:rPr>
          <w:rFonts w:eastAsia="Aptos"/>
          <w:b/>
          <w:color w:val="0070C0"/>
        </w:rPr>
        <w:t>r</w:t>
      </w:r>
      <w:r w:rsidRPr="06FBD7E0" w:rsidR="01A9B992">
        <w:rPr>
          <w:rFonts w:eastAsia="Aptos"/>
          <w:b/>
          <w:color w:val="0070C0"/>
        </w:rPr>
        <w:t>si</w:t>
      </w:r>
      <w:r w:rsidRPr="06FBD7E0" w:rsidR="00B63177">
        <w:rPr>
          <w:rFonts w:eastAsia="Aptos"/>
          <w:b/>
          <w:color w:val="0070C0"/>
        </w:rPr>
        <w:t xml:space="preserve"> delle </w:t>
      </w:r>
      <w:r w:rsidRPr="06FBD7E0" w:rsidR="4CEC4545">
        <w:rPr>
          <w:rFonts w:eastAsia="Aptos"/>
          <w:b/>
          <w:color w:val="0070C0"/>
        </w:rPr>
        <w:t>risors</w:t>
      </w:r>
      <w:r w:rsidRPr="06FBD7E0" w:rsidR="00B63177">
        <w:rPr>
          <w:rFonts w:eastAsia="Aptos"/>
          <w:b/>
          <w:color w:val="0070C0"/>
        </w:rPr>
        <w:t xml:space="preserve">e umane, finanziarie e strumentali disponibili a legislazione vigente. Ci si attende che sarà sempre possibile </w:t>
      </w:r>
      <w:r w:rsidRPr="06FBD7E0" w:rsidR="3B0BD925">
        <w:rPr>
          <w:rFonts w:eastAsia="Aptos"/>
          <w:b/>
          <w:color w:val="0070C0"/>
        </w:rPr>
        <w:t>esercitare</w:t>
      </w:r>
      <w:r w:rsidRPr="06FBD7E0" w:rsidR="00B63177">
        <w:rPr>
          <w:rFonts w:eastAsia="Aptos"/>
          <w:b/>
          <w:color w:val="0070C0"/>
        </w:rPr>
        <w:t xml:space="preserve"> questa nuova facoltà (come detto, senza nuovi o maggiori oneri) poiché la misura verrà implementata attraverso l’impiego di banche dati già nella disponibilità dell’INPS</w:t>
      </w:r>
      <w:r w:rsidRPr="06FBD7E0" w:rsidR="1D9B55EC">
        <w:rPr>
          <w:rFonts w:eastAsia="Aptos"/>
          <w:b/>
          <w:color w:val="0070C0"/>
        </w:rPr>
        <w:t>,</w:t>
      </w:r>
      <w:r w:rsidRPr="06FBD7E0" w:rsidR="00B63177">
        <w:rPr>
          <w:rFonts w:eastAsia="Aptos"/>
          <w:b/>
          <w:color w:val="0070C0"/>
        </w:rPr>
        <w:t xml:space="preserve"> di cui occorre garantire la condivisione nel rispetto della normativa sulla protezione dei dati personali. L’INPS realizzerà un servizio per la messa a disposizione delle informazioni presenti nelle proprie banche dati a favore degli enti territoriali che erogano prestazioni con le risorse umane e finanziarie disponibili a legislazione vigente senza nuovi e maggiori oneri per la finanza pubblica. </w:t>
      </w:r>
      <w:r w:rsidRPr="06FBD7E0" w:rsidR="5A7C21F0">
        <w:rPr>
          <w:rFonts w:eastAsia="Aptos"/>
          <w:b/>
          <w:color w:val="0070C0"/>
        </w:rPr>
        <w:t>G</w:t>
      </w:r>
      <w:r w:rsidRPr="06FBD7E0" w:rsidR="00B63177">
        <w:rPr>
          <w:rFonts w:eastAsia="Aptos"/>
          <w:b/>
          <w:color w:val="0070C0"/>
        </w:rPr>
        <w:t>li enti territoriali potranno accreditarsi alla piattaforma gestita da INPS, previo convenzionamento. La disposizione si rende necessaria, anche in attesa della piena operabilità del Fascicolo Sanitario Elettronico, per fornire una base giuridica che permetta a</w:t>
      </w:r>
      <w:r w:rsidRPr="06FBD7E0" w:rsidR="54E52C70">
        <w:rPr>
          <w:rFonts w:eastAsia="Aptos"/>
          <w:b/>
          <w:color w:val="0070C0"/>
        </w:rPr>
        <w:t>ll’</w:t>
      </w:r>
      <w:r w:rsidRPr="06FBD7E0" w:rsidR="00B63177">
        <w:rPr>
          <w:rFonts w:eastAsia="Aptos"/>
          <w:b/>
          <w:color w:val="0070C0"/>
        </w:rPr>
        <w:t xml:space="preserve">INPS di trasferire agli enti </w:t>
      </w:r>
      <w:r w:rsidRPr="06FBD7E0" w:rsidR="266011D1">
        <w:rPr>
          <w:rFonts w:eastAsia="Aptos"/>
          <w:b/>
          <w:color w:val="0070C0"/>
        </w:rPr>
        <w:t>territoriali</w:t>
      </w:r>
      <w:r w:rsidRPr="06FBD7E0" w:rsidR="00B63177">
        <w:rPr>
          <w:rFonts w:eastAsia="Aptos"/>
          <w:b/>
          <w:color w:val="0070C0"/>
        </w:rPr>
        <w:t xml:space="preserve"> le informazioni necessarie per consentire di erogare le prestazioni e i servizi di competenza alle persone con disabilità</w:t>
      </w:r>
      <w:r w:rsidRPr="06FBD7E0">
        <w:rPr>
          <w:rFonts w:eastAsia="Aptos"/>
          <w:b/>
          <w:color w:val="0070C0"/>
        </w:rPr>
        <w:t>.</w:t>
      </w:r>
    </w:p>
    <w:p w:rsidR="0014361A" w:rsidRPr="006077F2" w:rsidP="0014361A" w14:paraId="07EE7F76" w14:textId="77777777">
      <w:pPr>
        <w:pStyle w:val="paragraph"/>
        <w:spacing w:before="120" w:beforeAutospacing="0" w:after="120" w:afterAutospacing="0"/>
        <w:jc w:val="both"/>
        <w:textAlignment w:val="baseline"/>
        <w:rPr>
          <w:rFonts w:eastAsia="Aptos"/>
          <w:bCs/>
        </w:rPr>
      </w:pPr>
      <w:r w:rsidRPr="00987C41">
        <w:rPr>
          <w:rFonts w:eastAsia="Aptos"/>
        </w:rPr>
        <w:t>Il</w:t>
      </w:r>
      <w:r w:rsidRPr="00987C41">
        <w:rPr>
          <w:rFonts w:eastAsia="Aptos"/>
          <w:i/>
          <w:iCs/>
        </w:rPr>
        <w:t xml:space="preserve"> </w:t>
      </w:r>
      <w:r w:rsidRPr="00987C41">
        <w:rPr>
          <w:rFonts w:eastAsia="Aptos"/>
          <w:b/>
          <w:bCs/>
          <w:u w:val="single"/>
        </w:rPr>
        <w:t>comma 4</w:t>
      </w:r>
      <w:r w:rsidRPr="00987C41">
        <w:rPr>
          <w:rFonts w:eastAsia="Aptos"/>
        </w:rPr>
        <w:t xml:space="preserve"> ha la finalità di semplificare le disposizioni procedurali in materia di utilizzo del Fondo unico per l'inclusione delle persone con disabilità</w:t>
      </w:r>
      <w:r w:rsidRPr="009E22B7" w:rsidR="009E22B7">
        <w:rPr>
          <w:rFonts w:eastAsia="Aptos"/>
          <w:b/>
          <w:bCs/>
        </w:rPr>
        <w:t xml:space="preserve">, </w:t>
      </w:r>
      <w:r w:rsidRPr="006077F2" w:rsidR="009E22B7">
        <w:rPr>
          <w:rFonts w:eastAsia="Aptos"/>
          <w:bCs/>
        </w:rPr>
        <w:t xml:space="preserve">lasciandone invariate la dotazione e le finalità, e, pertanto, </w:t>
      </w:r>
      <w:r w:rsidRPr="006077F2" w:rsidR="009E22B7">
        <w:rPr>
          <w:rFonts w:eastAsia="Aptos"/>
          <w:b/>
        </w:rPr>
        <w:t>non comporta nuovi o maggiori oneri per la finanza pubblica</w:t>
      </w:r>
      <w:r w:rsidRPr="006077F2" w:rsidR="009E22B7">
        <w:rPr>
          <w:rFonts w:eastAsia="Aptos"/>
          <w:bCs/>
        </w:rPr>
        <w:t xml:space="preserve">. </w:t>
      </w:r>
      <w:bookmarkStart w:id="23" w:name="_Hlk219641107"/>
      <w:r w:rsidRPr="006077F2" w:rsidR="009E22B7">
        <w:rPr>
          <w:rFonts w:eastAsia="Aptos"/>
          <w:bCs/>
        </w:rPr>
        <w:t>Si rappresenta che la Corte dei conti, con la deliberazione n. 51/2025/CCC, nello stigmatizzare la lentezza nelle attività di finalizzazione del Fondo, scrive: «La dinamica attuazione, in sintesi, […] risente, anche in prospettiva diacronica, delle difficoltà fisiologicamente connesse alle attività di concertazione presupposte e ai meccanismi di acquisizione degli assensi da parte degli attori coinvolti.»</w:t>
      </w:r>
      <w:bookmarkEnd w:id="23"/>
      <w:r w:rsidRPr="006077F2">
        <w:rPr>
          <w:rFonts w:eastAsia="Aptos"/>
          <w:bCs/>
        </w:rPr>
        <w:t> </w:t>
      </w:r>
    </w:p>
    <w:p w:rsidR="003706E3" w:rsidRPr="008B20CE" w:rsidP="0014361A" w14:paraId="2820224F" w14:textId="5A0D30B4">
      <w:pPr>
        <w:pStyle w:val="paragraph"/>
        <w:spacing w:before="120" w:beforeAutospacing="0" w:after="120" w:afterAutospacing="0"/>
        <w:jc w:val="both"/>
        <w:textAlignment w:val="baseline"/>
        <w:rPr>
          <w:rStyle w:val="eop"/>
          <w:rFonts w:eastAsiaTheme="majorEastAsia"/>
        </w:rPr>
      </w:pPr>
      <w:r w:rsidRPr="006077F2">
        <w:rPr>
          <w:rFonts w:eastAsia="Aptos"/>
          <w:b/>
          <w:bCs/>
        </w:rPr>
        <w:t>I</w:t>
      </w:r>
      <w:r w:rsidRPr="006077F2" w:rsidR="00DF3E14">
        <w:rPr>
          <w:rFonts w:eastAsia="Aptos"/>
          <w:b/>
        </w:rPr>
        <w:t xml:space="preserve"> commi 5 e 6 </w:t>
      </w:r>
      <w:r w:rsidRPr="006077F2" w:rsidR="00DF3E14">
        <w:rPr>
          <w:rFonts w:eastAsia="Aptos"/>
          <w:bCs/>
        </w:rPr>
        <w:t>recano disposizioni integrative al decreto legislativo n. 222 del 2023, adottato in attuazione dell’articolo 1, comma 4, della legge n. 227 del 2021 e del decreto – legge 9 giugno 2021, n. 80. L’intervento</w:t>
      </w:r>
      <w:r w:rsidRPr="006077F2" w:rsidR="2A15B84F">
        <w:rPr>
          <w:rFonts w:eastAsia="Aptos"/>
        </w:rPr>
        <w:t>,</w:t>
      </w:r>
      <w:r w:rsidRPr="006077F2" w:rsidR="00DF3E14">
        <w:rPr>
          <w:rFonts w:eastAsia="Aptos"/>
          <w:bCs/>
        </w:rPr>
        <w:t xml:space="preserve"> in considerazione dell’istituzione dell’Autorità Garante nazionale dei diritti delle persone con disabilità</w:t>
      </w:r>
      <w:r w:rsidRPr="006077F2" w:rsidR="5EBA4CF9">
        <w:rPr>
          <w:rFonts w:eastAsia="Aptos"/>
        </w:rPr>
        <w:t>,</w:t>
      </w:r>
      <w:r w:rsidRPr="006077F2" w:rsidR="00DF3E14">
        <w:rPr>
          <w:rFonts w:eastAsia="Aptos"/>
          <w:bCs/>
        </w:rPr>
        <w:t xml:space="preserve"> prevede che la stessa </w:t>
      </w:r>
      <w:r w:rsidRPr="006077F2" w:rsidR="00DF3E14">
        <w:rPr>
          <w:rFonts w:eastAsia="Aptos"/>
        </w:rPr>
        <w:t>partecip</w:t>
      </w:r>
      <w:r w:rsidRPr="006077F2" w:rsidR="4C8DCF85">
        <w:rPr>
          <w:rFonts w:eastAsia="Aptos"/>
        </w:rPr>
        <w:t>i</w:t>
      </w:r>
      <w:r w:rsidRPr="006077F2" w:rsidR="00DF3E14">
        <w:rPr>
          <w:rFonts w:eastAsia="Aptos"/>
        </w:rPr>
        <w:t xml:space="preserve"> </w:t>
      </w:r>
      <w:r w:rsidRPr="006077F2" w:rsidR="5B67D5CB">
        <w:rPr>
          <w:rFonts w:eastAsia="Aptos"/>
        </w:rPr>
        <w:t>ai</w:t>
      </w:r>
      <w:r w:rsidRPr="006077F2" w:rsidR="00DF3E14">
        <w:rPr>
          <w:rFonts w:eastAsia="Aptos"/>
          <w:bCs/>
        </w:rPr>
        <w:t xml:space="preserve"> processi diretti a garantire l’accessibilità e l’inclusione delle persone con disabilità. In particolare, i</w:t>
      </w:r>
      <w:r w:rsidRPr="006077F2" w:rsidR="00830CEA">
        <w:rPr>
          <w:rFonts w:eastAsia="Aptos"/>
          <w:bCs/>
        </w:rPr>
        <w:t>l</w:t>
      </w:r>
      <w:r w:rsidRPr="006077F2" w:rsidR="00830CEA">
        <w:rPr>
          <w:rFonts w:eastAsia="Aptos"/>
          <w:b/>
        </w:rPr>
        <w:t> </w:t>
      </w:r>
      <w:r w:rsidRPr="006077F2" w:rsidR="00830CEA">
        <w:rPr>
          <w:rFonts w:eastAsia="Aptos"/>
          <w:b/>
          <w:bCs/>
          <w:u w:val="single"/>
        </w:rPr>
        <w:t>comma 5</w:t>
      </w:r>
      <w:r w:rsidRPr="006077F2" w:rsidR="00830CEA">
        <w:rPr>
          <w:rStyle w:val="normaltextrun"/>
          <w:rFonts w:eastAsiaTheme="majorEastAsia"/>
        </w:rPr>
        <w:t> </w:t>
      </w:r>
      <w:r w:rsidRPr="0014361A" w:rsidR="00F56A00">
        <w:rPr>
          <w:rFonts w:eastAsiaTheme="majorEastAsia"/>
        </w:rPr>
        <w:t xml:space="preserve">interviene sull’articolo 6, comma 2-bis, </w:t>
      </w:r>
      <w:r w:rsidRPr="6A17CA46" w:rsidR="00F56A00">
        <w:rPr>
          <w:rFonts w:eastAsiaTheme="majorEastAsia"/>
          <w:b/>
        </w:rPr>
        <w:t>terzo periodo</w:t>
      </w:r>
      <w:r w:rsidRPr="0014361A" w:rsidR="00F56A00">
        <w:rPr>
          <w:rFonts w:eastAsiaTheme="majorEastAsia"/>
        </w:rPr>
        <w:t>, del decreto-legge 9 giugno 2021, n. 80</w:t>
      </w:r>
      <w:r w:rsidRPr="0014361A" w:rsidR="007E3DBB">
        <w:rPr>
          <w:rFonts w:eastAsiaTheme="majorEastAsia"/>
        </w:rPr>
        <w:t>.</w:t>
      </w:r>
      <w:r w:rsidRPr="0014361A" w:rsidR="00F56A00">
        <w:rPr>
          <w:rFonts w:eastAsiaTheme="majorEastAsia"/>
        </w:rPr>
        <w:t xml:space="preserve"> </w:t>
      </w:r>
      <w:r w:rsidRPr="0014361A" w:rsidR="002D5C81">
        <w:rPr>
          <w:rStyle w:val="normaltextrun"/>
          <w:rFonts w:eastAsiaTheme="majorEastAsia"/>
        </w:rPr>
        <w:t xml:space="preserve">Tale </w:t>
      </w:r>
      <w:r w:rsidRPr="0014361A" w:rsidR="00830CEA">
        <w:rPr>
          <w:rStyle w:val="normaltextrun"/>
          <w:rFonts w:eastAsiaTheme="majorEastAsia"/>
        </w:rPr>
        <w:t>disposizione</w:t>
      </w:r>
      <w:r w:rsidRPr="0014361A" w:rsidR="007E3DBB">
        <w:rPr>
          <w:rStyle w:val="normaltextrun"/>
          <w:rFonts w:eastAsiaTheme="majorEastAsia"/>
        </w:rPr>
        <w:t>,</w:t>
      </w:r>
      <w:r w:rsidRPr="0014361A" w:rsidR="00830CEA">
        <w:rPr>
          <w:rStyle w:val="normaltextrun"/>
          <w:rFonts w:eastAsiaTheme="majorEastAsia"/>
        </w:rPr>
        <w:t xml:space="preserve"> </w:t>
      </w:r>
      <w:r w:rsidRPr="0014361A" w:rsidR="007E3DBB">
        <w:rPr>
          <w:rFonts w:eastAsiaTheme="majorEastAsia"/>
        </w:rPr>
        <w:t xml:space="preserve">introdotta dall’articolo 3 del d.lgs. n. 222 del 2023, </w:t>
      </w:r>
      <w:r w:rsidRPr="0014361A" w:rsidR="007E3DBB">
        <w:rPr>
          <w:rStyle w:val="normaltextrun"/>
          <w:rFonts w:eastAsiaTheme="majorEastAsia"/>
        </w:rPr>
        <w:t>prevede</w:t>
      </w:r>
      <w:r w:rsidRPr="0014361A" w:rsidR="00830CEA">
        <w:rPr>
          <w:rStyle w:val="normaltextrun"/>
          <w:rFonts w:eastAsiaTheme="majorEastAsia"/>
        </w:rPr>
        <w:t xml:space="preserve"> che le pubbliche amministrazioni </w:t>
      </w:r>
      <w:r w:rsidRPr="0014361A" w:rsidR="00093A45">
        <w:rPr>
          <w:rStyle w:val="normaltextrun"/>
          <w:rFonts w:eastAsiaTheme="majorEastAsia"/>
        </w:rPr>
        <w:t>so</w:t>
      </w:r>
      <w:r w:rsidRPr="0014361A" w:rsidR="003017C7">
        <w:rPr>
          <w:rStyle w:val="normaltextrun"/>
          <w:rFonts w:eastAsiaTheme="majorEastAsia"/>
        </w:rPr>
        <w:t>no</w:t>
      </w:r>
      <w:r w:rsidRPr="0014361A" w:rsidR="00830CEA">
        <w:rPr>
          <w:rStyle w:val="normaltextrun"/>
          <w:rFonts w:eastAsiaTheme="majorEastAsia"/>
        </w:rPr>
        <w:t xml:space="preserve"> tenute a designare, tra il personale in servizio, un dirigente amministrativo o un dipendente ad esso equiparato con esperienza documentata, o comprovata formazione, in materia di inclusione sociale e accessibilità delle persone con disabilità cui spettano determinati compiti. I nominativi dei referenti designati devono essere comunicati al Dipartimento della funzione pubblica presso la Presidenza del Consiglio </w:t>
      </w:r>
      <w:r w:rsidRPr="008B20CE" w:rsidR="00830CEA">
        <w:rPr>
          <w:rStyle w:val="normaltextrun"/>
          <w:rFonts w:eastAsiaTheme="majorEastAsia"/>
        </w:rPr>
        <w:t>dei ministri. </w:t>
      </w:r>
      <w:r w:rsidRPr="008B20CE" w:rsidR="00830CEA">
        <w:rPr>
          <w:rStyle w:val="eop"/>
          <w:rFonts w:eastAsiaTheme="majorEastAsia"/>
        </w:rPr>
        <w:t> </w:t>
      </w:r>
    </w:p>
    <w:p w:rsidR="00187C7E" w:rsidRPr="008B20CE" w:rsidP="003706E3" w14:paraId="51328C6F" w14:textId="471118A7">
      <w:pPr>
        <w:pStyle w:val="paragraph"/>
        <w:spacing w:before="0" w:beforeAutospacing="0" w:after="0" w:afterAutospacing="0"/>
        <w:jc w:val="both"/>
        <w:textAlignment w:val="baseline"/>
        <w:rPr>
          <w:rFonts w:eastAsia="Aptos"/>
          <w:b/>
        </w:rPr>
      </w:pPr>
      <w:r w:rsidRPr="008B20CE">
        <w:rPr>
          <w:rFonts w:eastAsia="Aptos"/>
          <w:bCs/>
        </w:rPr>
        <w:t xml:space="preserve">La norma in esame prevede che i nominativi dei referenti individuati siano comunicati anche all’Autorità Garante Nazionale dei diritti delle persone con disabilità. Si tratta di una disposizione che si limita a mutare – e solo con riferimento ai soggetti destinatari dell’informazione – le modalità applicative di un </w:t>
      </w:r>
      <w:r w:rsidRPr="008B20CE" w:rsidR="0480A11B">
        <w:rPr>
          <w:rFonts w:eastAsia="Aptos"/>
        </w:rPr>
        <w:t>onere</w:t>
      </w:r>
      <w:r w:rsidRPr="008B20CE">
        <w:rPr>
          <w:rFonts w:eastAsia="Aptos"/>
          <w:bCs/>
        </w:rPr>
        <w:t xml:space="preserve"> amministrativo già previsto a legislazione vigente.</w:t>
      </w:r>
      <w:r w:rsidRPr="008B20CE">
        <w:rPr>
          <w:rFonts w:eastAsia="Aptos"/>
          <w:b/>
        </w:rPr>
        <w:t xml:space="preserve"> </w:t>
      </w:r>
      <w:r w:rsidRPr="008B20CE" w:rsidR="67657787">
        <w:rPr>
          <w:rFonts w:eastAsia="Aptos"/>
          <w:b/>
          <w:bCs/>
        </w:rPr>
        <w:t>La disposizione non</w:t>
      </w:r>
      <w:r w:rsidRPr="008B20CE">
        <w:rPr>
          <w:rFonts w:eastAsia="Aptos"/>
          <w:b/>
          <w:bCs/>
        </w:rPr>
        <w:t xml:space="preserve"> comporta, per</w:t>
      </w:r>
      <w:r w:rsidRPr="008B20CE" w:rsidR="4BA39651">
        <w:rPr>
          <w:rFonts w:eastAsia="Aptos"/>
          <w:b/>
          <w:bCs/>
        </w:rPr>
        <w:t>tanto</w:t>
      </w:r>
      <w:r w:rsidRPr="008B20CE">
        <w:rPr>
          <w:rFonts w:eastAsia="Aptos"/>
          <w:b/>
        </w:rPr>
        <w:t>, nuovi o maggiori oneri per la finanza pubblica.</w:t>
      </w:r>
    </w:p>
    <w:p w:rsidR="009F016E" w:rsidRPr="008B20CE" w:rsidP="009F016E" w14:paraId="1DDCBD45" w14:textId="0DC68887">
      <w:pPr>
        <w:pStyle w:val="paragraph"/>
        <w:spacing w:before="0" w:beforeAutospacing="0" w:after="0" w:afterAutospacing="0"/>
        <w:jc w:val="both"/>
        <w:textAlignment w:val="baseline"/>
        <w:rPr>
          <w:rFonts w:eastAsia="Aptos"/>
          <w:bCs/>
        </w:rPr>
      </w:pPr>
      <w:r w:rsidRPr="00987C41">
        <w:rPr>
          <w:rFonts w:eastAsia="Aptos"/>
        </w:rPr>
        <w:t xml:space="preserve">Il </w:t>
      </w:r>
      <w:r w:rsidRPr="00987C41">
        <w:rPr>
          <w:rFonts w:eastAsia="Aptos"/>
          <w:b/>
          <w:bCs/>
          <w:u w:val="single"/>
        </w:rPr>
        <w:t xml:space="preserve">comma </w:t>
      </w:r>
      <w:r w:rsidR="002E1194">
        <w:rPr>
          <w:rFonts w:eastAsia="Aptos"/>
          <w:b/>
          <w:bCs/>
          <w:u w:val="single"/>
        </w:rPr>
        <w:t>6</w:t>
      </w:r>
      <w:r>
        <w:rPr>
          <w:rFonts w:eastAsia="Aptos"/>
          <w:b/>
          <w:bCs/>
          <w:u w:val="single"/>
        </w:rPr>
        <w:t>,</w:t>
      </w:r>
      <w:r w:rsidRPr="009F016E">
        <w:rPr>
          <w:rFonts w:eastAsia="Aptos"/>
          <w:b/>
          <w:bCs/>
          <w:u w:val="single"/>
        </w:rPr>
        <w:t xml:space="preserve"> </w:t>
      </w:r>
      <w:r w:rsidRPr="009F016E">
        <w:rPr>
          <w:rFonts w:eastAsia="Aptos"/>
          <w:b/>
          <w:bCs/>
          <w:u w:val="single"/>
        </w:rPr>
        <w:t>la lettera a)</w:t>
      </w:r>
      <w:r w:rsidRPr="00987C41">
        <w:rPr>
          <w:rFonts w:eastAsia="Aptos"/>
        </w:rPr>
        <w:t xml:space="preserve"> </w:t>
      </w:r>
      <w:r w:rsidRPr="008B20CE">
        <w:rPr>
          <w:rFonts w:eastAsia="Aptos"/>
          <w:bCs/>
        </w:rPr>
        <w:t>introduce una modifica all’articolo 5, comma 2, del d.lgs. n. 222 del 2023 volta a garantire la piena partecipazione dell’Autorità Garante Nazionale dei diritti delle persone con disabilità nel procedimento di predisposizione del Piano integrato di attività e organizzazione</w:t>
      </w:r>
      <w:r w:rsidRPr="008B20CE" w:rsidR="54BE2E8D">
        <w:rPr>
          <w:rFonts w:eastAsia="Aptos"/>
        </w:rPr>
        <w:t>.</w:t>
      </w:r>
    </w:p>
    <w:p w:rsidR="009F016E" w:rsidRPr="008B20CE" w:rsidP="009F016E" w14:paraId="3855D137" w14:textId="73903BEC">
      <w:pPr>
        <w:pStyle w:val="paragraph"/>
        <w:spacing w:before="0" w:beforeAutospacing="0" w:after="0" w:afterAutospacing="0"/>
        <w:jc w:val="both"/>
        <w:textAlignment w:val="baseline"/>
        <w:rPr>
          <w:rFonts w:eastAsia="Aptos"/>
          <w:b/>
        </w:rPr>
      </w:pPr>
      <w:r w:rsidRPr="008B20CE">
        <w:rPr>
          <w:rFonts w:eastAsia="Aptos"/>
          <w:bCs/>
        </w:rPr>
        <w:t>La disposizione consente all’Autorità di presentare osservazioni in sede di redazione del PIAO.</w:t>
      </w:r>
      <w:r w:rsidRPr="008B20CE">
        <w:rPr>
          <w:rFonts w:eastAsia="Aptos"/>
          <w:b/>
        </w:rPr>
        <w:t xml:space="preserve"> </w:t>
      </w:r>
      <w:r w:rsidRPr="008B20CE" w:rsidR="6763DE42">
        <w:rPr>
          <w:rFonts w:eastAsia="Aptos"/>
          <w:b/>
          <w:bCs/>
        </w:rPr>
        <w:t>L</w:t>
      </w:r>
      <w:r w:rsidRPr="008B20CE">
        <w:rPr>
          <w:rFonts w:eastAsia="Aptos"/>
          <w:b/>
          <w:bCs/>
        </w:rPr>
        <w:t>’attività</w:t>
      </w:r>
      <w:r w:rsidRPr="008B20CE">
        <w:rPr>
          <w:rFonts w:eastAsia="Aptos"/>
          <w:b/>
        </w:rPr>
        <w:t xml:space="preserve"> sarà svolta </w:t>
      </w:r>
      <w:r w:rsidRPr="008B20CE" w:rsidR="7070DB9D">
        <w:rPr>
          <w:rFonts w:eastAsia="Aptos"/>
          <w:b/>
          <w:bCs/>
        </w:rPr>
        <w:t>nei</w:t>
      </w:r>
      <w:r w:rsidRPr="008B20CE">
        <w:rPr>
          <w:rFonts w:eastAsia="Aptos"/>
          <w:b/>
          <w:bCs/>
        </w:rPr>
        <w:t xml:space="preserve"> limit</w:t>
      </w:r>
      <w:r w:rsidRPr="008B20CE" w:rsidR="558E338C">
        <w:rPr>
          <w:rFonts w:eastAsia="Aptos"/>
          <w:b/>
          <w:bCs/>
        </w:rPr>
        <w:t>i</w:t>
      </w:r>
      <w:r w:rsidRPr="008B20CE">
        <w:rPr>
          <w:rFonts w:eastAsia="Aptos"/>
          <w:b/>
        </w:rPr>
        <w:t xml:space="preserve"> delle risorse umane, finanziarie e strumentali già disponibili a legislazione vigente. </w:t>
      </w:r>
    </w:p>
    <w:p w:rsidR="00A62856" w:rsidRPr="00A62856" w:rsidP="0014361A" w14:paraId="5FD3A229" w14:textId="12E6EECA">
      <w:pPr>
        <w:pStyle w:val="ListParagraph"/>
        <w:spacing w:after="120"/>
        <w:ind w:left="0"/>
        <w:contextualSpacing w:val="0"/>
        <w:jc w:val="both"/>
        <w:rPr>
          <w:rFonts w:eastAsia="Aptos"/>
          <w:b/>
          <w:bCs/>
          <w:color w:val="215E99" w:themeColor="text2" w:themeTint="BF"/>
        </w:rPr>
      </w:pPr>
      <w:r w:rsidRPr="00A62856">
        <w:rPr>
          <w:rFonts w:eastAsia="Aptos"/>
          <w:b/>
          <w:bCs/>
          <w:u w:val="single"/>
        </w:rPr>
        <w:t>Al comma 6</w:t>
      </w:r>
      <w:r w:rsidR="00B04DA4">
        <w:rPr>
          <w:rFonts w:eastAsia="Aptos"/>
          <w:b/>
          <w:bCs/>
          <w:u w:val="single"/>
        </w:rPr>
        <w:t>,</w:t>
      </w:r>
      <w:r w:rsidRPr="00A62856">
        <w:rPr>
          <w:rFonts w:eastAsia="Aptos"/>
          <w:b/>
          <w:bCs/>
          <w:u w:val="single"/>
        </w:rPr>
        <w:t xml:space="preserve"> lettera b),</w:t>
      </w:r>
      <w:r w:rsidRPr="008A2BEF">
        <w:rPr>
          <w:rFonts w:eastAsia="Aptos"/>
          <w:b/>
          <w:bCs/>
        </w:rPr>
        <w:t xml:space="preserve"> </w:t>
      </w:r>
      <w:r w:rsidRPr="00987C41" w:rsidR="00DB3426">
        <w:rPr>
          <w:rFonts w:eastAsia="Aptos"/>
        </w:rPr>
        <w:t xml:space="preserve">infine, </w:t>
      </w:r>
      <w:r>
        <w:rPr>
          <w:rFonts w:eastAsia="Aptos"/>
        </w:rPr>
        <w:t xml:space="preserve">si </w:t>
      </w:r>
      <w:r w:rsidRPr="00987C41" w:rsidR="00DB3426">
        <w:rPr>
          <w:rFonts w:eastAsia="Aptos"/>
        </w:rPr>
        <w:t>prevede l’inserimento, all’articolo 8, di un comma 1-</w:t>
      </w:r>
      <w:r w:rsidRPr="00987C41" w:rsidR="00DB3426">
        <w:rPr>
          <w:rFonts w:eastAsia="Aptos"/>
          <w:i/>
        </w:rPr>
        <w:t>bis</w:t>
      </w:r>
      <w:r w:rsidRPr="00987C41" w:rsidR="00DB3426">
        <w:rPr>
          <w:rFonts w:eastAsia="Aptos"/>
        </w:rPr>
        <w:t xml:space="preserve">, </w:t>
      </w:r>
      <w:r w:rsidRPr="59927C78" w:rsidR="2EBD4B8D">
        <w:rPr>
          <w:rFonts w:eastAsia="Aptos"/>
        </w:rPr>
        <w:t>che prevede</w:t>
      </w:r>
      <w:r w:rsidRPr="59927C78" w:rsidR="00DB3426">
        <w:rPr>
          <w:rFonts w:eastAsia="Aptos"/>
        </w:rPr>
        <w:t xml:space="preserve"> </w:t>
      </w:r>
      <w:r w:rsidRPr="59927C78" w:rsidR="5EFACB8D">
        <w:rPr>
          <w:rFonts w:eastAsia="Aptos"/>
        </w:rPr>
        <w:t>l’</w:t>
      </w:r>
      <w:r w:rsidRPr="59927C78" w:rsidR="00DB3426">
        <w:rPr>
          <w:rFonts w:eastAsia="Aptos"/>
        </w:rPr>
        <w:t>attribu</w:t>
      </w:r>
      <w:r w:rsidRPr="59927C78" w:rsidR="051826B4">
        <w:rPr>
          <w:rFonts w:eastAsia="Aptos"/>
        </w:rPr>
        <w:t>zione</w:t>
      </w:r>
      <w:r w:rsidRPr="00987C41" w:rsidR="00DB3426">
        <w:rPr>
          <w:rFonts w:eastAsia="Aptos"/>
        </w:rPr>
        <w:t xml:space="preserve"> al Garante </w:t>
      </w:r>
      <w:r w:rsidRPr="59927C78" w:rsidR="09E092F6">
        <w:rPr>
          <w:color w:val="000000" w:themeColor="text1"/>
        </w:rPr>
        <w:t>nazionale dei diritti delle persone con disabilità</w:t>
      </w:r>
      <w:r w:rsidRPr="59927C78" w:rsidR="00DB3426">
        <w:rPr>
          <w:rFonts w:eastAsia="Aptos"/>
        </w:rPr>
        <w:t xml:space="preserve"> </w:t>
      </w:r>
      <w:r w:rsidRPr="59927C78" w:rsidR="5471DD53">
        <w:rPr>
          <w:rFonts w:eastAsia="Aptos"/>
        </w:rPr>
        <w:t>del</w:t>
      </w:r>
      <w:r w:rsidRPr="59927C78" w:rsidR="00DB3426">
        <w:rPr>
          <w:rFonts w:eastAsia="Aptos"/>
        </w:rPr>
        <w:t>la</w:t>
      </w:r>
      <w:r w:rsidRPr="00987C41" w:rsidR="00DB3426">
        <w:rPr>
          <w:rFonts w:eastAsia="Aptos"/>
        </w:rPr>
        <w:t xml:space="preserve"> facoltà di promuovere ricorsi ai sensi dell’articolo 1, comma 4, del d.lgs. n. 198</w:t>
      </w:r>
      <w:r w:rsidRPr="00987C41" w:rsidR="00F34735">
        <w:rPr>
          <w:rFonts w:eastAsia="Aptos"/>
        </w:rPr>
        <w:t xml:space="preserve"> del </w:t>
      </w:r>
      <w:r w:rsidRPr="00987C41" w:rsidR="00DB3426">
        <w:rPr>
          <w:rFonts w:eastAsia="Aptos"/>
        </w:rPr>
        <w:t xml:space="preserve">2009, nei casi di mancata attuazione o violazione dei livelli di qualità dei servizi essenziali per l’inclusione sociale e l’accessibilità. </w:t>
      </w:r>
      <w:r w:rsidRPr="59927C78" w:rsidR="615C71C7">
        <w:rPr>
          <w:rFonts w:eastAsia="Aptos"/>
          <w:b/>
          <w:bCs/>
          <w:color w:val="0E2740"/>
        </w:rPr>
        <w:t>L'</w:t>
      </w:r>
      <w:r w:rsidRPr="59927C78">
        <w:rPr>
          <w:rFonts w:eastAsia="Aptos"/>
          <w:b/>
          <w:bCs/>
          <w:color w:val="0E2740"/>
        </w:rPr>
        <w:t>attività</w:t>
      </w:r>
      <w:r w:rsidRPr="59927C78">
        <w:rPr>
          <w:rFonts w:eastAsia="Aptos"/>
          <w:b/>
          <w:color w:val="0E2740"/>
        </w:rPr>
        <w:t xml:space="preserve"> sarà svolta </w:t>
      </w:r>
      <w:r w:rsidRPr="59927C78">
        <w:rPr>
          <w:rFonts w:eastAsia="Aptos"/>
          <w:b/>
          <w:bCs/>
          <w:color w:val="0E2740"/>
        </w:rPr>
        <w:t>ne</w:t>
      </w:r>
      <w:r w:rsidRPr="59927C78" w:rsidR="41271E62">
        <w:rPr>
          <w:rFonts w:eastAsia="Aptos"/>
          <w:b/>
          <w:bCs/>
          <w:color w:val="0E2740"/>
        </w:rPr>
        <w:t>i</w:t>
      </w:r>
      <w:r w:rsidRPr="59927C78">
        <w:rPr>
          <w:rFonts w:eastAsia="Aptos"/>
          <w:b/>
          <w:bCs/>
          <w:color w:val="0E2740"/>
        </w:rPr>
        <w:t xml:space="preserve"> limit</w:t>
      </w:r>
      <w:r w:rsidRPr="59927C78" w:rsidR="716FD3DB">
        <w:rPr>
          <w:rFonts w:eastAsia="Aptos"/>
          <w:b/>
          <w:bCs/>
          <w:color w:val="0E2740"/>
        </w:rPr>
        <w:t>i</w:t>
      </w:r>
      <w:r w:rsidRPr="59927C78">
        <w:rPr>
          <w:rFonts w:eastAsia="Aptos"/>
          <w:b/>
          <w:color w:val="0E2740"/>
        </w:rPr>
        <w:t xml:space="preserve"> delle risorse umane, finanziarie e strumentali già disponibili a legislazione vigente.</w:t>
      </w:r>
    </w:p>
    <w:p w:rsidR="005F2A22" w:rsidRPr="008B20CE" w:rsidP="7B61825A" w14:paraId="6EE4AB4D" w14:textId="1BDD5356">
      <w:pPr>
        <w:spacing w:after="120"/>
        <w:jc w:val="both"/>
        <w:rPr>
          <w:rFonts w:eastAsia="Aptos"/>
          <w:b/>
          <w:bCs/>
        </w:rPr>
      </w:pPr>
      <w:r>
        <w:t xml:space="preserve">Il </w:t>
      </w:r>
      <w:r w:rsidRPr="4A5F5D46">
        <w:rPr>
          <w:b/>
          <w:bCs/>
          <w:u w:val="single"/>
        </w:rPr>
        <w:t xml:space="preserve">comma </w:t>
      </w:r>
      <w:r w:rsidRPr="4A5F5D46" w:rsidR="004358A1">
        <w:rPr>
          <w:b/>
          <w:bCs/>
          <w:u w:val="single"/>
        </w:rPr>
        <w:t xml:space="preserve">7 </w:t>
      </w:r>
      <w:r w:rsidR="1D2CD16D">
        <w:t>pre</w:t>
      </w:r>
      <w:r w:rsidR="3ACD6A71">
        <w:t>vede che i</w:t>
      </w:r>
      <w:r w:rsidR="1D2CD16D">
        <w:t>l</w:t>
      </w:r>
      <w:r w:rsidR="0014526C">
        <w:t xml:space="preserve"> </w:t>
      </w:r>
      <w:r w:rsidR="00F94224">
        <w:t xml:space="preserve">programma triennale </w:t>
      </w:r>
      <w:r w:rsidR="00794112">
        <w:t xml:space="preserve">per la promozione dei diritti e l'integrazione delle persone con disabilità, attuato dall’Osservatorio </w:t>
      </w:r>
      <w:r w:rsidR="0014526C">
        <w:t>nazionale sulla condizione delle persone con disabilità</w:t>
      </w:r>
      <w:r w:rsidR="6FD80FD2">
        <w:t xml:space="preserve">, </w:t>
      </w:r>
      <w:r w:rsidR="275FAD8A">
        <w:t>sia</w:t>
      </w:r>
      <w:r w:rsidR="0B1E6E95">
        <w:t xml:space="preserve"> </w:t>
      </w:r>
      <w:r w:rsidRPr="4A5F5D46" w:rsidR="0B1E6E95">
        <w:rPr>
          <w:color w:val="000000" w:themeColor="text1"/>
        </w:rPr>
        <w:t xml:space="preserve">adottato con decreto del Presidente della Repubblica, su proposta </w:t>
      </w:r>
      <w:r w:rsidRPr="4A5F5D46" w:rsidR="4DE4CA71">
        <w:rPr>
          <w:color w:val="000000" w:themeColor="text1"/>
        </w:rPr>
        <w:t xml:space="preserve">del </w:t>
      </w:r>
      <w:r w:rsidRPr="4A5F5D46" w:rsidR="0B1E6E95">
        <w:rPr>
          <w:color w:val="000000" w:themeColor="text1"/>
        </w:rPr>
        <w:t>Presidente del Consiglio dei ministri ovvero dell’Autorità politica delegata in materia di disabilità, previa deliberazione del Consiglio dei ministri.</w:t>
      </w:r>
      <w:r w:rsidRPr="4A5F5D46" w:rsidR="30BA2B26">
        <w:rPr>
          <w:color w:val="000000" w:themeColor="text1"/>
        </w:rPr>
        <w:t xml:space="preserve"> </w:t>
      </w:r>
      <w:r w:rsidRPr="008B20CE" w:rsidR="30BA2B26">
        <w:rPr>
          <w:b/>
          <w:bCs/>
        </w:rPr>
        <w:t>La</w:t>
      </w:r>
      <w:r w:rsidRPr="008B20CE" w:rsidR="00B54850">
        <w:rPr>
          <w:rFonts w:eastAsia="Aptos"/>
          <w:b/>
          <w:bCs/>
        </w:rPr>
        <w:t xml:space="preserve"> disposizione</w:t>
      </w:r>
      <w:r w:rsidRPr="008B20CE" w:rsidR="55FE6315">
        <w:rPr>
          <w:rFonts w:eastAsia="Aptos"/>
          <w:b/>
          <w:bCs/>
        </w:rPr>
        <w:t xml:space="preserve"> </w:t>
      </w:r>
      <w:r w:rsidRPr="008B20CE" w:rsidR="00B54850">
        <w:rPr>
          <w:rFonts w:eastAsia="Aptos"/>
          <w:b/>
          <w:bCs/>
        </w:rPr>
        <w:t xml:space="preserve">non comporta nuovi o maggiori oneri per la finanza pubblica. </w:t>
      </w:r>
    </w:p>
    <w:p w:rsidR="7B7019E9" w:rsidRPr="00D22BDE" w:rsidP="2976B08B" w14:paraId="2BCCADB4" w14:textId="0D4750B0">
      <w:pPr>
        <w:spacing w:after="120"/>
        <w:jc w:val="both"/>
        <w:rPr>
          <w:rFonts w:eastAsia="Aptos"/>
          <w:b/>
          <w:color w:val="4C94D8" w:themeColor="text2" w:themeTint="80"/>
        </w:rPr>
      </w:pPr>
      <w:r w:rsidRPr="54D88DF4">
        <w:rPr>
          <w:color w:val="000000" w:themeColor="text1"/>
        </w:rPr>
        <w:t xml:space="preserve">Il </w:t>
      </w:r>
      <w:r w:rsidRPr="54D88DF4">
        <w:rPr>
          <w:b/>
          <w:bCs/>
          <w:color w:val="000000" w:themeColor="text1"/>
          <w:u w:val="single"/>
        </w:rPr>
        <w:t xml:space="preserve">comma </w:t>
      </w:r>
      <w:r w:rsidRPr="54D88DF4" w:rsidR="004358A1">
        <w:rPr>
          <w:b/>
          <w:bCs/>
          <w:color w:val="000000" w:themeColor="text1"/>
          <w:u w:val="single"/>
        </w:rPr>
        <w:t>8</w:t>
      </w:r>
      <w:r w:rsidRPr="54D88DF4" w:rsidR="004C6DF3">
        <w:rPr>
          <w:b/>
          <w:bCs/>
          <w:color w:val="000000" w:themeColor="text1"/>
          <w:u w:val="single"/>
        </w:rPr>
        <w:t xml:space="preserve"> </w:t>
      </w:r>
      <w:r w:rsidRPr="54D88DF4" w:rsidR="004C6DF3">
        <w:rPr>
          <w:rFonts w:eastAsia="Aptos"/>
          <w:color w:val="000000" w:themeColor="text1"/>
        </w:rPr>
        <w:t xml:space="preserve">prevede che </w:t>
      </w:r>
      <w:r w:rsidRPr="54D88DF4" w:rsidR="5D5B2D20">
        <w:rPr>
          <w:color w:val="000000" w:themeColor="text1"/>
        </w:rPr>
        <w:t>l</w:t>
      </w:r>
      <w:r w:rsidRPr="54D88DF4" w:rsidR="49CCAC7E">
        <w:rPr>
          <w:color w:val="000000" w:themeColor="text1"/>
        </w:rPr>
        <w:t xml:space="preserve">a disciplina </w:t>
      </w:r>
      <w:r w:rsidRPr="54D88DF4" w:rsidR="714C43D4">
        <w:rPr>
          <w:color w:val="000000" w:themeColor="text1"/>
        </w:rPr>
        <w:t>delle spese</w:t>
      </w:r>
      <w:r w:rsidRPr="54D88DF4" w:rsidR="3C4221D9">
        <w:rPr>
          <w:color w:val="000000" w:themeColor="text1"/>
        </w:rPr>
        <w:t xml:space="preserve"> processuali nel processo in cui è parte</w:t>
      </w:r>
      <w:r w:rsidRPr="54D88DF4" w:rsidR="5D5B2D20">
        <w:rPr>
          <w:color w:val="000000" w:themeColor="text1"/>
        </w:rPr>
        <w:t xml:space="preserve"> </w:t>
      </w:r>
      <w:r w:rsidRPr="54D88DF4" w:rsidR="3C4221D9">
        <w:rPr>
          <w:color w:val="000000" w:themeColor="text1"/>
        </w:rPr>
        <w:t>l’amministrazione pubblica ammessa alla prenotazione a debito e</w:t>
      </w:r>
      <w:r w:rsidRPr="54D88DF4" w:rsidR="1A5AECBD">
        <w:rPr>
          <w:color w:val="000000" w:themeColor="text1"/>
        </w:rPr>
        <w:t xml:space="preserve"> al</w:t>
      </w:r>
      <w:r w:rsidRPr="54D88DF4" w:rsidR="3C4221D9">
        <w:rPr>
          <w:color w:val="000000" w:themeColor="text1"/>
        </w:rPr>
        <w:t xml:space="preserve"> recupero delle stesse</w:t>
      </w:r>
      <w:r w:rsidRPr="54D88DF4" w:rsidR="5D5B2D20">
        <w:rPr>
          <w:color w:val="000000" w:themeColor="text1"/>
        </w:rPr>
        <w:t>, di cui all’articolo 158 del d.P.R. n. 115/2002 (Testo unico delle disposizioni legislative e regolamentari in materia di spese di giustizia), si applic</w:t>
      </w:r>
      <w:r w:rsidRPr="54D88DF4" w:rsidR="4630000F">
        <w:rPr>
          <w:color w:val="000000" w:themeColor="text1"/>
        </w:rPr>
        <w:t>hi</w:t>
      </w:r>
      <w:r w:rsidRPr="54D88DF4" w:rsidR="5D5B2D20">
        <w:rPr>
          <w:color w:val="000000" w:themeColor="text1"/>
        </w:rPr>
        <w:t xml:space="preserve"> </w:t>
      </w:r>
      <w:r w:rsidRPr="54D88DF4" w:rsidR="004C6DF3">
        <w:rPr>
          <w:rFonts w:eastAsia="Aptos"/>
          <w:color w:val="000000" w:themeColor="text1"/>
        </w:rPr>
        <w:t xml:space="preserve">anche </w:t>
      </w:r>
      <w:r w:rsidRPr="54D88DF4" w:rsidR="5D5B2D20">
        <w:rPr>
          <w:color w:val="000000" w:themeColor="text1"/>
        </w:rPr>
        <w:t>al</w:t>
      </w:r>
      <w:r w:rsidRPr="54D88DF4" w:rsidR="004C6DF3">
        <w:rPr>
          <w:rFonts w:eastAsia="Aptos"/>
          <w:color w:val="000000" w:themeColor="text1"/>
        </w:rPr>
        <w:t xml:space="preserve"> Garante </w:t>
      </w:r>
      <w:r w:rsidRPr="54D88DF4" w:rsidR="5D5B2D20">
        <w:rPr>
          <w:color w:val="000000" w:themeColor="text1"/>
        </w:rPr>
        <w:t xml:space="preserve">nazionale dei diritti delle persone con disabilità. </w:t>
      </w:r>
      <w:r w:rsidRPr="00D22BDE" w:rsidR="245140F7">
        <w:rPr>
          <w:b/>
          <w:color w:val="4C94D8" w:themeColor="text2" w:themeTint="80"/>
        </w:rPr>
        <w:t>La</w:t>
      </w:r>
      <w:r w:rsidRPr="00D22BDE" w:rsidR="004C6DF3">
        <w:rPr>
          <w:rFonts w:eastAsia="Aptos"/>
          <w:b/>
          <w:color w:val="4C94D8" w:themeColor="text2" w:themeTint="80"/>
        </w:rPr>
        <w:t xml:space="preserve"> disposizione</w:t>
      </w:r>
      <w:r w:rsidRPr="00D22BDE" w:rsidR="3EE1687C">
        <w:rPr>
          <w:rFonts w:eastAsia="Aptos"/>
          <w:b/>
          <w:color w:val="4C94D8" w:themeColor="text2" w:themeTint="80"/>
        </w:rPr>
        <w:t xml:space="preserve"> </w:t>
      </w:r>
      <w:r w:rsidRPr="00D22BDE" w:rsidR="60FD154E">
        <w:rPr>
          <w:rFonts w:eastAsia="Aptos"/>
          <w:b/>
          <w:color w:val="4C94D8" w:themeColor="text2" w:themeTint="80"/>
        </w:rPr>
        <w:t>n</w:t>
      </w:r>
      <w:r w:rsidRPr="00D22BDE" w:rsidR="3EE1687C">
        <w:rPr>
          <w:rFonts w:eastAsia="Aptos"/>
          <w:b/>
          <w:color w:val="4C94D8" w:themeColor="text2" w:themeTint="80"/>
        </w:rPr>
        <w:t>on muta il soggetto tenuto a pagare le spese processuali, n</w:t>
      </w:r>
      <w:r w:rsidR="00D22BDE">
        <w:rPr>
          <w:rFonts w:eastAsia="Aptos"/>
          <w:b/>
          <w:color w:val="4C94D8" w:themeColor="text2" w:themeTint="80"/>
        </w:rPr>
        <w:t>é</w:t>
      </w:r>
      <w:r w:rsidRPr="00D22BDE" w:rsidR="3EE1687C">
        <w:rPr>
          <w:rFonts w:eastAsia="Aptos"/>
          <w:b/>
          <w:color w:val="4C94D8" w:themeColor="text2" w:themeTint="80"/>
        </w:rPr>
        <w:t xml:space="preserve"> l’importo delle stesse,</w:t>
      </w:r>
      <w:r w:rsidRPr="00D22BDE" w:rsidR="6B6BA54A">
        <w:rPr>
          <w:rFonts w:eastAsia="Aptos"/>
          <w:b/>
          <w:color w:val="4C94D8" w:themeColor="text2" w:themeTint="80"/>
        </w:rPr>
        <w:t xml:space="preserve"> </w:t>
      </w:r>
      <w:r w:rsidRPr="00D22BDE" w:rsidR="2CD8F973">
        <w:rPr>
          <w:rFonts w:eastAsia="Aptos"/>
          <w:b/>
          <w:color w:val="4C94D8" w:themeColor="text2" w:themeTint="80"/>
        </w:rPr>
        <w:t xml:space="preserve">e </w:t>
      </w:r>
      <w:r w:rsidRPr="00D22BDE" w:rsidR="004C6DF3">
        <w:rPr>
          <w:rFonts w:eastAsia="Aptos"/>
          <w:b/>
          <w:color w:val="4C94D8" w:themeColor="text2" w:themeTint="80"/>
        </w:rPr>
        <w:t>non comporta</w:t>
      </w:r>
      <w:r w:rsidRPr="00D22BDE" w:rsidR="71D81067">
        <w:rPr>
          <w:rFonts w:eastAsia="Aptos"/>
          <w:b/>
          <w:color w:val="4C94D8" w:themeColor="text2" w:themeTint="80"/>
        </w:rPr>
        <w:t xml:space="preserve"> pertanto</w:t>
      </w:r>
      <w:r w:rsidRPr="00D22BDE" w:rsidR="004C6DF3">
        <w:rPr>
          <w:rFonts w:eastAsia="Aptos"/>
          <w:b/>
          <w:color w:val="4C94D8" w:themeColor="text2" w:themeTint="80"/>
        </w:rPr>
        <w:t xml:space="preserve"> nuovi o maggiori oneri per la finanza pubblica.</w:t>
      </w:r>
    </w:p>
    <w:p w:rsidR="00547AF6" w:rsidP="00547AF6" w14:paraId="020155EE" w14:textId="026CEA5E">
      <w:pPr>
        <w:spacing w:after="120"/>
        <w:jc w:val="both"/>
        <w:rPr>
          <w:b/>
        </w:rPr>
      </w:pPr>
      <w:r w:rsidRPr="2976B08B">
        <w:rPr>
          <w:b/>
          <w:bCs/>
        </w:rPr>
        <w:t xml:space="preserve">Il </w:t>
      </w:r>
      <w:r w:rsidRPr="2976B08B">
        <w:rPr>
          <w:b/>
          <w:bCs/>
          <w:u w:val="single"/>
        </w:rPr>
        <w:t xml:space="preserve">comma </w:t>
      </w:r>
      <w:r w:rsidR="00AC7B1E">
        <w:rPr>
          <w:b/>
          <w:bCs/>
          <w:u w:val="single"/>
        </w:rPr>
        <w:t>9</w:t>
      </w:r>
      <w:r w:rsidRPr="00497C53">
        <w:rPr>
          <w:b/>
        </w:rPr>
        <w:t xml:space="preserve"> </w:t>
      </w:r>
      <w:r w:rsidRPr="005F2B0F">
        <w:rPr>
          <w:b/>
        </w:rPr>
        <w:t xml:space="preserve">reca </w:t>
      </w:r>
      <w:r w:rsidRPr="00547AF6" w:rsidR="00263ADE">
        <w:rPr>
          <w:b/>
        </w:rPr>
        <w:t xml:space="preserve">la </w:t>
      </w:r>
      <w:r w:rsidRPr="00547AF6" w:rsidR="00B36941">
        <w:rPr>
          <w:b/>
        </w:rPr>
        <w:t xml:space="preserve">clausola di invarianza </w:t>
      </w:r>
      <w:r w:rsidRPr="00547AF6" w:rsidR="00263ADE">
        <w:rPr>
          <w:b/>
        </w:rPr>
        <w:t xml:space="preserve">finanziaria </w:t>
      </w:r>
      <w:r w:rsidRPr="00547AF6" w:rsidR="008D00EE">
        <w:rPr>
          <w:b/>
        </w:rPr>
        <w:t xml:space="preserve">specificando che </w:t>
      </w:r>
      <w:r w:rsidRPr="00547AF6" w:rsidR="0014526C">
        <w:rPr>
          <w:b/>
        </w:rPr>
        <w:t>la norma</w:t>
      </w:r>
      <w:r w:rsidRPr="00547AF6" w:rsidR="008B4598">
        <w:rPr>
          <w:b/>
        </w:rPr>
        <w:t>, avente carattere</w:t>
      </w:r>
      <w:r w:rsidRPr="00547AF6" w:rsidR="0014526C">
        <w:rPr>
          <w:b/>
        </w:rPr>
        <w:t xml:space="preserve"> </w:t>
      </w:r>
      <w:r w:rsidRPr="00547AF6" w:rsidR="00EC7FA3">
        <w:rPr>
          <w:b/>
        </w:rPr>
        <w:t xml:space="preserve">meramente ordinamentale, non determina </w:t>
      </w:r>
      <w:r w:rsidRPr="00547AF6" w:rsidR="00132C41">
        <w:rPr>
          <w:b/>
        </w:rPr>
        <w:t>nuovi o maggiori oneri a carico della finanza pubblica</w:t>
      </w:r>
      <w:r w:rsidRPr="00547AF6">
        <w:rPr>
          <w:b/>
        </w:rPr>
        <w:t xml:space="preserve"> e che, pertanto, le amministrazioni interessate svolgeranno le attività previste con le risorse umane, finanziarie e strumentali disponibili a legislazione vigente.</w:t>
      </w:r>
    </w:p>
    <w:p w:rsidR="00D672B6" w:rsidRPr="00547AF6" w:rsidP="00547AF6" w14:paraId="0958FED9" w14:textId="77777777">
      <w:pPr>
        <w:spacing w:after="120"/>
        <w:jc w:val="both"/>
        <w:rPr>
          <w:b/>
        </w:rPr>
      </w:pPr>
    </w:p>
    <w:p w:rsidR="00800FB6" w:rsidRPr="00DF54E0" w:rsidP="00987C41" w14:paraId="5E379398" w14:textId="77777777">
      <w:pPr>
        <w:spacing w:after="120"/>
        <w:rPr>
          <w:rFonts w:eastAsia="Calibri"/>
          <w:highlight w:val="magenta"/>
        </w:rPr>
      </w:pPr>
    </w:p>
    <w:p w:rsidR="00D4532B" w:rsidRPr="00F06C4D" w:rsidP="00987C41" w14:paraId="69096A97" w14:textId="4DD46891">
      <w:pPr>
        <w:pStyle w:val="Heading3"/>
        <w:spacing w:before="0" w:after="120"/>
        <w:rPr>
          <w:rFonts w:cs="Times New Roman"/>
        </w:rPr>
      </w:pPr>
      <w:bookmarkStart w:id="24" w:name="_Toc220077552"/>
      <w:bookmarkStart w:id="25" w:name="_Toc204932822"/>
      <w:bookmarkStart w:id="26" w:name="_Toc204672800"/>
      <w:bookmarkStart w:id="27" w:name="_Toc210929484"/>
      <w:r w:rsidRPr="008D47EE">
        <w:rPr>
          <w:rFonts w:cs="Times New Roman"/>
        </w:rPr>
        <w:t xml:space="preserve">ART. </w:t>
      </w:r>
      <w:bookmarkStart w:id="28" w:name="_Toc210680853"/>
      <w:bookmarkStart w:id="29" w:name="_Toc210929506"/>
      <w:r w:rsidR="00D00267">
        <w:rPr>
          <w:rFonts w:cs="Times New Roman"/>
        </w:rPr>
        <w:t>8</w:t>
      </w:r>
      <w:r w:rsidRPr="008D47EE" w:rsidR="0024611E">
        <w:rPr>
          <w:rFonts w:cs="Times New Roman"/>
        </w:rPr>
        <w:t xml:space="preserve">                                                                                                                                      </w:t>
      </w:r>
      <w:r w:rsidRPr="008D47EE" w:rsidR="0024611E">
        <w:rPr>
          <w:rFonts w:cs="Times New Roman"/>
        </w:rPr>
        <w:t xml:space="preserve">   </w:t>
      </w:r>
      <w:r w:rsidRPr="008D47EE">
        <w:rPr>
          <w:rFonts w:cs="Times New Roman"/>
        </w:rPr>
        <w:t>(</w:t>
      </w:r>
      <w:r w:rsidRPr="008D47EE">
        <w:rPr>
          <w:rFonts w:cs="Times New Roman"/>
        </w:rPr>
        <w:t xml:space="preserve">Semplificazioni </w:t>
      </w:r>
      <w:r w:rsidRPr="008D47EE" w:rsidR="002222BE">
        <w:rPr>
          <w:rFonts w:cs="Times New Roman"/>
        </w:rPr>
        <w:t>in materia di obblighi amministrativi e di</w:t>
      </w:r>
      <w:r w:rsidRPr="008D47EE">
        <w:rPr>
          <w:rFonts w:cs="Times New Roman"/>
        </w:rPr>
        <w:t xml:space="preserve"> obblighi di pubblicazione per </w:t>
      </w:r>
      <w:r w:rsidRPr="00F06C4D">
        <w:rPr>
          <w:rFonts w:cs="Times New Roman"/>
        </w:rPr>
        <w:t>amministrazioni ed imprese)</w:t>
      </w:r>
      <w:bookmarkEnd w:id="24"/>
      <w:bookmarkEnd w:id="28"/>
      <w:bookmarkEnd w:id="29"/>
    </w:p>
    <w:p w:rsidR="002167D6" w:rsidP="002167D6" w14:paraId="6308FBAB" w14:textId="792E75FC">
      <w:pPr>
        <w:spacing w:after="120"/>
        <w:ind w:right="-143"/>
        <w:jc w:val="both"/>
        <w:rPr>
          <w:color w:val="FF0000"/>
        </w:rPr>
      </w:pPr>
      <w:r w:rsidRPr="45011B9E">
        <w:rPr>
          <w:color w:val="FF0000"/>
        </w:rPr>
        <w:t>L’articolo in rassegna</w:t>
      </w:r>
      <w:r w:rsidRPr="45011B9E" w:rsidR="1B0CAD92">
        <w:rPr>
          <w:color w:val="FF0000"/>
        </w:rPr>
        <w:t xml:space="preserve">, al </w:t>
      </w:r>
      <w:r w:rsidRPr="45011B9E" w:rsidR="1B0CAD92">
        <w:rPr>
          <w:b/>
          <w:bCs/>
          <w:color w:val="FF0000"/>
          <w:u w:val="single"/>
        </w:rPr>
        <w:t>comma 1</w:t>
      </w:r>
      <w:r w:rsidRPr="45011B9E" w:rsidR="1B0CAD92">
        <w:rPr>
          <w:color w:val="FF0000"/>
        </w:rPr>
        <w:t xml:space="preserve">, </w:t>
      </w:r>
      <w:r w:rsidRPr="45011B9E" w:rsidR="7B9119D2">
        <w:rPr>
          <w:color w:val="FF0000"/>
        </w:rPr>
        <w:t>elimina, per cittadini e imprese, l’obbligo di conservazione</w:t>
      </w:r>
      <w:r w:rsidRPr="45011B9E" w:rsidR="65BE17A6">
        <w:rPr>
          <w:color w:val="FF0000"/>
        </w:rPr>
        <w:t xml:space="preserve">, </w:t>
      </w:r>
      <w:r w:rsidRPr="45011B9E" w:rsidR="2F5DE763">
        <w:rPr>
          <w:color w:val="FF0000"/>
        </w:rPr>
        <w:t>in</w:t>
      </w:r>
      <w:r w:rsidRPr="45011B9E" w:rsidR="65BE17A6">
        <w:rPr>
          <w:color w:val="FF0000"/>
        </w:rPr>
        <w:t xml:space="preserve"> formato cartaceo,</w:t>
      </w:r>
      <w:r w:rsidRPr="45011B9E" w:rsidR="7B9119D2">
        <w:rPr>
          <w:color w:val="FF0000"/>
        </w:rPr>
        <w:t xml:space="preserve"> delle ricevute generate dai terminali </w:t>
      </w:r>
      <w:r w:rsidRPr="45011B9E" w:rsidR="3E316D7A">
        <w:rPr>
          <w:color w:val="FF0000"/>
        </w:rPr>
        <w:t xml:space="preserve">POS, </w:t>
      </w:r>
      <w:r w:rsidRPr="45011B9E" w:rsidR="7B9119D2">
        <w:rPr>
          <w:color w:val="FF0000"/>
        </w:rPr>
        <w:t>abilitati ad accettare pagamenti con carta di credito, debito e prepagata</w:t>
      </w:r>
      <w:r w:rsidRPr="45011B9E" w:rsidR="71700FDB">
        <w:rPr>
          <w:color w:val="FF0000"/>
        </w:rPr>
        <w:t xml:space="preserve"> o altra modalità digitale</w:t>
      </w:r>
      <w:r w:rsidRPr="45011B9E" w:rsidR="7B9119D2">
        <w:rPr>
          <w:color w:val="FF0000"/>
        </w:rPr>
        <w:t>.</w:t>
      </w:r>
      <w:r w:rsidRPr="45011B9E" w:rsidR="3E316D7A">
        <w:rPr>
          <w:color w:val="FF0000"/>
        </w:rPr>
        <w:t xml:space="preserve"> </w:t>
      </w:r>
      <w:r w:rsidRPr="45011B9E" w:rsidR="5DA532E6">
        <w:rPr>
          <w:b/>
          <w:bCs/>
          <w:color w:val="00B050"/>
          <w:highlight w:val="lightGray"/>
        </w:rPr>
        <w:t>La disposizione p</w:t>
      </w:r>
      <w:r w:rsidRPr="45011B9E" w:rsidR="33E8AF25">
        <w:rPr>
          <w:b/>
          <w:bCs/>
          <w:color w:val="00B050"/>
          <w:highlight w:val="lightGray"/>
        </w:rPr>
        <w:t>revede</w:t>
      </w:r>
      <w:r w:rsidRPr="45011B9E" w:rsidR="64046899">
        <w:rPr>
          <w:b/>
          <w:bCs/>
          <w:color w:val="00B050"/>
          <w:highlight w:val="lightGray"/>
        </w:rPr>
        <w:t>, infatti,</w:t>
      </w:r>
      <w:r w:rsidRPr="45011B9E" w:rsidR="33E8AF25">
        <w:rPr>
          <w:b/>
          <w:bCs/>
          <w:color w:val="00B050"/>
          <w:highlight w:val="lightGray"/>
        </w:rPr>
        <w:t xml:space="preserve"> </w:t>
      </w:r>
      <w:r w:rsidRPr="45011B9E">
        <w:rPr>
          <w:b/>
          <w:bCs/>
          <w:color w:val="00B050"/>
          <w:highlight w:val="lightGray"/>
        </w:rPr>
        <w:t>che, in luogo delle ricevute cartacee emesse dai terminali abilitati al pagamento con carta di credito, debito e prepagata, o altra modalità digitale,</w:t>
      </w:r>
      <w:r w:rsidRPr="45011B9E" w:rsidR="00CA677D">
        <w:rPr>
          <w:b/>
          <w:bCs/>
          <w:color w:val="00B050"/>
          <w:highlight w:val="lightGray"/>
        </w:rPr>
        <w:t xml:space="preserve"> possono essere utilizzati, per assolvere gli obblighi di conservazione di cui all’articolo 2220 del codice civile, l</w:t>
      </w:r>
      <w:r w:rsidRPr="45011B9E">
        <w:rPr>
          <w:b/>
          <w:bCs/>
          <w:color w:val="00B050"/>
          <w:highlight w:val="lightGray"/>
        </w:rPr>
        <w:t>e comunicazioni inviate ai clienti e la documentazione fornita, anche in formato digitale, dalle banche e dagli intermediari finanziari ai sensi dell’articolo 119 del Testo unico delle leggi in materia bancaria e creditizia di cui al decreto legislativo 1° settembre 1993, n. 385,</w:t>
      </w:r>
      <w:r w:rsidRPr="45011B9E" w:rsidR="421BCA5D">
        <w:rPr>
          <w:b/>
          <w:bCs/>
          <w:color w:val="00B050"/>
          <w:highlight w:val="lightGray"/>
        </w:rPr>
        <w:t xml:space="preserve"> </w:t>
      </w:r>
      <w:r w:rsidRPr="45011B9E">
        <w:rPr>
          <w:b/>
          <w:bCs/>
          <w:color w:val="00B050"/>
          <w:highlight w:val="lightGray"/>
        </w:rPr>
        <w:t>a condizione che le stesse contengano le informazioni relative alle singole operazioni poste in essere</w:t>
      </w:r>
      <w:r w:rsidRPr="45011B9E">
        <w:rPr>
          <w:color w:val="FF0000"/>
          <w:highlight w:val="lightGray"/>
        </w:rPr>
        <w:t>.</w:t>
      </w:r>
    </w:p>
    <w:p w:rsidR="009D7D15" w:rsidRPr="000450AB" w:rsidP="002167D6" w14:paraId="00DADEB4" w14:textId="074451F6">
      <w:pPr>
        <w:spacing w:after="120"/>
        <w:ind w:right="-143"/>
        <w:jc w:val="both"/>
        <w:rPr>
          <w:b/>
          <w:color w:val="FF0000"/>
        </w:rPr>
      </w:pPr>
      <w:r w:rsidRPr="000450AB">
        <w:rPr>
          <w:b/>
          <w:color w:val="FF0000"/>
        </w:rPr>
        <w:t xml:space="preserve">La disposizione, </w:t>
      </w:r>
      <w:r w:rsidRPr="000450AB" w:rsidR="375E9CEB">
        <w:rPr>
          <w:b/>
          <w:bCs/>
          <w:color w:val="FF0000"/>
        </w:rPr>
        <w:t>semplificando oneri previsti a carico di cittadini e imprese, ha</w:t>
      </w:r>
      <w:r w:rsidRPr="000450AB">
        <w:rPr>
          <w:b/>
          <w:color w:val="FF0000"/>
        </w:rPr>
        <w:t xml:space="preserve"> carattere esclusivamente procedimentale e ordinamentale </w:t>
      </w:r>
      <w:r w:rsidRPr="000450AB" w:rsidR="6D4490E4">
        <w:rPr>
          <w:b/>
          <w:bCs/>
          <w:color w:val="FF0000"/>
        </w:rPr>
        <w:t xml:space="preserve">e </w:t>
      </w:r>
      <w:r w:rsidRPr="000450AB">
        <w:rPr>
          <w:b/>
          <w:color w:val="FF0000"/>
        </w:rPr>
        <w:t>non comporta alcun aggravio a carico della finanza pubblica.</w:t>
      </w:r>
    </w:p>
    <w:p w:rsidR="00C77FBF" w:rsidRPr="008D47EE" w:rsidP="5D4F2007" w14:paraId="7AC929B5" w14:textId="32B669BB">
      <w:pPr>
        <w:shd w:val="clear" w:color="auto" w:fill="FFFFFF" w:themeFill="background1"/>
        <w:spacing w:after="120"/>
        <w:jc w:val="both"/>
        <w:rPr>
          <w:b/>
          <w:color w:val="000000"/>
          <w:u w:val="single"/>
        </w:rPr>
      </w:pPr>
      <w:r w:rsidRPr="5D4F2007">
        <w:rPr>
          <w:color w:val="000000" w:themeColor="text1"/>
        </w:rPr>
        <w:t>Ai successivi</w:t>
      </w:r>
      <w:r w:rsidRPr="5D4F2007" w:rsidR="008B22BE">
        <w:rPr>
          <w:color w:val="000000" w:themeColor="text1"/>
        </w:rPr>
        <w:t xml:space="preserve"> </w:t>
      </w:r>
      <w:r w:rsidRPr="5D4F2007" w:rsidR="008B22BE">
        <w:rPr>
          <w:b/>
          <w:color w:val="000000" w:themeColor="text1"/>
          <w:u w:val="single"/>
        </w:rPr>
        <w:t>commi 2</w:t>
      </w:r>
      <w:r w:rsidRPr="5D4F2007" w:rsidR="002D1666">
        <w:rPr>
          <w:b/>
          <w:color w:val="000000" w:themeColor="text1"/>
          <w:u w:val="single"/>
        </w:rPr>
        <w:t xml:space="preserve"> e </w:t>
      </w:r>
      <w:r w:rsidRPr="5D4F2007" w:rsidR="004A1A42">
        <w:rPr>
          <w:b/>
          <w:color w:val="000000" w:themeColor="text1"/>
          <w:u w:val="single"/>
        </w:rPr>
        <w:t>3</w:t>
      </w:r>
      <w:r w:rsidRPr="5D4F2007">
        <w:rPr>
          <w:color w:val="000000" w:themeColor="text1"/>
        </w:rPr>
        <w:t>, vengono razionalizzate</w:t>
      </w:r>
      <w:r w:rsidRPr="5D4F2007">
        <w:rPr>
          <w:color w:val="000000" w:themeColor="text1"/>
        </w:rPr>
        <w:t xml:space="preserve"> le modalità di assolvimento degli adempimenti di trasparenza previsti dal decreto legislativo n. 33 del 2013 e da altre disposizioni connesse</w:t>
      </w:r>
      <w:r w:rsidRPr="5D4F2007" w:rsidR="486FF1BC">
        <w:rPr>
          <w:color w:val="000000" w:themeColor="text1"/>
        </w:rPr>
        <w:t xml:space="preserve"> a carico dei soggetti di cui all’articolo 2-bis del </w:t>
      </w:r>
      <w:r w:rsidRPr="43772429" w:rsidR="486FF1BC">
        <w:rPr>
          <w:color w:val="000000" w:themeColor="text1"/>
        </w:rPr>
        <w:t xml:space="preserve">decreto legislativo 14 marzo 2013, n. </w:t>
      </w:r>
      <w:r w:rsidRPr="62FD0B2B" w:rsidR="486FF1BC">
        <w:rPr>
          <w:color w:val="000000" w:themeColor="text1"/>
        </w:rPr>
        <w:t>33 (pubbliche amministrazioni, enti pubblici economici</w:t>
      </w:r>
      <w:r w:rsidRPr="62FD0B2B" w:rsidR="0E08D6D1">
        <w:rPr>
          <w:color w:val="000000" w:themeColor="text1"/>
        </w:rPr>
        <w:t xml:space="preserve"> </w:t>
      </w:r>
      <w:r w:rsidRPr="62FD0B2B" w:rsidR="486FF1BC">
        <w:rPr>
          <w:color w:val="000000" w:themeColor="text1"/>
        </w:rPr>
        <w:t>e ordini professionali</w:t>
      </w:r>
      <w:r w:rsidRPr="62FD0B2B" w:rsidR="72508E2A">
        <w:rPr>
          <w:color w:val="000000" w:themeColor="text1"/>
        </w:rPr>
        <w:t xml:space="preserve">, società in controllo pubblico, associazioni, </w:t>
      </w:r>
      <w:r w:rsidRPr="7FF112BA" w:rsidR="72508E2A">
        <w:rPr>
          <w:color w:val="000000" w:themeColor="text1"/>
        </w:rPr>
        <w:t>fondazioni e enti di diritto privato comunque denom</w:t>
      </w:r>
      <w:r w:rsidRPr="7FF112BA" w:rsidR="42353DB1">
        <w:rPr>
          <w:color w:val="000000" w:themeColor="text1"/>
        </w:rPr>
        <w:t xml:space="preserve">inati, anche privi di personalità </w:t>
      </w:r>
      <w:r w:rsidRPr="72CECB33" w:rsidR="42353DB1">
        <w:rPr>
          <w:color w:val="000000" w:themeColor="text1"/>
        </w:rPr>
        <w:t xml:space="preserve">giuridica, con bilancio superiore a cinquecento mila euro, la cui </w:t>
      </w:r>
      <w:r w:rsidRPr="51D60760" w:rsidR="42353DB1">
        <w:rPr>
          <w:color w:val="000000" w:themeColor="text1"/>
        </w:rPr>
        <w:t>attività sia finanziata in modo maggiori</w:t>
      </w:r>
      <w:r w:rsidRPr="51D60760" w:rsidR="43301DC6">
        <w:rPr>
          <w:color w:val="000000" w:themeColor="text1"/>
        </w:rPr>
        <w:t xml:space="preserve">tario per almeno 2 esercizi finanziari consecutivi nell’ultimo triennio da </w:t>
      </w:r>
      <w:r w:rsidRPr="3A3A977A" w:rsidR="43301DC6">
        <w:rPr>
          <w:color w:val="000000" w:themeColor="text1"/>
        </w:rPr>
        <w:t>pubbliche amministrazioni e in cui la totalità dei componenti dell’organ</w:t>
      </w:r>
      <w:r w:rsidRPr="3A3A977A" w:rsidR="1155481A">
        <w:rPr>
          <w:color w:val="000000" w:themeColor="text1"/>
        </w:rPr>
        <w:t>o</w:t>
      </w:r>
      <w:r w:rsidRPr="3A3A977A" w:rsidR="43301DC6">
        <w:rPr>
          <w:color w:val="000000" w:themeColor="text1"/>
        </w:rPr>
        <w:t xml:space="preserve"> d</w:t>
      </w:r>
      <w:r w:rsidRPr="3A3A977A" w:rsidR="048D5C0D">
        <w:rPr>
          <w:color w:val="000000" w:themeColor="text1"/>
        </w:rPr>
        <w:t>i</w:t>
      </w:r>
      <w:r w:rsidRPr="3A3A977A" w:rsidR="62E1B762">
        <w:rPr>
          <w:color w:val="000000" w:themeColor="text1"/>
        </w:rPr>
        <w:t xml:space="preserve"> amministrazione o di indirizzo sia designata da pubbliche amministrazioni)</w:t>
      </w:r>
      <w:r w:rsidRPr="3A3A977A">
        <w:rPr>
          <w:color w:val="000000" w:themeColor="text1"/>
        </w:rPr>
        <w:t xml:space="preserve">. </w:t>
      </w:r>
      <w:r w:rsidRPr="3A3A977A" w:rsidR="002D1666">
        <w:rPr>
          <w:color w:val="000000" w:themeColor="text1"/>
        </w:rPr>
        <w:t xml:space="preserve"> </w:t>
      </w:r>
    </w:p>
    <w:p w:rsidR="00C77FBF" w:rsidRPr="008D47EE" w:rsidP="00987C41" w14:paraId="19805F55" w14:textId="4AFFC146">
      <w:pPr>
        <w:shd w:val="clear" w:color="auto" w:fill="FFFFFF"/>
        <w:spacing w:after="120"/>
        <w:jc w:val="both"/>
        <w:rPr>
          <w:b/>
          <w:color w:val="000000"/>
        </w:rPr>
      </w:pPr>
      <w:r w:rsidRPr="008D47EE">
        <w:rPr>
          <w:b/>
          <w:color w:val="000000"/>
        </w:rPr>
        <w:t xml:space="preserve">La </w:t>
      </w:r>
      <w:r w:rsidRPr="008D47EE" w:rsidR="00FE0F14">
        <w:rPr>
          <w:b/>
          <w:color w:val="000000"/>
        </w:rPr>
        <w:t>disposizione</w:t>
      </w:r>
      <w:r w:rsidRPr="008D47EE">
        <w:rPr>
          <w:b/>
          <w:color w:val="000000"/>
        </w:rPr>
        <w:t xml:space="preserve"> non comporta nuovi o maggiori oneri a carico della finanza pubblica, poiché si limita a intervenire sul piano procedurale, riducendo la duplicazione delle informazioni già presenti in banche dati pubbliche e rendendo più efficiente il sistema di pubblicazione.</w:t>
      </w:r>
    </w:p>
    <w:p w:rsidR="0024611E" w:rsidRPr="00987C41" w:rsidP="00987C41" w14:paraId="08B16D0A" w14:textId="77777777">
      <w:pPr>
        <w:spacing w:after="120"/>
        <w:jc w:val="both"/>
      </w:pPr>
    </w:p>
    <w:p w:rsidR="00131E44" w:rsidRPr="00BB6C9F" w:rsidP="00987C41" w14:paraId="17DFC10C" w14:textId="1F246F62">
      <w:pPr>
        <w:pStyle w:val="Heading3"/>
        <w:spacing w:before="0" w:after="120"/>
        <w:rPr>
          <w:rFonts w:cs="Times New Roman"/>
        </w:rPr>
      </w:pPr>
      <w:bookmarkStart w:id="30" w:name="_Toc210929485"/>
      <w:bookmarkStart w:id="31" w:name="_Toc220077553"/>
      <w:r w:rsidRPr="00BB6C9F">
        <w:rPr>
          <w:rFonts w:cs="Times New Roman"/>
        </w:rPr>
        <w:t xml:space="preserve">ART. </w:t>
      </w:r>
      <w:bookmarkStart w:id="32" w:name="_Toc204932824"/>
      <w:bookmarkStart w:id="33" w:name="_Toc204672802"/>
      <w:bookmarkStart w:id="34" w:name="_Toc210929486"/>
      <w:bookmarkEnd w:id="30"/>
      <w:r w:rsidR="00D00267">
        <w:rPr>
          <w:rFonts w:cs="Times New Roman"/>
        </w:rPr>
        <w:t>9</w:t>
      </w:r>
      <w:r w:rsidRPr="00BB6C9F" w:rsidR="0024611E">
        <w:rPr>
          <w:rFonts w:cs="Times New Roman"/>
        </w:rPr>
        <w:t xml:space="preserve">                                                                                                                                      </w:t>
      </w:r>
      <w:r w:rsidRPr="00BB6C9F" w:rsidR="0024611E">
        <w:rPr>
          <w:rFonts w:cs="Times New Roman"/>
        </w:rPr>
        <w:t xml:space="preserve">   </w:t>
      </w:r>
      <w:r w:rsidRPr="00BB6C9F">
        <w:rPr>
          <w:rFonts w:cs="Times New Roman"/>
        </w:rPr>
        <w:t>(</w:t>
      </w:r>
      <w:r w:rsidRPr="00BB6C9F">
        <w:rPr>
          <w:rFonts w:cs="Times New Roman"/>
        </w:rPr>
        <w:t>Semplificazioni in materia di opere in prossimità della linea di vigilanza doganale e nel mare territoriale)</w:t>
      </w:r>
      <w:bookmarkEnd w:id="31"/>
      <w:bookmarkEnd w:id="32"/>
      <w:bookmarkEnd w:id="33"/>
      <w:bookmarkEnd w:id="34"/>
    </w:p>
    <w:p w:rsidR="008E42F0" w:rsidRPr="00BB6C9F" w:rsidP="00987C41" w14:paraId="1AD15926" w14:textId="67E8E8A2">
      <w:pPr>
        <w:spacing w:after="120"/>
        <w:jc w:val="both"/>
        <w:rPr>
          <w:rFonts w:eastAsia="Aptos"/>
        </w:rPr>
      </w:pPr>
      <w:r w:rsidRPr="6604342A">
        <w:rPr>
          <w:rFonts w:eastAsia="Aptos"/>
        </w:rPr>
        <w:t xml:space="preserve">Il comma 1 </w:t>
      </w:r>
      <w:r w:rsidRPr="4EA41CE3">
        <w:rPr>
          <w:rFonts w:eastAsia="Aptos"/>
        </w:rPr>
        <w:t>dell’articolo</w:t>
      </w:r>
      <w:r w:rsidRPr="00BB6C9F">
        <w:rPr>
          <w:rFonts w:eastAsia="Aptos"/>
        </w:rPr>
        <w:t xml:space="preserve"> in commento</w:t>
      </w:r>
      <w:r w:rsidRPr="00BB6C9F" w:rsidR="009223D9">
        <w:rPr>
          <w:rFonts w:eastAsia="Aptos"/>
        </w:rPr>
        <w:t xml:space="preserve">, </w:t>
      </w:r>
      <w:r w:rsidRPr="00BB6C9F" w:rsidR="00971728">
        <w:rPr>
          <w:rFonts w:eastAsia="Aptos"/>
        </w:rPr>
        <w:t xml:space="preserve">riformulando integralmente </w:t>
      </w:r>
      <w:r w:rsidRPr="00BB6C9F" w:rsidR="009223D9">
        <w:rPr>
          <w:rFonts w:eastAsia="Aptos"/>
        </w:rPr>
        <w:t xml:space="preserve">l’articolo 7, dell’allegato I del decreto legislativo n. 141 del 2024, </w:t>
      </w:r>
      <w:r w:rsidRPr="00BB6C9F" w:rsidR="00971728">
        <w:rPr>
          <w:rFonts w:eastAsia="Aptos"/>
        </w:rPr>
        <w:t>introduce semplificazioni</w:t>
      </w:r>
      <w:r w:rsidRPr="00BB6C9F" w:rsidR="00A20B4B">
        <w:rPr>
          <w:rFonts w:eastAsia="Aptos"/>
        </w:rPr>
        <w:t xml:space="preserve"> procedimentali</w:t>
      </w:r>
      <w:r w:rsidRPr="00BB6C9F" w:rsidR="00971728">
        <w:rPr>
          <w:rFonts w:eastAsia="Aptos"/>
        </w:rPr>
        <w:t xml:space="preserve"> alla</w:t>
      </w:r>
      <w:r w:rsidRPr="00BB6C9F">
        <w:rPr>
          <w:rFonts w:eastAsia="Aptos"/>
        </w:rPr>
        <w:t xml:space="preserve"> disciplina dei divieti di edificare in prossimità della c.d. “linea doganale”</w:t>
      </w:r>
      <w:r w:rsidRPr="00BB6C9F" w:rsidR="00971728">
        <w:rPr>
          <w:rFonts w:eastAsia="Aptos"/>
        </w:rPr>
        <w:t>.</w:t>
      </w:r>
    </w:p>
    <w:p w:rsidR="00971728" w:rsidRPr="00987C41" w:rsidP="00987C41" w14:paraId="106BABF9" w14:textId="3378D7BB">
      <w:pPr>
        <w:spacing w:after="120"/>
        <w:jc w:val="both"/>
        <w:rPr>
          <w:rFonts w:eastAsia="Aptos"/>
          <w:b/>
        </w:rPr>
      </w:pPr>
      <w:r w:rsidRPr="00BB6C9F">
        <w:rPr>
          <w:rFonts w:eastAsia="Aptos"/>
          <w:b/>
        </w:rPr>
        <w:t>L’intervento, avente carattere esclusivamente procedimentale e ordinamentale, non comporta alcun ulteriore aggravio a carico della finanza pubblica.</w:t>
      </w:r>
      <w:r w:rsidRPr="00987C41">
        <w:rPr>
          <w:rFonts w:eastAsia="Aptos"/>
          <w:b/>
        </w:rPr>
        <w:t xml:space="preserve"> </w:t>
      </w:r>
    </w:p>
    <w:p w:rsidR="0023749A" w:rsidP="7892226C" w14:paraId="0881201A" w14:textId="2F6334B7">
      <w:pPr>
        <w:spacing w:after="120"/>
        <w:jc w:val="both"/>
        <w:rPr>
          <w:rFonts w:eastAsia="Aptos"/>
          <w:b/>
          <w:bCs/>
        </w:rPr>
      </w:pPr>
      <w:bookmarkStart w:id="35" w:name="_Hlk213864304"/>
      <w:bookmarkStart w:id="36" w:name="_Toc789584539"/>
      <w:bookmarkEnd w:id="12"/>
      <w:bookmarkEnd w:id="13"/>
      <w:bookmarkEnd w:id="25"/>
      <w:bookmarkEnd w:id="26"/>
      <w:bookmarkEnd w:id="27"/>
      <w:r>
        <w:t xml:space="preserve">Il comma 2 prevede, in relazione al procedimento di cui al comma 1, che l’autorizzazione </w:t>
      </w:r>
      <w:r w:rsidRPr="2ED7E830" w:rsidR="12AAE774">
        <w:rPr>
          <w:color w:val="000000" w:themeColor="text1"/>
        </w:rPr>
        <w:t>dell'ufficio dell’Agenzia delle dogane e dei monopoli competente per territorio</w:t>
      </w:r>
      <w:r w:rsidRPr="2ED7E830" w:rsidR="78D16602">
        <w:rPr>
          <w:color w:val="000000" w:themeColor="text1"/>
        </w:rPr>
        <w:t xml:space="preserve">, </w:t>
      </w:r>
      <w:r w:rsidRPr="7892226C" w:rsidR="78D16602">
        <w:rPr>
          <w:color w:val="000000" w:themeColor="text1"/>
        </w:rPr>
        <w:t>costituisce presupposto di legittimità di ogni altra autorizzazione relativa all'esecuzione delle attività di cui al medesimo comma 1</w:t>
      </w:r>
      <w:r w:rsidRPr="7892226C" w:rsidR="78D16602">
        <w:rPr>
          <w:rFonts w:ascii="Fira Sans" w:eastAsia="Fira Sans" w:hAnsi="Fira Sans" w:cs="Fira Sans"/>
          <w:color w:val="000000" w:themeColor="text1"/>
        </w:rPr>
        <w:t xml:space="preserve"> </w:t>
      </w:r>
      <w:r w:rsidRPr="7892226C" w:rsidR="78D16602">
        <w:rPr>
          <w:color w:val="000000" w:themeColor="text1"/>
        </w:rPr>
        <w:t>e non è necessaria per la realizzazione di opere interne a edifici o fabbricati già esistenti.</w:t>
      </w:r>
      <w:r>
        <w:t xml:space="preserve"> </w:t>
      </w:r>
      <w:r w:rsidRPr="7892226C" w:rsidR="517EFDFE">
        <w:rPr>
          <w:b/>
          <w:bCs/>
        </w:rPr>
        <w:t xml:space="preserve">La disposizione ha natura </w:t>
      </w:r>
      <w:r w:rsidRPr="7892226C" w:rsidR="517EFDFE">
        <w:rPr>
          <w:rFonts w:eastAsia="Aptos"/>
          <w:b/>
          <w:bCs/>
        </w:rPr>
        <w:t>ordinamentale</w:t>
      </w:r>
      <w:r w:rsidRPr="2117E64D" w:rsidR="517EFDFE">
        <w:rPr>
          <w:rFonts w:eastAsia="Aptos"/>
          <w:b/>
          <w:bCs/>
        </w:rPr>
        <w:t xml:space="preserve"> e</w:t>
      </w:r>
      <w:r w:rsidRPr="7892226C" w:rsidR="517EFDFE">
        <w:rPr>
          <w:rFonts w:eastAsia="Aptos"/>
          <w:b/>
          <w:bCs/>
        </w:rPr>
        <w:t xml:space="preserve"> non comporta alcun </w:t>
      </w:r>
      <w:r w:rsidRPr="2117E64D" w:rsidR="517EFDFE">
        <w:rPr>
          <w:rFonts w:eastAsia="Aptos"/>
          <w:b/>
          <w:bCs/>
        </w:rPr>
        <w:t>onere</w:t>
      </w:r>
      <w:r w:rsidRPr="7892226C" w:rsidR="517EFDFE">
        <w:rPr>
          <w:rFonts w:eastAsia="Aptos"/>
          <w:b/>
          <w:bCs/>
        </w:rPr>
        <w:t xml:space="preserve"> a carico della finanza pubblica.</w:t>
      </w:r>
    </w:p>
    <w:p w:rsidR="0023749A" w:rsidP="2ED7E830" w14:paraId="466CC287" w14:textId="25499BC2">
      <w:pPr>
        <w:spacing w:after="120"/>
        <w:jc w:val="both"/>
      </w:pPr>
      <w:r>
        <w:t xml:space="preserve"> </w:t>
      </w:r>
    </w:p>
    <w:p w:rsidR="00433472" w:rsidP="00433472" w14:paraId="098F63B1" w14:textId="1AB8ED93">
      <w:pPr>
        <w:pStyle w:val="Heading3"/>
        <w:spacing w:before="0" w:after="120"/>
        <w:rPr>
          <w:rFonts w:eastAsia="Times New Roman" w:cs="Times New Roman"/>
          <w:color w:val="000000" w:themeColor="text1"/>
        </w:rPr>
      </w:pPr>
      <w:bookmarkStart w:id="37" w:name="_Toc220077554"/>
      <w:r w:rsidRPr="005C32AD">
        <w:rPr>
          <w:rFonts w:eastAsia="Times New Roman" w:cs="Times New Roman"/>
          <w:color w:val="000000" w:themeColor="text1"/>
        </w:rPr>
        <w:t>ART</w:t>
      </w:r>
      <w:r w:rsidRPr="005C32AD">
        <w:rPr>
          <w:b w:val="0"/>
        </w:rPr>
        <w:t xml:space="preserve"> </w:t>
      </w:r>
      <w:r>
        <w:t>10</w:t>
      </w:r>
      <w:r w:rsidRPr="005C32AD">
        <w:rPr>
          <w:b w:val="0"/>
        </w:rPr>
        <w:t xml:space="preserve">                                                                                                                                                </w:t>
      </w:r>
      <w:r w:rsidRPr="005C32AD">
        <w:rPr>
          <w:b w:val="0"/>
        </w:rPr>
        <w:t xml:space="preserve">   </w:t>
      </w:r>
      <w:r w:rsidRPr="005C32AD">
        <w:rPr>
          <w:rFonts w:eastAsia="Times New Roman" w:cs="Times New Roman"/>
          <w:color w:val="000000" w:themeColor="text1"/>
        </w:rPr>
        <w:t>(</w:t>
      </w:r>
      <w:r w:rsidRPr="005C32AD">
        <w:rPr>
          <w:rFonts w:eastAsia="Times New Roman" w:cs="Times New Roman"/>
          <w:color w:val="000000" w:themeColor="text1"/>
        </w:rPr>
        <w:t>Misure urgenti di semplificazione in materia di circolazione stradale e di abilitazione alla guida e di navigazione)</w:t>
      </w:r>
      <w:bookmarkEnd w:id="37"/>
    </w:p>
    <w:p w:rsidR="00F24D67" w:rsidRPr="00F24D67" w:rsidP="00F24D67" w14:paraId="00229F2A" w14:textId="77777777"/>
    <w:p w:rsidR="00433472" w:rsidRPr="005C32AD" w:rsidP="00433472" w14:paraId="5CF03A5E" w14:textId="3EB87B21">
      <w:pPr>
        <w:spacing w:after="120"/>
        <w:jc w:val="both"/>
        <w:rPr>
          <w:b/>
        </w:rPr>
      </w:pPr>
      <w:r w:rsidRPr="1424FD97">
        <w:rPr>
          <w:b/>
          <w:bCs/>
        </w:rPr>
        <w:t>L</w:t>
      </w:r>
      <w:r w:rsidRPr="1424FD97" w:rsidR="438C3E02">
        <w:rPr>
          <w:b/>
          <w:bCs/>
        </w:rPr>
        <w:t>'articolo in esame</w:t>
      </w:r>
      <w:r w:rsidRPr="005C32AD">
        <w:rPr>
          <w:b/>
        </w:rPr>
        <w:t xml:space="preserve"> non comporta </w:t>
      </w:r>
      <w:r w:rsidRPr="0F3FEA39" w:rsidR="7CBB5038">
        <w:rPr>
          <w:b/>
          <w:bCs/>
        </w:rPr>
        <w:t>oner</w:t>
      </w:r>
      <w:r w:rsidRPr="0F3FEA39">
        <w:rPr>
          <w:b/>
          <w:bCs/>
        </w:rPr>
        <w:t>i</w:t>
      </w:r>
      <w:r w:rsidRPr="005C32AD">
        <w:rPr>
          <w:b/>
        </w:rPr>
        <w:t xml:space="preserve"> a carico della finanza pubblica, considerata la natura ordinamentale della misura. </w:t>
      </w:r>
    </w:p>
    <w:p w:rsidR="00433472" w:rsidRPr="005C32AD" w:rsidP="00433472" w14:paraId="06FC036A" w14:textId="77777777">
      <w:pPr>
        <w:spacing w:after="120"/>
        <w:jc w:val="both"/>
        <w:rPr>
          <w:color w:val="000000" w:themeColor="text1"/>
        </w:rPr>
      </w:pPr>
      <w:r w:rsidRPr="005C32AD">
        <w:rPr>
          <w:color w:val="000000" w:themeColor="text1"/>
        </w:rPr>
        <w:t xml:space="preserve">Il </w:t>
      </w:r>
      <w:r w:rsidRPr="005C32AD">
        <w:rPr>
          <w:b/>
          <w:color w:val="000000" w:themeColor="text1"/>
          <w:u w:val="single"/>
        </w:rPr>
        <w:t>comma 1</w:t>
      </w:r>
      <w:r w:rsidRPr="005C32AD">
        <w:rPr>
          <w:color w:val="000000" w:themeColor="text1"/>
          <w:u w:val="single"/>
        </w:rPr>
        <w:t xml:space="preserve"> </w:t>
      </w:r>
      <w:r w:rsidRPr="005C32AD">
        <w:rPr>
          <w:color w:val="000000" w:themeColor="text1"/>
        </w:rPr>
        <w:t>della disposizione è volto a superare criticità riscontrate nel contesto ordinamentale vigente legate all’esame di idoneità professionale degli autotrasportatori. Mediante il presente intervento con cui si modifica l’articolo 8, comma 6, del decreto legislativo 22 dicembre 2000, n. 395, i cittadini potranno sostenere l’esame di idoneità in una provincia diversa da quelle di residenza, eliminando, per l’effetto, un vincolo che ostacola l’accesso alla professione, in considerazione del fatto che non tutte le province hanno attivato la commissione di esame.</w:t>
      </w:r>
    </w:p>
    <w:p w:rsidR="00433472" w:rsidRPr="005C32AD" w:rsidP="00433472" w14:paraId="7B26C170" w14:textId="55CE8A11">
      <w:pPr>
        <w:spacing w:after="120"/>
        <w:jc w:val="both"/>
      </w:pPr>
      <w:r w:rsidRPr="005C32AD">
        <w:t>Relativamente al</w:t>
      </w:r>
      <w:r w:rsidRPr="005C32AD">
        <w:rPr>
          <w:b/>
          <w:u w:val="single"/>
        </w:rPr>
        <w:t xml:space="preserve"> comma </w:t>
      </w:r>
      <w:r w:rsidRPr="17A8C282" w:rsidR="534822CC">
        <w:rPr>
          <w:b/>
          <w:bCs/>
          <w:u w:val="single"/>
        </w:rPr>
        <w:t>2</w:t>
      </w:r>
      <w:r w:rsidRPr="005C32AD">
        <w:rPr>
          <w:b/>
        </w:rPr>
        <w:t xml:space="preserve">, </w:t>
      </w:r>
      <w:r w:rsidRPr="005C32AD">
        <w:t xml:space="preserve">si rappresenta che la modifica transitoria </w:t>
      </w:r>
      <w:r>
        <w:t>all’art</w:t>
      </w:r>
      <w:r w:rsidR="2409C544">
        <w:t>icolo</w:t>
      </w:r>
      <w:r w:rsidRPr="005C32AD">
        <w:t xml:space="preserve"> 119, comma 4, del d.lgs. n. 285/1992 consente di ampliare la composizione delle commissioni mediche locali fino al 31 dicembre 2026, includendo medici in quiescenza</w:t>
      </w:r>
      <w:r w:rsidR="00EF5BED">
        <w:t xml:space="preserve">, </w:t>
      </w:r>
      <w:r w:rsidRPr="00EF5BED" w:rsidR="00EF5BED">
        <w:rPr>
          <w:b/>
          <w:bCs/>
          <w:color w:val="00B050"/>
          <w:highlight w:val="lightGray"/>
        </w:rPr>
        <w:t>fino al compimento del settantacinquesimo anno d’età</w:t>
      </w:r>
      <w:r w:rsidR="00EF5BED">
        <w:t>,</w:t>
      </w:r>
      <w:r w:rsidRPr="005C32AD">
        <w:t xml:space="preserve"> già appartenenti alle amministrazioni e ai corpi indicati al comma 2 del medesimo articolo. In proposito, si rileva che l’ampliamento dei medici componenti delle CML con i medici in quiescenza è necessità ineludibile per continuare ad assicurare livelli adeguati di servizio in termini di controllo psico fisico dei conducenti, funzionale a tutelare la sicurezza della circolazione stradale ed il diritto costituzionale alla mobilità dei cittadini. A tale figura, coperta dal trattamento pensionistico, verrà corrisposto esclusivamente il compenso previsto dalla normativa di settore regionale, autoalimentato dai diritti che i richiedenti la vista medica collegiale versano per tale finalità e che, con partita di giro, ritorna ai componenti della commissione medesima corrisposto dalla struttura di appartenenza (ASL, Amministrazioni varie). Nel caso di personale medico in quiescenza, si tratterà di regolare, da parte delle ASL sede di CML il pagamento delle somme entrate nel proprio bilancio ma aventi destinazione specifica. È in ogni caso stabilito che resta fermo quanto previsto dall'articolo 1, comma 489, della legge 27 dicembre 2013, n 147, e dagli articoli 14, comma 3, e 14.1, comma 3, del decreto-legge 28 gennaio 2019, n 4, convertito, con modificazioni, dalla legge 28 marzo 2019, n 26.</w:t>
      </w:r>
      <w:r w:rsidR="772BBF67">
        <w:t xml:space="preserve"> </w:t>
      </w:r>
      <w:r w:rsidRPr="17A8C282" w:rsidR="772BBF67">
        <w:rPr>
          <w:b/>
          <w:bCs/>
        </w:rPr>
        <w:t>La misura non determina pertanto nuovi o maggiori oneri a carico della finanza pubblica.</w:t>
      </w:r>
    </w:p>
    <w:p w:rsidR="00433472" w:rsidRPr="005C32AD" w:rsidP="00433472" w14:paraId="18D7E166" w14:textId="7FBB4FEC">
      <w:pPr>
        <w:spacing w:after="120"/>
        <w:jc w:val="both"/>
      </w:pPr>
      <w:r w:rsidRPr="005C32AD">
        <w:t>Il</w:t>
      </w:r>
      <w:r w:rsidRPr="005C32AD">
        <w:rPr>
          <w:b/>
          <w:u w:val="single"/>
        </w:rPr>
        <w:t xml:space="preserve"> comma </w:t>
      </w:r>
      <w:r w:rsidRPr="5E9C86F9" w:rsidR="2E94F29A">
        <w:rPr>
          <w:b/>
          <w:bCs/>
          <w:u w:val="single"/>
        </w:rPr>
        <w:t>3</w:t>
      </w:r>
      <w:r w:rsidRPr="005C32AD">
        <w:t xml:space="preserve"> è finalizzato a rendere omogenee le modalità di svolgimento delle sedute di esame e assicurare su tutto il territorio nazionale il corretto svolgimento degli esami di guida. </w:t>
      </w:r>
    </w:p>
    <w:p w:rsidR="00433472" w:rsidRPr="005C32AD" w:rsidP="00433472" w14:paraId="2CEEB556" w14:textId="77777777">
      <w:pPr>
        <w:spacing w:after="120"/>
        <w:jc w:val="both"/>
      </w:pPr>
      <w:r w:rsidRPr="005C32AD">
        <w:t>In particolare l’intervento, è volto ad estendere l’utilizzo dei dispositivi c.d. jammer anche alle Regioni e le Province autonome di Trento e Bolzano e si rende necessario al fine di prevenire eventuali episodi di utilizzo fraudolento di apparecchiature di ricetrasmissione durante lo svolgimento degli esami di teoria per il conseguimento della patente di guida attraverso la realizzazione di soluzioni volte a rilevare in tempo reale le eventuali sorgenti radio presenti nell’aula di esame e, in caso di presenza di segnali radio anomali, azionare i sistemi di oscuramento.</w:t>
      </w:r>
    </w:p>
    <w:p w:rsidR="00433472" w:rsidRPr="005C32AD" w:rsidP="00433472" w14:paraId="5CAF6F52" w14:textId="71BC4657">
      <w:pPr>
        <w:spacing w:after="120"/>
        <w:jc w:val="both"/>
      </w:pPr>
      <w:r w:rsidRPr="005C32AD">
        <w:t xml:space="preserve">L’autorizzazione all’utilizzo dei dispositivi di inibizione delle frequenze (cd. jammer) da parte degli uffici della motorizzazione civile delle Regioni e delle Province autonome non incide sulle funzioni istituzionali attribuite al Ministero delle infrastrutture e dei trasporti che restano invariate. La disposizione si limita a consentire alle Regioni e alle Province autonome, qualora intendano avvalersene, di utilizzare i </w:t>
      </w:r>
      <w:r w:rsidRPr="005C32AD">
        <w:t>predetti</w:t>
      </w:r>
      <w:r w:rsidRPr="005C32AD">
        <w:t xml:space="preserve"> dispositivi, acquisendoli, installandoli e mantenendoli a proprio carico. Il riferimento agli accordi da stipularsi con il Ministero delle infrastrutture e dei trasporti, ai sensi dell’articolo 15 della legge n. 241 del 1990, ha la finalità di assicurare la necessaria uniformità tecnica e procedurale nell’utilizzo dei dispositivi sul territorio nazionale, in coerenza con quanto già previsto dall’articolo 1, comma 733, della legge n. 207 del 2024.</w:t>
      </w:r>
    </w:p>
    <w:p w:rsidR="00433472" w:rsidRPr="005C32AD" w:rsidP="00433472" w14:paraId="4A2F8FE7" w14:textId="4B206943">
      <w:pPr>
        <w:spacing w:after="120"/>
        <w:jc w:val="both"/>
      </w:pPr>
      <w:r w:rsidRPr="1BD74618">
        <w:rPr>
          <w:b/>
          <w:bCs/>
        </w:rPr>
        <w:t>L</w:t>
      </w:r>
      <w:r w:rsidRPr="1BD74618">
        <w:rPr>
          <w:b/>
          <w:bCs/>
        </w:rPr>
        <w:t>a</w:t>
      </w:r>
      <w:r w:rsidRPr="003A26F3">
        <w:rPr>
          <w:b/>
          <w:bCs/>
        </w:rPr>
        <w:t xml:space="preserve"> misura non determina nuovi o maggiori oneri a carico </w:t>
      </w:r>
      <w:r w:rsidRPr="2F270665">
        <w:rPr>
          <w:b/>
          <w:bCs/>
        </w:rPr>
        <w:t>del</w:t>
      </w:r>
      <w:r w:rsidRPr="003A26F3">
        <w:rPr>
          <w:b/>
          <w:bCs/>
        </w:rPr>
        <w:t xml:space="preserve"> bilancio dello Stato </w:t>
      </w:r>
      <w:r w:rsidR="5685872F">
        <w:t>a</w:t>
      </w:r>
      <w:r>
        <w:t>tteso</w:t>
      </w:r>
      <w:r w:rsidRPr="005C32AD">
        <w:t xml:space="preserve"> che:</w:t>
      </w:r>
    </w:p>
    <w:p w:rsidR="00433472" w:rsidRPr="005C32AD" w:rsidP="00433472" w14:paraId="1DB06211" w14:textId="77777777">
      <w:pPr>
        <w:tabs>
          <w:tab w:val="left" w:pos="284"/>
        </w:tabs>
        <w:spacing w:after="120"/>
        <w:jc w:val="both"/>
      </w:pPr>
      <w:r w:rsidRPr="005C32AD">
        <w:t>•</w:t>
      </w:r>
      <w:r w:rsidRPr="005C32AD">
        <w:tab/>
        <w:t>per il livello statale risultano già autorizzate le risorse di cui al comma 733 dell’articolo 1 della legge n. 207 del 2024, pari a 4,965 milioni di euro per l’anno 2025, per l’implementazione della mascheratura delle frequenze in 120 aule, con un costo medio per aula pari a circa 41.500 euro;</w:t>
      </w:r>
    </w:p>
    <w:p w:rsidR="00433472" w:rsidRPr="005C32AD" w:rsidP="00433472" w14:paraId="12AEF527" w14:textId="5B98A0E4">
      <w:pPr>
        <w:tabs>
          <w:tab w:val="left" w:pos="284"/>
        </w:tabs>
        <w:spacing w:after="120"/>
        <w:jc w:val="both"/>
      </w:pPr>
      <w:r w:rsidRPr="005C32AD">
        <w:t>•</w:t>
      </w:r>
      <w:r w:rsidRPr="005C32AD">
        <w:tab/>
        <w:t xml:space="preserve">tale costo medio, determinato su un campione significativo di aule, costituisce un parametro di riferimento attendibile anche per le </w:t>
      </w:r>
      <w:r w:rsidR="029B5FFB">
        <w:t>r</w:t>
      </w:r>
      <w:r w:rsidR="5BBF9A8B">
        <w:t>egioni</w:t>
      </w:r>
      <w:r w:rsidRPr="005C32AD">
        <w:t xml:space="preserve"> e le </w:t>
      </w:r>
      <w:r w:rsidR="5EED5ACE">
        <w:t>p</w:t>
      </w:r>
      <w:r>
        <w:t>rovince</w:t>
      </w:r>
      <w:r w:rsidRPr="005C32AD">
        <w:t xml:space="preserve"> autonome; in caso di progetti di dimensioni più ridotte, eventuali aumenti unitari dovuti alla minore economia di scala potrebbero risultare compensati dal minor costo di trasferte e logistica per l’installazione e la manutenzione, con conseguente sostanziale allineamento ai valori medi già rilevati a livello statale;</w:t>
      </w:r>
    </w:p>
    <w:p w:rsidR="00433472" w:rsidRPr="005C32AD" w:rsidP="00433472" w14:paraId="5CFF9DE0" w14:textId="6C0FBF13">
      <w:pPr>
        <w:tabs>
          <w:tab w:val="left" w:pos="284"/>
        </w:tabs>
        <w:spacing w:after="120"/>
        <w:jc w:val="both"/>
      </w:pPr>
      <w:r w:rsidRPr="005C32AD">
        <w:t>•</w:t>
      </w:r>
      <w:r w:rsidRPr="005C32AD">
        <w:tab/>
        <w:t xml:space="preserve">eventuali spese relative all’acquisizione, installazione e manutenzione dei dispositivi restano a carico esclusivo delle </w:t>
      </w:r>
      <w:r w:rsidR="58C52E12">
        <w:t>r</w:t>
      </w:r>
      <w:r w:rsidR="349C6A4E">
        <w:t>egioni</w:t>
      </w:r>
      <w:r w:rsidRPr="005C32AD">
        <w:t xml:space="preserve"> e delle </w:t>
      </w:r>
      <w:r w:rsidR="38ECCF15">
        <w:t>p</w:t>
      </w:r>
      <w:r w:rsidR="349C6A4E">
        <w:t>rovince</w:t>
      </w:r>
      <w:r w:rsidRPr="005C32AD">
        <w:t xml:space="preserve"> autonome, da finanziare con le proprie disponibilità, senza alcun concorso di risorse statali;</w:t>
      </w:r>
    </w:p>
    <w:p w:rsidR="00433472" w:rsidRPr="005C32AD" w:rsidP="00433472" w14:paraId="555889DE" w14:textId="5AC4B917">
      <w:pPr>
        <w:tabs>
          <w:tab w:val="left" w:pos="284"/>
        </w:tabs>
        <w:spacing w:after="120"/>
        <w:jc w:val="both"/>
      </w:pPr>
      <w:r w:rsidRPr="005C32AD">
        <w:t>•</w:t>
      </w:r>
      <w:r w:rsidRPr="005C32AD">
        <w:tab/>
        <w:t>la stipula di accordi ai sensi della legge n. 241 del 1990 non comporta oneri aggiuntivi, trattandosi di strumenti di mera regolazione e coordinamento amministrativo.</w:t>
      </w:r>
    </w:p>
    <w:p w:rsidR="00433472" w:rsidRPr="003A26F3" w:rsidP="00433472" w14:paraId="40ADEE47" w14:textId="6EDAB80E">
      <w:pPr>
        <w:spacing w:after="120"/>
        <w:jc w:val="both"/>
        <w:rPr>
          <w:b/>
          <w:bCs/>
        </w:rPr>
      </w:pPr>
      <w:r w:rsidRPr="005C32AD">
        <w:t xml:space="preserve">Alla luce di quanto sopra, si conferma che </w:t>
      </w:r>
      <w:r w:rsidRPr="003A26F3">
        <w:rPr>
          <w:b/>
          <w:bCs/>
        </w:rPr>
        <w:t xml:space="preserve">la disposizione non comporta nuovi o maggiori oneri per </w:t>
      </w:r>
      <w:r w:rsidRPr="535FC71D" w:rsidR="0768DED6">
        <w:rPr>
          <w:b/>
          <w:bCs/>
        </w:rPr>
        <w:t>il bilancio dello Stato</w:t>
      </w:r>
      <w:r w:rsidRPr="003A26F3">
        <w:rPr>
          <w:b/>
          <w:bCs/>
        </w:rPr>
        <w:t xml:space="preserve"> e può trovare applicazione</w:t>
      </w:r>
      <w:r w:rsidRPr="535FC71D" w:rsidR="4876CF2C">
        <w:rPr>
          <w:b/>
          <w:bCs/>
        </w:rPr>
        <w:t>, con riferimento a regioni e province autonome,</w:t>
      </w:r>
      <w:r w:rsidRPr="003A26F3">
        <w:rPr>
          <w:b/>
          <w:bCs/>
        </w:rPr>
        <w:t xml:space="preserve"> nel rispetto dei vincoli di cui all’articolo 19, comma 2, della legge n. 196 del 2009.</w:t>
      </w:r>
    </w:p>
    <w:p w:rsidR="00433472" w:rsidRPr="005C32AD" w:rsidP="00433472" w14:paraId="6B9AF175" w14:textId="1AD72AAA">
      <w:pPr>
        <w:spacing w:after="120"/>
        <w:jc w:val="both"/>
        <w:rPr>
          <w:b/>
          <w:color w:val="000000" w:themeColor="text1"/>
        </w:rPr>
      </w:pPr>
      <w:r w:rsidRPr="005C32AD">
        <w:rPr>
          <w:b/>
          <w:u w:val="single"/>
        </w:rPr>
        <w:t xml:space="preserve">Il comma </w:t>
      </w:r>
      <w:r w:rsidRPr="267B545B" w:rsidR="54B99031">
        <w:rPr>
          <w:b/>
          <w:bCs/>
          <w:u w:val="single"/>
        </w:rPr>
        <w:t>4</w:t>
      </w:r>
      <w:r w:rsidRPr="005C32AD">
        <w:rPr>
          <w:b/>
          <w:u w:val="single"/>
        </w:rPr>
        <w:t xml:space="preserve"> </w:t>
      </w:r>
      <w:r w:rsidRPr="005C32AD">
        <w:rPr>
          <w:color w:val="000000" w:themeColor="text1"/>
        </w:rPr>
        <w:t xml:space="preserve">apporta modifiche all’articolo 5, comma 3, del decreto-legge 21 maggio 2025, n. 73, convertito, con modificazioni, dalla legge 18 luglio 2025, n. 105, al fine di intervenire sul limite massimo di passeggeri previsto nei casi in cui le autorizzazioni alla circolazione di targhe prova siano rilasciate ad aziende per attività di ricerca, sviluppo, produzione e collaudo di veicoli ovvero di loro componenti. In particolare, si prevede che alle </w:t>
      </w:r>
      <w:r w:rsidRPr="005C32AD">
        <w:rPr>
          <w:color w:val="000000" w:themeColor="text1"/>
        </w:rPr>
        <w:t>predette</w:t>
      </w:r>
      <w:r w:rsidRPr="005C32AD">
        <w:rPr>
          <w:color w:val="000000" w:themeColor="text1"/>
        </w:rPr>
        <w:t xml:space="preserve"> aziende non si applichi il limite relativo al trasporto, oltre al conducente, di un solo passeggero, individuato nella persona del titolare dell'autorizzazione ovvero selezionato tra i dipendenti del titolare dell'autorizzazione o tra gli addetti titolari di rapporti di collaborazione funzionale con il medesimo. </w:t>
      </w:r>
      <w:r w:rsidRPr="03C43D21">
        <w:rPr>
          <w:b/>
          <w:bCs/>
          <w:color w:val="000000" w:themeColor="text1"/>
        </w:rPr>
        <w:t>La disposizione</w:t>
      </w:r>
      <w:r w:rsidRPr="2A1FEBC7" w:rsidR="1F76FB8F">
        <w:rPr>
          <w:b/>
          <w:bCs/>
          <w:color w:val="000000" w:themeColor="text1"/>
        </w:rPr>
        <w:t xml:space="preserve"> in esame,</w:t>
      </w:r>
      <w:r w:rsidRPr="03C43D21" w:rsidR="38631DAB">
        <w:rPr>
          <w:b/>
          <w:bCs/>
          <w:color w:val="000000" w:themeColor="text1"/>
        </w:rPr>
        <w:t xml:space="preserve"> afferendo la regolamentazione della </w:t>
      </w:r>
      <w:r w:rsidRPr="2A1FEBC7" w:rsidR="38631DAB">
        <w:rPr>
          <w:b/>
          <w:bCs/>
          <w:color w:val="000000" w:themeColor="text1"/>
        </w:rPr>
        <w:t>circolazione dei veicoli, ha</w:t>
      </w:r>
      <w:r w:rsidRPr="47F8C90C">
        <w:rPr>
          <w:b/>
          <w:bCs/>
          <w:color w:val="000000" w:themeColor="text1"/>
        </w:rPr>
        <w:t xml:space="preserve"> </w:t>
      </w:r>
      <w:r w:rsidRPr="47F8C90C" w:rsidR="299C169B">
        <w:rPr>
          <w:b/>
          <w:bCs/>
          <w:color w:val="000000" w:themeColor="text1"/>
        </w:rPr>
        <w:t>natura</w:t>
      </w:r>
      <w:r w:rsidRPr="1BD74618">
        <w:rPr>
          <w:b/>
          <w:color w:val="000000" w:themeColor="text1"/>
        </w:rPr>
        <w:t xml:space="preserve"> ordinamentale </w:t>
      </w:r>
      <w:r w:rsidRPr="2A1FEBC7">
        <w:rPr>
          <w:b/>
          <w:bCs/>
          <w:color w:val="000000" w:themeColor="text1"/>
        </w:rPr>
        <w:t xml:space="preserve">e </w:t>
      </w:r>
      <w:r w:rsidRPr="1BD74618">
        <w:rPr>
          <w:b/>
          <w:color w:val="000000" w:themeColor="text1"/>
        </w:rPr>
        <w:t>non determina</w:t>
      </w:r>
      <w:r w:rsidRPr="47F8C90C">
        <w:rPr>
          <w:b/>
          <w:bCs/>
          <w:color w:val="000000" w:themeColor="text1"/>
        </w:rPr>
        <w:t xml:space="preserve"> </w:t>
      </w:r>
      <w:r w:rsidRPr="47F8C90C" w:rsidR="6A5D22F5">
        <w:rPr>
          <w:b/>
          <w:bCs/>
          <w:color w:val="000000" w:themeColor="text1"/>
        </w:rPr>
        <w:t>alcun</w:t>
      </w:r>
      <w:r w:rsidRPr="47F8C90C">
        <w:rPr>
          <w:b/>
          <w:bCs/>
          <w:color w:val="000000" w:themeColor="text1"/>
        </w:rPr>
        <w:t xml:space="preserve"> oner</w:t>
      </w:r>
      <w:r w:rsidRPr="47F8C90C" w:rsidR="37ACDCE5">
        <w:rPr>
          <w:b/>
          <w:bCs/>
          <w:color w:val="000000" w:themeColor="text1"/>
        </w:rPr>
        <w:t>e</w:t>
      </w:r>
      <w:r w:rsidRPr="1BD74618">
        <w:rPr>
          <w:b/>
          <w:color w:val="000000" w:themeColor="text1"/>
        </w:rPr>
        <w:t xml:space="preserve"> a carico della finanza pubblica.</w:t>
      </w:r>
    </w:p>
    <w:p w:rsidR="00541B24" w:rsidRPr="004D06AD" w:rsidP="007C7EB9" w14:paraId="579A9961" w14:textId="6408BB71">
      <w:pPr>
        <w:spacing w:after="120"/>
        <w:jc w:val="both"/>
      </w:pPr>
      <w:r w:rsidRPr="005C32AD">
        <w:rPr>
          <w:b/>
          <w:u w:val="single"/>
        </w:rPr>
        <w:t xml:space="preserve">Il comma </w:t>
      </w:r>
      <w:r w:rsidRPr="267B545B" w:rsidR="3DED13A6">
        <w:rPr>
          <w:b/>
          <w:bCs/>
          <w:u w:val="single"/>
        </w:rPr>
        <w:t>5</w:t>
      </w:r>
      <w:r w:rsidRPr="005C32AD">
        <w:rPr>
          <w:b/>
          <w:u w:val="single"/>
        </w:rPr>
        <w:t xml:space="preserve"> </w:t>
      </w:r>
      <w:r w:rsidRPr="005C32AD">
        <w:rPr>
          <w:color w:val="000000" w:themeColor="text1"/>
        </w:rPr>
        <w:t>reca l’interpretazione autentica dell’articolo 172-</w:t>
      </w:r>
      <w:r w:rsidRPr="005C32AD">
        <w:rPr>
          <w:i/>
          <w:color w:val="000000" w:themeColor="text1"/>
        </w:rPr>
        <w:t>bis</w:t>
      </w:r>
      <w:r w:rsidRPr="005C32AD">
        <w:rPr>
          <w:color w:val="000000" w:themeColor="text1"/>
        </w:rPr>
        <w:t xml:space="preserve"> del codice della navigazione, di cui al regio decreto 30 marzo 1942, n. 327 disponendo che il trasbordo del personale imbarcato tra unità dello stesso armatore, entrambe regolarmente armate, non comporta la messa in disarmo dell’unità di provenienza, purché essa rimanga ormeggiata e non impiegata nella navigazione e vengano osservati gli obblighi di custodia eventualmente disposti ai sensi dell’articolo 74 del codice della navigazione</w:t>
      </w:r>
      <w:r w:rsidRPr="005C32AD">
        <w:rPr>
          <w:b/>
          <w:color w:val="000000" w:themeColor="text1"/>
        </w:rPr>
        <w:t xml:space="preserve">. </w:t>
      </w:r>
      <w:r w:rsidRPr="3A54149B">
        <w:rPr>
          <w:b/>
          <w:bCs/>
          <w:color w:val="000000" w:themeColor="text1"/>
        </w:rPr>
        <w:t>La disposizione</w:t>
      </w:r>
      <w:r w:rsidRPr="3A54149B" w:rsidR="4583AA03">
        <w:rPr>
          <w:b/>
          <w:bCs/>
          <w:color w:val="000000" w:themeColor="text1"/>
        </w:rPr>
        <w:t>, recando l’interpretazione autentica in materia di trasbordo di pers</w:t>
      </w:r>
      <w:r w:rsidRPr="3A54149B" w:rsidR="3CA8BB1A">
        <w:rPr>
          <w:b/>
          <w:bCs/>
          <w:color w:val="000000" w:themeColor="text1"/>
        </w:rPr>
        <w:t>onale marittimo,</w:t>
      </w:r>
      <w:r w:rsidRPr="00AF0366">
        <w:rPr>
          <w:b/>
          <w:bCs/>
          <w:color w:val="000000" w:themeColor="text1"/>
        </w:rPr>
        <w:t xml:space="preserve"> riveste carattere ordinamentale e non determina, pertanto, nuovi o maggiori oneri a carico della finanza pubblica.</w:t>
      </w:r>
      <w:r w:rsidRPr="00AF0366">
        <w:rPr>
          <w:b/>
          <w:bCs/>
        </w:rPr>
        <w:t xml:space="preserve"> </w:t>
      </w:r>
    </w:p>
    <w:p w:rsidR="00E77BC1" w:rsidP="00E77BC1" w14:paraId="434E9918" w14:textId="77777777">
      <w:pPr>
        <w:spacing w:after="120"/>
      </w:pPr>
    </w:p>
    <w:p w:rsidR="00E77BC1" w:rsidRPr="00FC0121" w:rsidP="00E77BC1" w14:paraId="395412A6" w14:textId="77777777">
      <w:pPr>
        <w:pStyle w:val="Heading3"/>
        <w:spacing w:before="0" w:after="120"/>
        <w:rPr>
          <w:rFonts w:eastAsia="Times New Roman"/>
          <w:color w:val="000000" w:themeColor="text1"/>
        </w:rPr>
      </w:pPr>
      <w:bookmarkStart w:id="38" w:name="_Toc213844844"/>
      <w:bookmarkStart w:id="39" w:name="_Hlk213844418"/>
      <w:bookmarkStart w:id="40" w:name="_Toc220077555"/>
      <w:r w:rsidRPr="00FC0121">
        <w:rPr>
          <w:rFonts w:eastAsia="Times New Roman"/>
          <w:color w:val="000000" w:themeColor="text1"/>
        </w:rPr>
        <w:t xml:space="preserve">ART. </w:t>
      </w:r>
      <w:bookmarkStart w:id="41" w:name="_Toc213844845"/>
      <w:bookmarkEnd w:id="38"/>
      <w:bookmarkEnd w:id="39"/>
      <w:r>
        <w:rPr>
          <w:rFonts w:eastAsia="Times New Roman"/>
          <w:color w:val="000000" w:themeColor="text1"/>
        </w:rPr>
        <w:t xml:space="preserve">11                                                                                                                                               </w:t>
      </w:r>
      <w:r>
        <w:rPr>
          <w:rFonts w:eastAsia="Times New Roman"/>
          <w:color w:val="000000" w:themeColor="text1"/>
        </w:rPr>
        <w:t xml:space="preserve">   </w:t>
      </w:r>
      <w:r w:rsidRPr="00FC0121">
        <w:rPr>
          <w:rFonts w:eastAsia="Times New Roman"/>
          <w:color w:val="000000" w:themeColor="text1"/>
        </w:rPr>
        <w:t>(</w:t>
      </w:r>
      <w:r w:rsidRPr="00FC0121">
        <w:rPr>
          <w:rFonts w:eastAsia="Times New Roman"/>
          <w:color w:val="000000" w:themeColor="text1"/>
        </w:rPr>
        <w:t>Misure urgenti in materia di interoperabilità delle banche dati pubbliche</w:t>
      </w:r>
      <w:bookmarkEnd w:id="41"/>
      <w:r>
        <w:rPr>
          <w:rFonts w:eastAsia="Times New Roman"/>
          <w:color w:val="000000" w:themeColor="text1"/>
        </w:rPr>
        <w:t xml:space="preserve"> </w:t>
      </w:r>
      <w:r>
        <w:rPr>
          <w:rFonts w:eastAsia="Times New Roman" w:cs="Times New Roman"/>
          <w:color w:val="000000" w:themeColor="text1"/>
        </w:rPr>
        <w:t>e in materia di trasparenza e controllo degli strumenti digitali</w:t>
      </w:r>
      <w:r w:rsidRPr="00FC0121">
        <w:rPr>
          <w:rFonts w:eastAsia="Times New Roman"/>
          <w:color w:val="000000" w:themeColor="text1"/>
        </w:rPr>
        <w:t>)</w:t>
      </w:r>
      <w:bookmarkEnd w:id="40"/>
    </w:p>
    <w:p w:rsidR="00E77BC1" w:rsidRPr="00987C41" w:rsidP="00E77BC1" w14:paraId="695C377B" w14:textId="1037A3B1">
      <w:pPr>
        <w:spacing w:after="120"/>
        <w:jc w:val="both"/>
      </w:pPr>
      <w:r w:rsidRPr="00987C41">
        <w:rPr>
          <w:color w:val="000000" w:themeColor="text1"/>
        </w:rPr>
        <w:t xml:space="preserve">L’articolo in esame apporta modifiche al decreto legislativo 7 marzo 2005 n. </w:t>
      </w:r>
      <w:r w:rsidRPr="1F3ABEFB">
        <w:rPr>
          <w:color w:val="000000" w:themeColor="text1"/>
        </w:rPr>
        <w:t>82, recante il “</w:t>
      </w:r>
      <w:r w:rsidRPr="1F3ABEFB">
        <w:rPr>
          <w:i/>
          <w:iCs/>
          <w:color w:val="000000" w:themeColor="text1"/>
        </w:rPr>
        <w:t>Codice dell’Amministrazione Digitale (CAD)</w:t>
      </w:r>
      <w:r w:rsidRPr="1F3ABEFB">
        <w:rPr>
          <w:color w:val="000000" w:themeColor="text1"/>
        </w:rPr>
        <w:t>”</w:t>
      </w:r>
      <w:r w:rsidRPr="1F3ABEFB" w:rsidR="1BF7251A">
        <w:rPr>
          <w:color w:val="000000" w:themeColor="text1"/>
        </w:rPr>
        <w:t xml:space="preserve"> al fine di garantire il pieno raggiungimento degli obiettivi dell’Investimento 1.3 e dell’Investimento 1.4 della Missione 1, Componente 1, del PNRR, nonché per rafforzare l'interoperabilità tra le banche dati pubbliche e favorire la trasparenza ed il controllo sugli strumenti digitali.</w:t>
      </w:r>
    </w:p>
    <w:p w:rsidR="00E77BC1" w:rsidRPr="00987C41" w:rsidP="0798E1FD" w14:paraId="1DA0CAF1" w14:textId="55BF306E">
      <w:pPr>
        <w:spacing w:after="120"/>
        <w:jc w:val="both"/>
      </w:pPr>
      <w:r w:rsidRPr="00987C41">
        <w:rPr>
          <w:color w:val="000000" w:themeColor="text1"/>
        </w:rPr>
        <w:t xml:space="preserve">In particolare, il </w:t>
      </w:r>
      <w:r w:rsidRPr="00987C41">
        <w:rPr>
          <w:b/>
          <w:color w:val="000000" w:themeColor="text1"/>
          <w:u w:val="single"/>
        </w:rPr>
        <w:t>comma 1, lett. a)</w:t>
      </w:r>
      <w:r w:rsidRPr="00ED1301">
        <w:rPr>
          <w:b/>
          <w:color w:val="000000" w:themeColor="text1"/>
        </w:rPr>
        <w:t xml:space="preserve"> </w:t>
      </w:r>
      <w:r w:rsidRPr="0798E1FD" w:rsidR="46BF8221">
        <w:rPr>
          <w:color w:val="000000" w:themeColor="text1"/>
        </w:rPr>
        <w:t>inserisce l’articolo 3-ter</w:t>
      </w:r>
      <w:r w:rsidRPr="002B727F">
        <w:rPr>
          <w:bCs/>
          <w:color w:val="000000" w:themeColor="text1"/>
        </w:rPr>
        <w:t xml:space="preserve"> </w:t>
      </w:r>
      <w:r>
        <w:rPr>
          <w:bCs/>
          <w:color w:val="000000" w:themeColor="text1"/>
        </w:rPr>
        <w:t>che</w:t>
      </w:r>
      <w:r w:rsidRPr="00BB5744">
        <w:rPr>
          <w:color w:val="000000" w:themeColor="text1"/>
        </w:rPr>
        <w:t xml:space="preserve"> </w:t>
      </w:r>
      <w:r w:rsidRPr="0798E1FD" w:rsidR="46BF8221">
        <w:rPr>
          <w:color w:val="000000" w:themeColor="text1"/>
        </w:rPr>
        <w:t>consente al cittadino</w:t>
      </w:r>
      <w:r w:rsidRPr="0798E1FD" w:rsidR="5C646C3A">
        <w:rPr>
          <w:color w:val="000000" w:themeColor="text1"/>
        </w:rPr>
        <w:t xml:space="preserve"> di</w:t>
      </w:r>
      <w:r w:rsidRPr="0798E1FD" w:rsidR="46BF8221">
        <w:rPr>
          <w:color w:val="000000" w:themeColor="text1"/>
        </w:rPr>
        <w:t xml:space="preserve"> accedere alle informazioni relative ai propri strumenti digitali, attraverso un servizio dedicato reso disponibile in modalità sicura dal portale dell'Anagrafe nazionale della popolazione residente (ANPR) di cui all'articolo 62</w:t>
      </w:r>
      <w:r w:rsidRPr="0798E1FD" w:rsidR="3165CE47">
        <w:rPr>
          <w:color w:val="000000" w:themeColor="text1"/>
        </w:rPr>
        <w:t>. A tali fini è istituita nell’ANPR un’apposita sezione contenente i dati riferibili</w:t>
      </w:r>
      <w:r w:rsidRPr="0798E1FD" w:rsidR="0328EC92">
        <w:rPr>
          <w:color w:val="000000" w:themeColor="text1"/>
        </w:rPr>
        <w:t xml:space="preserve"> </w:t>
      </w:r>
      <w:r w:rsidRPr="0798E1FD" w:rsidR="3165CE47">
        <w:rPr>
          <w:color w:val="000000" w:themeColor="text1"/>
        </w:rPr>
        <w:t>agli strumenti digitali intestati al cittadino, registrati e costantemente allineati dai gestori degli strumenti stessi</w:t>
      </w:r>
      <w:r w:rsidRPr="0798E1FD" w:rsidR="4BAE9925">
        <w:rPr>
          <w:color w:val="000000" w:themeColor="text1"/>
        </w:rPr>
        <w:t>.</w:t>
      </w:r>
      <w:r w:rsidRPr="0798E1FD" w:rsidR="711D1166">
        <w:rPr>
          <w:color w:val="000000" w:themeColor="text1"/>
        </w:rPr>
        <w:t xml:space="preserve"> Per ogni strumento digitale ANPR è integrata e costantemente allineata</w:t>
      </w:r>
      <w:r w:rsidRPr="4027D16D" w:rsidR="3368B33B">
        <w:rPr>
          <w:color w:val="000000" w:themeColor="text1"/>
        </w:rPr>
        <w:t>.</w:t>
      </w:r>
    </w:p>
    <w:p w:rsidR="00E77BC1" w:rsidRPr="00987C41" w:rsidP="00E77BC1" w14:paraId="11C946F9" w14:textId="03EF21EB">
      <w:pPr>
        <w:spacing w:after="120"/>
        <w:jc w:val="both"/>
        <w:rPr>
          <w:color w:val="000000" w:themeColor="text1"/>
        </w:rPr>
      </w:pPr>
      <w:r w:rsidRPr="2920FC24">
        <w:rPr>
          <w:color w:val="000000" w:themeColor="text1"/>
        </w:rPr>
        <w:t>I</w:t>
      </w:r>
      <w:r w:rsidRPr="00BB5744">
        <w:rPr>
          <w:color w:val="000000" w:themeColor="text1"/>
        </w:rPr>
        <w:t xml:space="preserve"> servizi di interoperabilità e accesso ai dati resi disponibili </w:t>
      </w:r>
      <w:r w:rsidRPr="2920FC24">
        <w:rPr>
          <w:color w:val="000000" w:themeColor="text1"/>
        </w:rPr>
        <w:t>da</w:t>
      </w:r>
      <w:r w:rsidRPr="2920FC24" w:rsidR="729A228D">
        <w:rPr>
          <w:color w:val="000000" w:themeColor="text1"/>
        </w:rPr>
        <w:t>ll’</w:t>
      </w:r>
      <w:r w:rsidRPr="2920FC24">
        <w:rPr>
          <w:color w:val="000000" w:themeColor="text1"/>
        </w:rPr>
        <w:t>ANPR,</w:t>
      </w:r>
      <w:r w:rsidRPr="00BB5744">
        <w:rPr>
          <w:color w:val="000000" w:themeColor="text1"/>
        </w:rPr>
        <w:t xml:space="preserve"> inclusi quelli destinati ai cittadini e ai gestori tramite la Piattaforma Digitale Nazionale Dati (PDND), saranno sviluppati dalla Società Sogei S.p.A., incaricata, ai sensi </w:t>
      </w:r>
      <w:r w:rsidRPr="7BA6069E">
        <w:rPr>
          <w:color w:val="000000" w:themeColor="text1"/>
        </w:rPr>
        <w:t>dell’art</w:t>
      </w:r>
      <w:r w:rsidRPr="7BA6069E" w:rsidR="57BC7F22">
        <w:rPr>
          <w:color w:val="000000" w:themeColor="text1"/>
        </w:rPr>
        <w:t>icolo</w:t>
      </w:r>
      <w:r w:rsidRPr="00BB5744">
        <w:rPr>
          <w:color w:val="000000" w:themeColor="text1"/>
        </w:rPr>
        <w:t xml:space="preserve"> 1, comma 306, della L. n. 228/2012, della realizzazione, implementazione e gestione dell’ANPR</w:t>
      </w:r>
      <w:r w:rsidRPr="4ED83898" w:rsidR="78B1FABD">
        <w:rPr>
          <w:color w:val="000000" w:themeColor="text1"/>
        </w:rPr>
        <w:t>. I relativi oneri</w:t>
      </w:r>
      <w:r w:rsidRPr="00BB5744">
        <w:rPr>
          <w:color w:val="000000" w:themeColor="text1"/>
        </w:rPr>
        <w:t xml:space="preserve"> trovano copertura a valere sul sub-investimento 1.4.4 “Estensione dell’utilizzo delle piattaforme nazionali di identità̀ digitale (SPID, CIE) e dell’anagrafe nazionale digitale (ANPR)” della Missione 1 - Componente 1 - Asse 1 del PNRR, già oggetto di specifico Accordo tra il Ministero dell’Interno e il Dipartimento per la trasformazione digitale per disciplinare le modalità di collaborazione tra le due amministrazioni </w:t>
      </w:r>
      <w:r w:rsidRPr="313D9240" w:rsidR="07E74745">
        <w:rPr>
          <w:color w:val="000000" w:themeColor="text1"/>
        </w:rPr>
        <w:t>e</w:t>
      </w:r>
      <w:r w:rsidRPr="00BB5744">
        <w:rPr>
          <w:color w:val="000000" w:themeColor="text1"/>
        </w:rPr>
        <w:t xml:space="preserve"> garantire </w:t>
      </w:r>
      <w:r w:rsidRPr="2920FC24" w:rsidR="06EEE995">
        <w:rPr>
          <w:color w:val="000000" w:themeColor="text1"/>
        </w:rPr>
        <w:t>i</w:t>
      </w:r>
      <w:r w:rsidRPr="2920FC24">
        <w:rPr>
          <w:color w:val="000000" w:themeColor="text1"/>
        </w:rPr>
        <w:t>l</w:t>
      </w:r>
      <w:r w:rsidRPr="00BB5744">
        <w:rPr>
          <w:color w:val="000000" w:themeColor="text1"/>
        </w:rPr>
        <w:t xml:space="preserve"> potenziamento dei servizi erogati dalla medesima banca dati, incluso l’adeguamento e l’evoluzione delle caratteristiche tecniche della piattaforma di funzionamento dell’ANPR. L’impegno economico complessivo relativo alla </w:t>
      </w:r>
      <w:r w:rsidRPr="00BB5744">
        <w:rPr>
          <w:color w:val="000000" w:themeColor="text1"/>
        </w:rPr>
        <w:t>predetta</w:t>
      </w:r>
      <w:r w:rsidRPr="00BB5744">
        <w:rPr>
          <w:color w:val="000000" w:themeColor="text1"/>
        </w:rPr>
        <w:t xml:space="preserve"> linea di attività, a copertura dell’intero investimento fino al 30 giugno 2026, è stimato in circa euro 250.000,00. A far data dal 1 luglio 2026, ultimate le attività di sviluppo, i costi connessi alla gestione delle nuove funzionalità rientrano nei costi di gestione sostenuti annualmente dal Ministero dell’interno per l’ANPR con le risorse economiche previste per tale progettualità (art. 2, comma 7, del decreto-legge  18 ottobre 2012, n.179, convertito con modificazioni dalla L. 17 dicembre 2012, n. 221) sul capitolo 1286 del bilancio dello Stato, </w:t>
      </w:r>
      <w:r w:rsidR="00D34051">
        <w:rPr>
          <w:b/>
          <w:color w:val="215E99" w:themeColor="text2" w:themeTint="BF"/>
        </w:rPr>
        <w:t xml:space="preserve">il quale presenta </w:t>
      </w:r>
      <w:r w:rsidRPr="00E338D1" w:rsidR="0006131C">
        <w:rPr>
          <w:b/>
          <w:color w:val="215E99" w:themeColor="text2" w:themeTint="BF"/>
        </w:rPr>
        <w:t>sufficienti disponibili</w:t>
      </w:r>
      <w:r w:rsidRPr="00E338D1" w:rsidR="006F6255">
        <w:rPr>
          <w:b/>
          <w:color w:val="215E99" w:themeColor="text2" w:themeTint="BF"/>
        </w:rPr>
        <w:t>t</w:t>
      </w:r>
      <w:r w:rsidR="00E338D1">
        <w:rPr>
          <w:b/>
          <w:color w:val="215E99" w:themeColor="text2" w:themeTint="BF"/>
        </w:rPr>
        <w:t>à</w:t>
      </w:r>
      <w:r w:rsidR="00D22BDE">
        <w:rPr>
          <w:b/>
          <w:color w:val="215E99" w:themeColor="text2" w:themeTint="BF"/>
        </w:rPr>
        <w:t>,</w:t>
      </w:r>
      <w:r w:rsidR="00E338D1">
        <w:rPr>
          <w:b/>
          <w:color w:val="215E99" w:themeColor="text2" w:themeTint="BF"/>
        </w:rPr>
        <w:t xml:space="preserve"> </w:t>
      </w:r>
      <w:r w:rsidRPr="00E338D1" w:rsidR="00C272AF">
        <w:rPr>
          <w:b/>
          <w:color w:val="215E99" w:themeColor="text2" w:themeTint="BF"/>
        </w:rPr>
        <w:t xml:space="preserve">tali da non </w:t>
      </w:r>
      <w:r w:rsidRPr="00E338D1" w:rsidR="00E338D1">
        <w:rPr>
          <w:b/>
          <w:color w:val="215E99" w:themeColor="text2" w:themeTint="BF"/>
        </w:rPr>
        <w:t>ravvisarsi</w:t>
      </w:r>
      <w:r w:rsidRPr="00E338D1">
        <w:rPr>
          <w:b/>
          <w:color w:val="215E99" w:themeColor="text2" w:themeTint="BF"/>
        </w:rPr>
        <w:t xml:space="preserve"> la necessità di</w:t>
      </w:r>
      <w:r w:rsidRPr="00E338D1" w:rsidR="00E338D1">
        <w:rPr>
          <w:b/>
          <w:color w:val="215E99" w:themeColor="text2" w:themeTint="BF"/>
        </w:rPr>
        <w:t xml:space="preserve"> copertura di </w:t>
      </w:r>
      <w:r w:rsidRPr="00E338D1">
        <w:rPr>
          <w:b/>
          <w:color w:val="215E99" w:themeColor="text2" w:themeTint="BF"/>
        </w:rPr>
        <w:t>costi di gestione ulteriori</w:t>
      </w:r>
      <w:r w:rsidRPr="00BB5744">
        <w:rPr>
          <w:color w:val="000000" w:themeColor="text1"/>
        </w:rPr>
        <w:t xml:space="preserve">. </w:t>
      </w:r>
      <w:r w:rsidRPr="00BB5744">
        <w:rPr>
          <w:b/>
          <w:bCs/>
          <w:color w:val="000000" w:themeColor="text1"/>
        </w:rPr>
        <w:t>Dall’attuazione del presente comma</w:t>
      </w:r>
      <w:r>
        <w:rPr>
          <w:b/>
          <w:bCs/>
          <w:color w:val="000000" w:themeColor="text1"/>
        </w:rPr>
        <w:t xml:space="preserve"> </w:t>
      </w:r>
      <w:r w:rsidRPr="00BB5744">
        <w:rPr>
          <w:b/>
          <w:bCs/>
          <w:color w:val="000000" w:themeColor="text1"/>
        </w:rPr>
        <w:t>non derivano nuovi o maggiori oneri a carico della finanza pubblica.</w:t>
      </w:r>
    </w:p>
    <w:p w:rsidR="00E77BC1" w:rsidRPr="00D22BDE" w:rsidP="00E77BC1" w14:paraId="71B47766" w14:textId="0DB49794">
      <w:pPr>
        <w:spacing w:after="120"/>
        <w:jc w:val="both"/>
        <w:rPr>
          <w:color w:val="4C94D8" w:themeColor="text2" w:themeTint="80"/>
        </w:rPr>
      </w:pPr>
      <w:r w:rsidRPr="00987C41">
        <w:rPr>
          <w:color w:val="000000" w:themeColor="text1"/>
        </w:rPr>
        <w:t xml:space="preserve">In particolare, il </w:t>
      </w:r>
      <w:r w:rsidRPr="00D34051">
        <w:rPr>
          <w:b/>
          <w:color w:val="000000" w:themeColor="text1"/>
          <w:u w:val="single"/>
        </w:rPr>
        <w:t>comma 1, lett. b)</w:t>
      </w:r>
      <w:r w:rsidRPr="00D34051">
        <w:rPr>
          <w:color w:val="000000" w:themeColor="text1"/>
        </w:rPr>
        <w:t xml:space="preserve"> modifica l’articolo 6-ter del richiamato Codice, rubricato “</w:t>
      </w:r>
      <w:r w:rsidRPr="00D34051">
        <w:rPr>
          <w:i/>
          <w:iCs/>
          <w:color w:val="000000" w:themeColor="text1"/>
        </w:rPr>
        <w:t>Indice dei domicili digitali delle pubbliche amministrazioni</w:t>
      </w:r>
      <w:r w:rsidRPr="00987C41">
        <w:rPr>
          <w:i/>
          <w:iCs/>
          <w:color w:val="000000" w:themeColor="text1"/>
        </w:rPr>
        <w:t xml:space="preserve"> e dei gestori di pubblici servizi</w:t>
      </w:r>
      <w:r w:rsidRPr="00987C41">
        <w:rPr>
          <w:color w:val="000000" w:themeColor="text1"/>
        </w:rPr>
        <w:t>” (IPA), al fine di rendere tale indice funzionale a un miglior utilizzo della Piattaforma Digitale Nazionale Dati (PDND), disciplinata all’articolo 50-ter del medesimo Codice, prevedendo sia la riorganizzazione dello stesso sia l’iscrizione al suo interno anche delle società a controllo pubblico, che si aggiungono ai soggetti rispetto ai quali è attualmente già contemplata l’iscrizione. Ciò al fine di garantire una maggiore efficienza nell’interoperabilità e nella trasparenza amministrativa e nei procedimenti di adesione alla PDND, rafforzando altresì l’interoperabilità tra le banche dati pubbliche, in linea con il principio dell’unicità dell’invio o “</w:t>
      </w:r>
      <w:r w:rsidRPr="00987C41">
        <w:rPr>
          <w:i/>
          <w:iCs/>
          <w:color w:val="000000" w:themeColor="text1"/>
        </w:rPr>
        <w:t xml:space="preserve">once </w:t>
      </w:r>
      <w:r w:rsidRPr="00987C41">
        <w:rPr>
          <w:i/>
          <w:iCs/>
          <w:color w:val="000000" w:themeColor="text1"/>
        </w:rPr>
        <w:t>only</w:t>
      </w:r>
      <w:r w:rsidRPr="00987C41">
        <w:rPr>
          <w:color w:val="000000" w:themeColor="text1"/>
        </w:rPr>
        <w:t xml:space="preserve">”. </w:t>
      </w:r>
      <w:r w:rsidRPr="00D22BDE" w:rsidR="68DDC126">
        <w:rPr>
          <w:b/>
          <w:color w:val="4C94D8" w:themeColor="text2" w:themeTint="80"/>
        </w:rPr>
        <w:t>La disposizione non comporta alcun costo aggiuntivo non richiedendo</w:t>
      </w:r>
      <w:r w:rsidRPr="00D22BDE" w:rsidR="001E007D">
        <w:rPr>
          <w:b/>
          <w:color w:val="4C94D8" w:themeColor="text2" w:themeTint="80"/>
        </w:rPr>
        <w:t xml:space="preserve"> </w:t>
      </w:r>
      <w:r w:rsidRPr="00D22BDE" w:rsidR="68DDC126">
        <w:rPr>
          <w:b/>
          <w:color w:val="4C94D8" w:themeColor="text2" w:themeTint="80"/>
        </w:rPr>
        <w:t>alcuno sviluppo ulteriore rispetto a quanto già previsto a legislazione vigente.</w:t>
      </w:r>
    </w:p>
    <w:p w:rsidR="00E77BC1" w:rsidRPr="00987C41" w:rsidP="00E77BC1" w14:paraId="7304A69E" w14:textId="706A5FF6">
      <w:pPr>
        <w:spacing w:after="120"/>
        <w:jc w:val="both"/>
        <w:rPr>
          <w:color w:val="000000" w:themeColor="text1"/>
        </w:rPr>
      </w:pPr>
      <w:r w:rsidRPr="00987C41">
        <w:rPr>
          <w:color w:val="000000" w:themeColor="text1"/>
        </w:rPr>
        <w:t xml:space="preserve">Nel dettaglio, </w:t>
      </w:r>
      <w:r w:rsidRPr="2F168AF6" w:rsidR="296454E1">
        <w:rPr>
          <w:color w:val="000000" w:themeColor="text1"/>
        </w:rPr>
        <w:t>c</w:t>
      </w:r>
      <w:r w:rsidRPr="2F168AF6" w:rsidR="446B3479">
        <w:rPr>
          <w:color w:val="000000" w:themeColor="text1"/>
        </w:rPr>
        <w:t xml:space="preserve">on </w:t>
      </w:r>
      <w:r w:rsidRPr="00987C41">
        <w:rPr>
          <w:color w:val="000000" w:themeColor="text1"/>
        </w:rPr>
        <w:t xml:space="preserve">il </w:t>
      </w:r>
      <w:r w:rsidRPr="00987C41">
        <w:rPr>
          <w:b/>
          <w:color w:val="000000" w:themeColor="text1"/>
          <w:u w:val="single"/>
        </w:rPr>
        <w:t xml:space="preserve">comma 1, </w:t>
      </w:r>
      <w:r w:rsidRPr="4076BB31" w:rsidR="446B3479">
        <w:rPr>
          <w:b/>
          <w:bCs/>
          <w:color w:val="000000" w:themeColor="text1"/>
          <w:u w:val="single"/>
        </w:rPr>
        <w:t>lett</w:t>
      </w:r>
      <w:r w:rsidRPr="4076BB31" w:rsidR="737D8BBB">
        <w:rPr>
          <w:b/>
          <w:bCs/>
          <w:color w:val="000000" w:themeColor="text1"/>
          <w:u w:val="single"/>
        </w:rPr>
        <w:t>era</w:t>
      </w:r>
      <w:r w:rsidRPr="00987C41">
        <w:rPr>
          <w:b/>
          <w:color w:val="000000" w:themeColor="text1"/>
          <w:u w:val="single"/>
        </w:rPr>
        <w:t xml:space="preserve"> </w:t>
      </w:r>
      <w:r>
        <w:rPr>
          <w:b/>
          <w:color w:val="000000" w:themeColor="text1"/>
          <w:u w:val="single"/>
        </w:rPr>
        <w:t>b</w:t>
      </w:r>
      <w:r w:rsidRPr="00987C41">
        <w:rPr>
          <w:b/>
          <w:color w:val="000000" w:themeColor="text1"/>
          <w:u w:val="single"/>
        </w:rPr>
        <w:t>), n.1</w:t>
      </w:r>
      <w:r w:rsidRPr="00987C41">
        <w:rPr>
          <w:color w:val="000000" w:themeColor="text1"/>
        </w:rPr>
        <w:t>,</w:t>
      </w:r>
      <w:r w:rsidRPr="00987C41">
        <w:rPr>
          <w:b/>
          <w:bCs/>
          <w:color w:val="000000" w:themeColor="text1"/>
        </w:rPr>
        <w:t xml:space="preserve"> </w:t>
      </w:r>
      <w:r w:rsidRPr="00987C41">
        <w:rPr>
          <w:color w:val="000000" w:themeColor="text1"/>
        </w:rPr>
        <w:t>si</w:t>
      </w:r>
      <w:r w:rsidRPr="00987C41">
        <w:rPr>
          <w:b/>
          <w:bCs/>
          <w:color w:val="000000" w:themeColor="text1"/>
        </w:rPr>
        <w:t xml:space="preserve"> </w:t>
      </w:r>
      <w:r w:rsidRPr="00987C41">
        <w:rPr>
          <w:color w:val="000000" w:themeColor="text1"/>
        </w:rPr>
        <w:t xml:space="preserve">sostituisce integralmente il comma 1 dell’articolo 6-ter, prevedendo che nell’Indice </w:t>
      </w:r>
      <w:r w:rsidRPr="2F168AF6" w:rsidR="5445C34F">
        <w:rPr>
          <w:color w:val="000000" w:themeColor="text1"/>
        </w:rPr>
        <w:t>dei domicili digitali della pubblica amministrazione, dei gestori di pubblici servizi e delle società a controllo pubblico</w:t>
      </w:r>
      <w:r w:rsidRPr="00987C41">
        <w:rPr>
          <w:color w:val="000000" w:themeColor="text1"/>
        </w:rPr>
        <w:t>, come ridenominato, si iscrivono anche le società a controllo pubblico.</w:t>
      </w:r>
    </w:p>
    <w:p w:rsidR="00E77BC1" w:rsidRPr="00987C41" w:rsidP="00E77BC1" w14:paraId="1478EBF2" w14:textId="7F4B6014">
      <w:pPr>
        <w:spacing w:after="120"/>
        <w:jc w:val="both"/>
        <w:rPr>
          <w:color w:val="000000" w:themeColor="text1"/>
        </w:rPr>
      </w:pPr>
      <w:r w:rsidRPr="00987C41">
        <w:rPr>
          <w:color w:val="000000" w:themeColor="text1"/>
        </w:rPr>
        <w:t xml:space="preserve">Con la modifica di cui al </w:t>
      </w:r>
      <w:r w:rsidRPr="00987C41">
        <w:rPr>
          <w:b/>
          <w:color w:val="000000" w:themeColor="text1"/>
          <w:u w:val="single"/>
        </w:rPr>
        <w:t xml:space="preserve">comma 1, </w:t>
      </w:r>
      <w:r w:rsidRPr="4076BB31" w:rsidR="1E35CD5D">
        <w:rPr>
          <w:b/>
          <w:bCs/>
          <w:color w:val="000000" w:themeColor="text1"/>
          <w:u w:val="single"/>
        </w:rPr>
        <w:t>lett</w:t>
      </w:r>
      <w:r w:rsidRPr="4076BB31" w:rsidR="6BD7D246">
        <w:rPr>
          <w:b/>
          <w:bCs/>
          <w:color w:val="000000" w:themeColor="text1"/>
          <w:u w:val="single"/>
        </w:rPr>
        <w:t>era</w:t>
      </w:r>
      <w:r w:rsidRPr="00987C41">
        <w:rPr>
          <w:b/>
          <w:color w:val="000000" w:themeColor="text1"/>
          <w:u w:val="single"/>
        </w:rPr>
        <w:t xml:space="preserve"> </w:t>
      </w:r>
      <w:r>
        <w:rPr>
          <w:b/>
          <w:color w:val="000000" w:themeColor="text1"/>
          <w:u w:val="single"/>
        </w:rPr>
        <w:t>b</w:t>
      </w:r>
      <w:r w:rsidRPr="00987C41">
        <w:rPr>
          <w:b/>
          <w:color w:val="000000" w:themeColor="text1"/>
          <w:u w:val="single"/>
        </w:rPr>
        <w:t>), n.</w:t>
      </w:r>
      <w:r w:rsidRPr="3B03B6BE" w:rsidR="63A7A1A8">
        <w:rPr>
          <w:b/>
          <w:bCs/>
          <w:color w:val="000000" w:themeColor="text1"/>
          <w:u w:val="single"/>
        </w:rPr>
        <w:t>2</w:t>
      </w:r>
      <w:r w:rsidRPr="00987C41">
        <w:rPr>
          <w:color w:val="000000" w:themeColor="text1"/>
        </w:rPr>
        <w:t xml:space="preserve">, si introduce, dopo il comma 1, il comma 1-bis, volto a prevedere che per ogni pubblica amministrazione o gestore di pubblico servizio nonché per le società a controllo pubblico, l’Indice </w:t>
      </w:r>
      <w:r w:rsidRPr="3B03B6BE" w:rsidR="6CAFC782">
        <w:rPr>
          <w:color w:val="000000" w:themeColor="text1"/>
        </w:rPr>
        <w:t>dei domicili digitali della pubblica amministrazione, dei gestori di pubblici servizi e delle società a controllo pubblico</w:t>
      </w:r>
      <w:r w:rsidRPr="00987C41">
        <w:rPr>
          <w:color w:val="000000" w:themeColor="text1"/>
        </w:rPr>
        <w:t xml:space="preserve"> garantisce, a richiesta del soggetto, l’inserimento dei dati utili per la gestione della fattura elettronica ai sensi dell'articolo 1, commi da 209 a 213, della legge 24 dicembre 2007, n. 244 e del decreto legislativo 27 dicembre 2018, n. 148.</w:t>
      </w:r>
    </w:p>
    <w:p w:rsidR="00E77BC1" w:rsidRPr="00987C41" w:rsidP="00E77BC1" w14:paraId="7E004FCB" w14:textId="7B488D38">
      <w:pPr>
        <w:spacing w:after="120"/>
        <w:jc w:val="both"/>
        <w:rPr>
          <w:color w:val="000000" w:themeColor="text1"/>
        </w:rPr>
      </w:pPr>
      <w:r w:rsidRPr="00987C41">
        <w:rPr>
          <w:color w:val="000000" w:themeColor="text1"/>
        </w:rPr>
        <w:t xml:space="preserve">La modifica introdotta col </w:t>
      </w:r>
      <w:r w:rsidRPr="00987C41">
        <w:rPr>
          <w:b/>
          <w:color w:val="000000" w:themeColor="text1"/>
          <w:u w:val="single"/>
        </w:rPr>
        <w:t xml:space="preserve">comma 1, </w:t>
      </w:r>
      <w:r w:rsidRPr="3583AECE">
        <w:rPr>
          <w:b/>
          <w:bCs/>
          <w:color w:val="000000" w:themeColor="text1"/>
          <w:u w:val="single"/>
        </w:rPr>
        <w:t>lett</w:t>
      </w:r>
      <w:r w:rsidRPr="3583AECE" w:rsidR="4EE94BF8">
        <w:rPr>
          <w:b/>
          <w:bCs/>
          <w:color w:val="000000" w:themeColor="text1"/>
          <w:u w:val="single"/>
        </w:rPr>
        <w:t>era</w:t>
      </w:r>
      <w:r w:rsidRPr="00987C41">
        <w:rPr>
          <w:b/>
          <w:color w:val="000000" w:themeColor="text1"/>
          <w:u w:val="single"/>
        </w:rPr>
        <w:t xml:space="preserve"> </w:t>
      </w:r>
      <w:r>
        <w:rPr>
          <w:b/>
          <w:color w:val="000000" w:themeColor="text1"/>
          <w:u w:val="single"/>
        </w:rPr>
        <w:t>b</w:t>
      </w:r>
      <w:r w:rsidRPr="00987C41">
        <w:rPr>
          <w:b/>
          <w:color w:val="000000" w:themeColor="text1"/>
          <w:u w:val="single"/>
        </w:rPr>
        <w:t>), n.</w:t>
      </w:r>
      <w:r>
        <w:rPr>
          <w:b/>
          <w:color w:val="000000" w:themeColor="text1"/>
          <w:u w:val="single"/>
        </w:rPr>
        <w:t xml:space="preserve"> </w:t>
      </w:r>
      <w:r w:rsidRPr="6FB8CFF8" w:rsidR="6EBBCA30">
        <w:rPr>
          <w:b/>
          <w:bCs/>
          <w:color w:val="000000" w:themeColor="text1"/>
          <w:u w:val="single"/>
        </w:rPr>
        <w:t>3</w:t>
      </w:r>
      <w:r w:rsidRPr="6FB8CFF8">
        <w:rPr>
          <w:b/>
          <w:color w:val="000000" w:themeColor="text1"/>
          <w:u w:val="single"/>
        </w:rPr>
        <w:t xml:space="preserve"> </w:t>
      </w:r>
      <w:r w:rsidRPr="00987C41">
        <w:rPr>
          <w:color w:val="000000" w:themeColor="text1"/>
        </w:rPr>
        <w:t xml:space="preserve">è volta a </w:t>
      </w:r>
      <w:r>
        <w:rPr>
          <w:color w:val="000000" w:themeColor="text1"/>
        </w:rPr>
        <w:t>prevedere</w:t>
      </w:r>
      <w:r w:rsidRPr="00987C41">
        <w:rPr>
          <w:color w:val="000000" w:themeColor="text1"/>
        </w:rPr>
        <w:t xml:space="preserve"> che, nella realizzazione e gestione dell'Indice, l’AgID può utilizzare anche l’elenco ISTAT di cui all’articolo 1, comma 3, legge 31 dicembre 2009, n. 196.</w:t>
      </w:r>
    </w:p>
    <w:p w:rsidR="00E77BC1" w:rsidRPr="00987C41" w:rsidP="00E77BC1" w14:paraId="6D021761" w14:textId="7975D2A8">
      <w:pPr>
        <w:spacing w:after="120"/>
        <w:jc w:val="both"/>
        <w:rPr>
          <w:color w:val="000000" w:themeColor="text1"/>
        </w:rPr>
      </w:pPr>
      <w:r w:rsidRPr="00987C41">
        <w:rPr>
          <w:color w:val="000000" w:themeColor="text1"/>
        </w:rPr>
        <w:t xml:space="preserve">Il </w:t>
      </w:r>
      <w:r w:rsidRPr="00987C41">
        <w:rPr>
          <w:b/>
          <w:color w:val="000000" w:themeColor="text1"/>
          <w:u w:val="single"/>
        </w:rPr>
        <w:t xml:space="preserve">comma 1, </w:t>
      </w:r>
      <w:r w:rsidRPr="3583AECE">
        <w:rPr>
          <w:b/>
          <w:bCs/>
          <w:color w:val="000000" w:themeColor="text1"/>
          <w:u w:val="single"/>
        </w:rPr>
        <w:t>lett</w:t>
      </w:r>
      <w:r w:rsidRPr="3583AECE" w:rsidR="50A105F1">
        <w:rPr>
          <w:b/>
          <w:bCs/>
          <w:color w:val="000000" w:themeColor="text1"/>
          <w:u w:val="single"/>
        </w:rPr>
        <w:t>era</w:t>
      </w:r>
      <w:r w:rsidRPr="00987C41">
        <w:rPr>
          <w:b/>
          <w:color w:val="000000" w:themeColor="text1"/>
          <w:u w:val="single"/>
        </w:rPr>
        <w:t xml:space="preserve"> </w:t>
      </w:r>
      <w:r>
        <w:rPr>
          <w:b/>
          <w:color w:val="000000" w:themeColor="text1"/>
          <w:u w:val="single"/>
        </w:rPr>
        <w:t>b</w:t>
      </w:r>
      <w:r w:rsidRPr="00987C41">
        <w:rPr>
          <w:b/>
          <w:color w:val="000000" w:themeColor="text1"/>
          <w:u w:val="single"/>
        </w:rPr>
        <w:t xml:space="preserve">), n. </w:t>
      </w:r>
      <w:r w:rsidRPr="6FB8CFF8" w:rsidR="5D877F0B">
        <w:rPr>
          <w:b/>
          <w:bCs/>
          <w:color w:val="000000" w:themeColor="text1"/>
          <w:u w:val="single"/>
        </w:rPr>
        <w:t>4</w:t>
      </w:r>
      <w:r w:rsidRPr="6FB8CFF8">
        <w:rPr>
          <w:b/>
          <w:color w:val="000000" w:themeColor="text1"/>
          <w:u w:val="single"/>
        </w:rPr>
        <w:t xml:space="preserve"> </w:t>
      </w:r>
      <w:r w:rsidRPr="00987C41">
        <w:rPr>
          <w:color w:val="000000" w:themeColor="text1"/>
        </w:rPr>
        <w:t>prevede l’introduzione, dopo il comma 2, del comma 2-</w:t>
      </w:r>
      <w:r w:rsidRPr="00987C41">
        <w:rPr>
          <w:i/>
          <w:iCs/>
          <w:color w:val="000000" w:themeColor="text1"/>
        </w:rPr>
        <w:t>bis</w:t>
      </w:r>
      <w:r w:rsidRPr="00987C41">
        <w:rPr>
          <w:color w:val="000000" w:themeColor="text1"/>
        </w:rPr>
        <w:t>, volto a prevedere che l’iscrizione all’Indice di cui al presente articolo avviene a richiesta del soggetto interessato o d’ufficio da parte di AgID e non è incompatibile con l’iscrizione nell’Indice di cui all’articolo 6-bis, concernente il c.d. “</w:t>
      </w:r>
      <w:r w:rsidRPr="00987C41">
        <w:rPr>
          <w:i/>
          <w:iCs/>
          <w:color w:val="000000" w:themeColor="text1"/>
        </w:rPr>
        <w:t>Indice nazionale dei domicili digitali delle imprese e dei professionisti</w:t>
      </w:r>
      <w:r w:rsidRPr="00987C41">
        <w:rPr>
          <w:color w:val="000000" w:themeColor="text1"/>
        </w:rPr>
        <w:t>”. Si prevede altresì che, ai fini di garantire l’univocità dei domicili digitali nei pubblici elenchi, l’Indice di cui al presente articolo e quello di cui all’articolo 6-</w:t>
      </w:r>
      <w:r w:rsidRPr="00987C41">
        <w:rPr>
          <w:i/>
          <w:iCs/>
          <w:color w:val="000000" w:themeColor="text1"/>
        </w:rPr>
        <w:t>bis</w:t>
      </w:r>
      <w:r w:rsidRPr="00987C41">
        <w:rPr>
          <w:color w:val="000000" w:themeColor="text1"/>
        </w:rPr>
        <w:t xml:space="preserve"> garantiscono il costante allineamento dei domicili digitali, tramite i servizi della piattaforma di cui all’articolo 50-ter del Codice.</w:t>
      </w:r>
    </w:p>
    <w:p w:rsidR="00E77BC1" w:rsidRPr="00987C41" w:rsidP="00E77BC1" w14:paraId="0447CF2A" w14:textId="5B0BD33F">
      <w:pPr>
        <w:spacing w:after="120"/>
        <w:jc w:val="both"/>
        <w:rPr>
          <w:color w:val="000000" w:themeColor="text1"/>
        </w:rPr>
      </w:pPr>
      <w:r w:rsidRPr="00987C41">
        <w:rPr>
          <w:color w:val="000000" w:themeColor="text1"/>
        </w:rPr>
        <w:t xml:space="preserve">Il </w:t>
      </w:r>
      <w:r w:rsidRPr="00987C41">
        <w:rPr>
          <w:b/>
          <w:color w:val="000000" w:themeColor="text1"/>
          <w:u w:val="single"/>
        </w:rPr>
        <w:t xml:space="preserve">comma 1, </w:t>
      </w:r>
      <w:r w:rsidRPr="3583AECE">
        <w:rPr>
          <w:b/>
          <w:bCs/>
          <w:color w:val="000000" w:themeColor="text1"/>
          <w:u w:val="single"/>
        </w:rPr>
        <w:t>lett</w:t>
      </w:r>
      <w:r w:rsidRPr="3583AECE" w:rsidR="5F558224">
        <w:rPr>
          <w:b/>
          <w:bCs/>
          <w:color w:val="000000" w:themeColor="text1"/>
          <w:u w:val="single"/>
        </w:rPr>
        <w:t>era</w:t>
      </w:r>
      <w:r w:rsidRPr="00987C41">
        <w:rPr>
          <w:b/>
          <w:color w:val="000000" w:themeColor="text1"/>
          <w:u w:val="single"/>
        </w:rPr>
        <w:t xml:space="preserve"> </w:t>
      </w:r>
      <w:r>
        <w:rPr>
          <w:b/>
          <w:color w:val="000000" w:themeColor="text1"/>
          <w:u w:val="single"/>
        </w:rPr>
        <w:t>b</w:t>
      </w:r>
      <w:r w:rsidRPr="00987C41">
        <w:rPr>
          <w:b/>
          <w:color w:val="000000" w:themeColor="text1"/>
          <w:u w:val="single"/>
        </w:rPr>
        <w:t xml:space="preserve">), n. </w:t>
      </w:r>
      <w:r w:rsidRPr="34E65B0A" w:rsidR="71EF0DF8">
        <w:rPr>
          <w:b/>
          <w:bCs/>
          <w:color w:val="000000" w:themeColor="text1"/>
          <w:u w:val="single"/>
        </w:rPr>
        <w:t>5</w:t>
      </w:r>
      <w:r w:rsidRPr="00987C41">
        <w:rPr>
          <w:color w:val="000000" w:themeColor="text1"/>
        </w:rPr>
        <w:t>, coerentemente con le innovazioni finora apportate, sostituisce integralmente il comma 3 dell’articolo 6-ter, al fine di includere le società a controllo pubblico tra i soggetti tenuti ad aggiornare gli indirizzi e i dati dell'Indice tempestivamente e comunque con cadenza almeno semestrale, secondo le indicazioni dell'AgID.</w:t>
      </w:r>
      <w:r w:rsidRPr="00987C41">
        <w:t xml:space="preserve"> Si prevede altresì che l</w:t>
      </w:r>
      <w:r w:rsidRPr="00987C41">
        <w:rPr>
          <w:color w:val="000000" w:themeColor="text1"/>
        </w:rPr>
        <w:t>a mancata comunicazione degli elementi necessari al completamento dell'Indice e del loro aggiornamento è valutata ai fini della responsabilità dirigenziale e dell'attribuzione della retribuzione di risultato ai dirigenti responsabili. Si prevede, infine, che per la violazione delle disposizioni ivi previste e concernenti gli obblighi di comunicazione e di aggiornamento dei dati si applica l’articolo 18-bis del CAD in materia di “</w:t>
      </w:r>
      <w:r w:rsidRPr="00987C41">
        <w:rPr>
          <w:i/>
          <w:color w:val="000000" w:themeColor="text1"/>
        </w:rPr>
        <w:t>Violazione degli obblighi di transizione digitale</w:t>
      </w:r>
      <w:r w:rsidRPr="00987C41">
        <w:rPr>
          <w:color w:val="000000" w:themeColor="text1"/>
        </w:rPr>
        <w:t>”.</w:t>
      </w:r>
    </w:p>
    <w:p w:rsidR="38BC74DC" w:rsidP="65C10858" w14:paraId="5D402B51" w14:textId="6BA5D1A0">
      <w:pPr>
        <w:spacing w:after="120"/>
        <w:jc w:val="both"/>
        <w:rPr>
          <w:b/>
          <w:color w:val="000000" w:themeColor="text1"/>
        </w:rPr>
      </w:pPr>
      <w:r w:rsidRPr="34E65B0A">
        <w:rPr>
          <w:color w:val="000000" w:themeColor="text1"/>
        </w:rPr>
        <w:t xml:space="preserve">Il </w:t>
      </w:r>
      <w:r w:rsidRPr="34E65B0A">
        <w:rPr>
          <w:b/>
          <w:bCs/>
          <w:color w:val="000000" w:themeColor="text1"/>
          <w:u w:val="single"/>
        </w:rPr>
        <w:t xml:space="preserve">comma 1, </w:t>
      </w:r>
      <w:r w:rsidRPr="11597D82">
        <w:rPr>
          <w:b/>
          <w:bCs/>
          <w:color w:val="000000" w:themeColor="text1"/>
          <w:u w:val="single"/>
        </w:rPr>
        <w:t>lett</w:t>
      </w:r>
      <w:r w:rsidRPr="11597D82" w:rsidR="713E9360">
        <w:rPr>
          <w:b/>
          <w:bCs/>
          <w:color w:val="000000" w:themeColor="text1"/>
          <w:u w:val="single"/>
        </w:rPr>
        <w:t>era</w:t>
      </w:r>
      <w:r w:rsidRPr="34E65B0A">
        <w:rPr>
          <w:b/>
          <w:bCs/>
          <w:color w:val="000000" w:themeColor="text1"/>
          <w:u w:val="single"/>
        </w:rPr>
        <w:t xml:space="preserve"> b), n.</w:t>
      </w:r>
      <w:r w:rsidRPr="11597D82" w:rsidR="57CB23BC">
        <w:rPr>
          <w:b/>
          <w:bCs/>
          <w:color w:val="000000" w:themeColor="text1"/>
          <w:u w:val="single"/>
        </w:rPr>
        <w:t xml:space="preserve"> 6</w:t>
      </w:r>
      <w:r w:rsidRPr="34E65B0A">
        <w:rPr>
          <w:color w:val="000000" w:themeColor="text1"/>
        </w:rPr>
        <w:t>,</w:t>
      </w:r>
      <w:r w:rsidRPr="34E65B0A">
        <w:rPr>
          <w:b/>
          <w:bCs/>
          <w:color w:val="000000" w:themeColor="text1"/>
        </w:rPr>
        <w:t xml:space="preserve"> </w:t>
      </w:r>
      <w:r w:rsidRPr="34E65B0A">
        <w:rPr>
          <w:color w:val="000000" w:themeColor="text1"/>
        </w:rPr>
        <w:t>modifica la rubrica dell’articolo 6-ter del Codice, al fine di ricomprendere nella denominazione dell’Indice dei domicili digitali delle pubbliche amministrazioni e dei gestori di pubblici servizi anche le società a controllo pubblico</w:t>
      </w:r>
      <w:r w:rsidRPr="11597D82" w:rsidR="4D4E7808">
        <w:rPr>
          <w:color w:val="000000" w:themeColor="text1"/>
        </w:rPr>
        <w:t xml:space="preserve">. </w:t>
      </w:r>
      <w:r w:rsidRPr="11597D82" w:rsidR="4D4E7808">
        <w:rPr>
          <w:b/>
          <w:color w:val="000000" w:themeColor="text1"/>
        </w:rPr>
        <w:t>La disposizione di natura ordinamentale non determina oneri a carico della finanza pubblica</w:t>
      </w:r>
      <w:r w:rsidRPr="11597D82" w:rsidR="4D4E7808">
        <w:rPr>
          <w:b/>
          <w:bCs/>
          <w:color w:val="000000" w:themeColor="text1"/>
        </w:rPr>
        <w:t>.</w:t>
      </w:r>
    </w:p>
    <w:p w:rsidR="00E77BC1" w:rsidRPr="00D22BDE" w:rsidP="00E77BC1" w14:paraId="1522BD86" w14:textId="673562BA">
      <w:pPr>
        <w:spacing w:after="120"/>
        <w:jc w:val="both"/>
        <w:rPr>
          <w:color w:val="4C94D8" w:themeColor="text2" w:themeTint="80"/>
        </w:rPr>
      </w:pPr>
      <w:r w:rsidRPr="00987C41">
        <w:t xml:space="preserve">Il </w:t>
      </w:r>
      <w:r w:rsidRPr="00987C41">
        <w:rPr>
          <w:b/>
          <w:u w:val="single"/>
        </w:rPr>
        <w:t xml:space="preserve">comma 1, lett. </w:t>
      </w:r>
      <w:r>
        <w:rPr>
          <w:b/>
          <w:u w:val="single"/>
        </w:rPr>
        <w:t>c</w:t>
      </w:r>
      <w:r w:rsidRPr="00987C41">
        <w:rPr>
          <w:b/>
          <w:u w:val="single"/>
        </w:rPr>
        <w:t>)</w:t>
      </w:r>
      <w:r w:rsidRPr="00987C41">
        <w:t xml:space="preserve"> dell’articolo in esame apporta modifiche </w:t>
      </w:r>
      <w:r>
        <w:t>al</w:t>
      </w:r>
      <w:r w:rsidR="6A8FE4D5">
        <w:t>l’articolo 50 del</w:t>
      </w:r>
      <w:r>
        <w:t xml:space="preserve"> </w:t>
      </w:r>
      <w:r w:rsidRPr="00987C41">
        <w:t>CAD</w:t>
      </w:r>
      <w:r w:rsidR="07DEA549">
        <w:t xml:space="preserve"> rubricato “</w:t>
      </w:r>
      <w:r w:rsidRPr="11EECD2F" w:rsidR="07DEA549">
        <w:rPr>
          <w:i/>
          <w:iCs/>
        </w:rPr>
        <w:t>Disponibilità dei dati delle pubbliche amministrazioni</w:t>
      </w:r>
      <w:r w:rsidR="07DEA549">
        <w:t>”</w:t>
      </w:r>
      <w:r>
        <w:t>,</w:t>
      </w:r>
      <w:r w:rsidRPr="00987C41">
        <w:t xml:space="preserve"> finalizzate a garantire il raggiungimento degli obiettivi dell’Investimento 1.3 della Missione 1, Componente 1, del PNRR. </w:t>
      </w:r>
      <w:r w:rsidRPr="00D22BDE" w:rsidR="20D7564E">
        <w:rPr>
          <w:b/>
          <w:color w:val="4C94D8" w:themeColor="text2" w:themeTint="80"/>
        </w:rPr>
        <w:t>La disposizione non comporta alcun costo aggiuntivo non richiedendo alcuno sviluppo ulteriore rispetto a quanto già previsto a legislazione vigente.</w:t>
      </w:r>
    </w:p>
    <w:p w:rsidR="00E77BC1" w:rsidRPr="00987C41" w:rsidP="00E77BC1" w14:paraId="70CD6A1C" w14:textId="3210EFBB">
      <w:pPr>
        <w:spacing w:after="120"/>
        <w:jc w:val="both"/>
        <w:rPr>
          <w:color w:val="000000" w:themeColor="text1"/>
        </w:rPr>
      </w:pPr>
      <w:r w:rsidRPr="00987C41">
        <w:t xml:space="preserve">In particolare, con il </w:t>
      </w:r>
      <w:r w:rsidRPr="00987C41">
        <w:rPr>
          <w:b/>
          <w:u w:val="single"/>
        </w:rPr>
        <w:t xml:space="preserve">comma 1, </w:t>
      </w:r>
      <w:r w:rsidRPr="6BDED016">
        <w:rPr>
          <w:b/>
          <w:bCs/>
          <w:u w:val="single"/>
        </w:rPr>
        <w:t>lett</w:t>
      </w:r>
      <w:r w:rsidRPr="6BDED016" w:rsidR="32B21AB4">
        <w:rPr>
          <w:b/>
          <w:bCs/>
          <w:u w:val="single"/>
        </w:rPr>
        <w:t>era</w:t>
      </w:r>
      <w:r w:rsidRPr="00987C41">
        <w:rPr>
          <w:b/>
          <w:u w:val="single"/>
        </w:rPr>
        <w:t xml:space="preserve"> </w:t>
      </w:r>
      <w:r>
        <w:rPr>
          <w:b/>
          <w:u w:val="single"/>
        </w:rPr>
        <w:t>c</w:t>
      </w:r>
      <w:r w:rsidRPr="00987C41">
        <w:rPr>
          <w:b/>
          <w:u w:val="single"/>
        </w:rPr>
        <w:t>), n.1</w:t>
      </w:r>
      <w:r w:rsidRPr="00987C41">
        <w:t xml:space="preserve">, si </w:t>
      </w:r>
      <w:r w:rsidR="0DEC7619">
        <w:t>introduce</w:t>
      </w:r>
      <w:r w:rsidRPr="00987C41">
        <w:t xml:space="preserve"> dopo il comma 2-</w:t>
      </w:r>
      <w:r w:rsidRPr="00987C41">
        <w:rPr>
          <w:i/>
        </w:rPr>
        <w:t>ter</w:t>
      </w:r>
      <w:r w:rsidRPr="6BDED016" w:rsidR="19133035">
        <w:rPr>
          <w:i/>
          <w:iCs/>
        </w:rPr>
        <w:t xml:space="preserve"> </w:t>
      </w:r>
      <w:r w:rsidRPr="6BDED016" w:rsidR="19133035">
        <w:t>del citato articolo 50 del CAD</w:t>
      </w:r>
      <w:r>
        <w:t xml:space="preserve">, </w:t>
      </w:r>
      <w:r w:rsidR="1D723F3B">
        <w:t>i</w:t>
      </w:r>
      <w:r>
        <w:t>l</w:t>
      </w:r>
      <w:r w:rsidRPr="00987C41">
        <w:t xml:space="preserve"> comma 2-</w:t>
      </w:r>
      <w:r w:rsidRPr="00987C41">
        <w:rPr>
          <w:i/>
          <w:iCs/>
        </w:rPr>
        <w:t>quater</w:t>
      </w:r>
      <w:r w:rsidRPr="00987C41">
        <w:t>, secondo il quale l</w:t>
      </w:r>
      <w:r w:rsidRPr="00987C41">
        <w:rPr>
          <w:color w:val="000000" w:themeColor="text1"/>
        </w:rPr>
        <w:t>e pubbliche amministrazioni, in attuazione del principio dell’unicità dell’invio, non richiedono ai cittadini e alle imprese dati e informazioni già detenuti da un’amministrazione e assicurano la circolarità delle informazioni mediante la piattaforma di cui all’articolo 50-ter fin dalla progettazione dei servizi e mediante l’identificativo univoco di cui all’articolo 62, integrato nei loro sistemi. Si tratta del principio del c.d. “</w:t>
      </w:r>
      <w:r w:rsidRPr="00987C41">
        <w:rPr>
          <w:i/>
          <w:iCs/>
          <w:color w:val="000000" w:themeColor="text1"/>
        </w:rPr>
        <w:t xml:space="preserve">once </w:t>
      </w:r>
      <w:r w:rsidRPr="00987C41">
        <w:rPr>
          <w:i/>
          <w:iCs/>
          <w:color w:val="000000" w:themeColor="text1"/>
        </w:rPr>
        <w:t>only</w:t>
      </w:r>
      <w:r w:rsidRPr="00987C41">
        <w:rPr>
          <w:color w:val="000000" w:themeColor="text1"/>
        </w:rPr>
        <w:t xml:space="preserve">”, parte integrante, a livello europeo, delle strategie di digitalizzazione. Sebbene tale principio sia già presente nel nostro ordinamento, se ne ritiene necessaria una esplicita formalizzazione nel Codice dell’amministrazione digitale, al fine di rafforzare la portata dello stesso. Sulla base di tale principio, le pubbliche amministrazioni devono garantire la circolarità delle informazioni mediante la Piattaforma Nazionale Digitale Dati (PDND) di cui all’articolo 50-ter e l’uso dell’identificativo univoco di cui all’articolo 62 del CAD. La disposizione in esame introduce, altresì, un’esplicita previsione sulla rilevanza pubblica della consultazione diretta delle banche dati da parte delle amministrazioni, in conformità all’articolo 43 del DPR </w:t>
      </w:r>
      <w:r w:rsidR="002A1517">
        <w:rPr>
          <w:color w:val="000000" w:themeColor="text1"/>
        </w:rPr>
        <w:t xml:space="preserve">n. </w:t>
      </w:r>
      <w:r w:rsidRPr="00987C41">
        <w:rPr>
          <w:color w:val="000000" w:themeColor="text1"/>
        </w:rPr>
        <w:t>445</w:t>
      </w:r>
      <w:r w:rsidR="002A1517">
        <w:rPr>
          <w:color w:val="000000" w:themeColor="text1"/>
        </w:rPr>
        <w:t xml:space="preserve"> del </w:t>
      </w:r>
      <w:r w:rsidRPr="00987C41">
        <w:rPr>
          <w:color w:val="000000" w:themeColor="text1"/>
        </w:rPr>
        <w:t>2000. Ciò consentirà di efficientare l’accesso ai dati per le finalità istituzionali e di migliorare l’efficacia dei servizi digitali. Si prevede, inoltre, che la vigilanza sugli accessi è garantita secondo le previsioni di cui alle nuove Linee Guida</w:t>
      </w:r>
      <w:r w:rsidRPr="00987C41">
        <w:t xml:space="preserve"> sull’infrastruttura tecnologica della Piattaforma Digitale Nazionale Dati per l’interoperabilità dei sistemi informativi e delle basi di dati adottate dall’AgID il 19 giugno 2025 ai sensi degli articoli 50-ter e 71 del </w:t>
      </w:r>
      <w:r w:rsidRPr="00987C41">
        <w:rPr>
          <w:color w:val="000000" w:themeColor="text1"/>
        </w:rPr>
        <w:t>CAD che prevedono, tra gli altri, l’obbligo per i soggetti titolari delle banche dati di effettuare controlli a campione sugli accessi, con la collaborazione obbligatoria dei soggetti che fruiscono delle informazioni.</w:t>
      </w:r>
    </w:p>
    <w:p w:rsidR="00E77BC1" w:rsidRPr="00987C41" w:rsidP="00E77BC1" w14:paraId="136CA95D" w14:textId="5CAFF0A9">
      <w:pPr>
        <w:spacing w:after="120"/>
        <w:jc w:val="both"/>
        <w:rPr>
          <w:color w:val="000000" w:themeColor="text1"/>
        </w:rPr>
      </w:pPr>
      <w:r w:rsidRPr="00987C41">
        <w:rPr>
          <w:color w:val="000000" w:themeColor="text1"/>
        </w:rPr>
        <w:t xml:space="preserve">Il </w:t>
      </w:r>
      <w:r w:rsidRPr="00987C41">
        <w:rPr>
          <w:b/>
          <w:color w:val="000000" w:themeColor="text1"/>
          <w:u w:val="single"/>
        </w:rPr>
        <w:t xml:space="preserve">comma 1, </w:t>
      </w:r>
      <w:r w:rsidRPr="269CD2B2">
        <w:rPr>
          <w:b/>
          <w:bCs/>
          <w:color w:val="000000" w:themeColor="text1"/>
          <w:u w:val="single"/>
        </w:rPr>
        <w:t>lett</w:t>
      </w:r>
      <w:r w:rsidRPr="269CD2B2" w:rsidR="12B784AA">
        <w:rPr>
          <w:b/>
          <w:bCs/>
          <w:color w:val="000000" w:themeColor="text1"/>
          <w:u w:val="single"/>
        </w:rPr>
        <w:t>era</w:t>
      </w:r>
      <w:r w:rsidRPr="00987C41">
        <w:rPr>
          <w:b/>
          <w:color w:val="000000" w:themeColor="text1"/>
          <w:u w:val="single"/>
        </w:rPr>
        <w:t xml:space="preserve"> </w:t>
      </w:r>
      <w:r>
        <w:rPr>
          <w:b/>
          <w:color w:val="000000" w:themeColor="text1"/>
          <w:u w:val="single"/>
        </w:rPr>
        <w:t>c</w:t>
      </w:r>
      <w:r w:rsidRPr="00987C41">
        <w:rPr>
          <w:b/>
          <w:color w:val="000000" w:themeColor="text1"/>
          <w:u w:val="single"/>
        </w:rPr>
        <w:t xml:space="preserve"> ), n. 2</w:t>
      </w:r>
      <w:r w:rsidRPr="00987C41">
        <w:rPr>
          <w:color w:val="000000" w:themeColor="text1"/>
        </w:rPr>
        <w:t xml:space="preserve">, </w:t>
      </w:r>
      <w:r w:rsidRPr="269CD2B2" w:rsidR="6F18CB9A">
        <w:rPr>
          <w:color w:val="000000" w:themeColor="text1"/>
        </w:rPr>
        <w:t>sostituisce</w:t>
      </w:r>
      <w:r w:rsidRPr="00987C41">
        <w:rPr>
          <w:color w:val="000000" w:themeColor="text1"/>
        </w:rPr>
        <w:t xml:space="preserve"> il comma 3-ter del medesimo articolo 50 del CAD, al fine di prevedere che, oltre all’inadempimento dell’obbligo di rendere disponibili i dati, </w:t>
      </w:r>
      <w:r w:rsidRPr="00987C41">
        <w:t>anche il ritardo nell’abilitazione dell’accesso ai servizi della piattaforma di cui all’articolo 50-ter</w:t>
      </w:r>
      <w:r w:rsidRPr="00987C41">
        <w:rPr>
          <w:color w:val="000000" w:themeColor="text1"/>
        </w:rPr>
        <w:t xml:space="preserve"> </w:t>
      </w:r>
      <w:r w:rsidRPr="00987C41">
        <w:t xml:space="preserve">costituisce mancato raggiungimento di uno specifico risultato e di un rilevante obiettivo da parte dei dirigenti responsabili delle strutture competenti e comporta la riduzione, non inferiore al 30 per cento, della retribuzione di risultato e del trattamento accessorio collegato alla performance individuale dei dirigenti competenti, oltre al divieto di attribuire premi o incentivi nell'ambito delle medesime strutture. Si </w:t>
      </w:r>
      <w:r w:rsidRPr="00987C41">
        <w:rPr>
          <w:color w:val="000000" w:themeColor="text1"/>
        </w:rPr>
        <w:t>introduce, altresì, un meccanismo di monitoraggio annuale da parte dell’AgID, che dovrà verificare tramite controlli annuali il rispetto degli obblighi di interoperabilità. Per la violazione di tali obblighi viene coerentemente richiamata la sanzione di cui all’articolo 18-bis, aumentando così il livello di responsabilizzazione delle amministrazioni coinvolte.</w:t>
      </w:r>
    </w:p>
    <w:p w:rsidR="00E77BC1" w:rsidRPr="00D22BDE" w:rsidP="00E77BC1" w14:paraId="4AAA0B8F" w14:textId="32884F9A">
      <w:pPr>
        <w:spacing w:after="120"/>
        <w:jc w:val="both"/>
        <w:rPr>
          <w:b/>
          <w:color w:val="4C94D8" w:themeColor="text2" w:themeTint="80"/>
        </w:rPr>
      </w:pPr>
      <w:r w:rsidRPr="5CA76DBA">
        <w:rPr>
          <w:b/>
          <w:color w:val="000000" w:themeColor="text1"/>
          <w:u w:val="single"/>
        </w:rPr>
        <w:t xml:space="preserve">Il </w:t>
      </w:r>
      <w:r w:rsidRPr="00987C41">
        <w:rPr>
          <w:b/>
          <w:color w:val="000000" w:themeColor="text1"/>
          <w:u w:val="single"/>
        </w:rPr>
        <w:t xml:space="preserve">comma 1, </w:t>
      </w:r>
      <w:r w:rsidRPr="5CA76DBA">
        <w:rPr>
          <w:b/>
          <w:bCs/>
          <w:color w:val="000000" w:themeColor="text1"/>
          <w:u w:val="single"/>
        </w:rPr>
        <w:t>lett</w:t>
      </w:r>
      <w:r w:rsidRPr="5CA76DBA" w:rsidR="2AE38DB0">
        <w:rPr>
          <w:b/>
          <w:bCs/>
          <w:color w:val="000000" w:themeColor="text1"/>
          <w:u w:val="single"/>
        </w:rPr>
        <w:t>era</w:t>
      </w:r>
      <w:r w:rsidRPr="00987C41">
        <w:rPr>
          <w:b/>
          <w:color w:val="000000" w:themeColor="text1"/>
          <w:u w:val="single"/>
        </w:rPr>
        <w:t xml:space="preserve"> </w:t>
      </w:r>
      <w:r>
        <w:rPr>
          <w:b/>
          <w:color w:val="000000" w:themeColor="text1"/>
          <w:u w:val="single"/>
        </w:rPr>
        <w:t>d</w:t>
      </w:r>
      <w:r w:rsidRPr="5CA76DBA">
        <w:rPr>
          <w:b/>
          <w:bCs/>
          <w:color w:val="000000" w:themeColor="text1"/>
          <w:u w:val="single"/>
        </w:rPr>
        <w:t>)</w:t>
      </w:r>
      <w:r w:rsidRPr="5CA76DBA">
        <w:rPr>
          <w:b/>
          <w:color w:val="000000" w:themeColor="text1"/>
          <w:u w:val="single"/>
        </w:rPr>
        <w:t xml:space="preserve"> </w:t>
      </w:r>
      <w:r w:rsidRPr="00987C41">
        <w:rPr>
          <w:color w:val="000000" w:themeColor="text1"/>
        </w:rPr>
        <w:t>introduce modifiche all’articolo 62, del CAD, in materia di Anagrafe nazionale della popolazione residente – ANPR</w:t>
      </w:r>
      <w:r w:rsidRPr="5CA76DBA" w:rsidR="3D9DC99C">
        <w:rPr>
          <w:color w:val="000000" w:themeColor="text1"/>
        </w:rPr>
        <w:t xml:space="preserve">. </w:t>
      </w:r>
      <w:r w:rsidRPr="5CA76DBA" w:rsidR="00580B23">
        <w:rPr>
          <w:color w:val="000000" w:themeColor="text1"/>
        </w:rPr>
        <w:t>In particolare,</w:t>
      </w:r>
      <w:r w:rsidRPr="5CA76DBA" w:rsidR="3D9DC99C">
        <w:rPr>
          <w:color w:val="000000" w:themeColor="text1"/>
        </w:rPr>
        <w:t xml:space="preserve"> </w:t>
      </w:r>
      <w:r w:rsidRPr="5CA76DBA" w:rsidR="0C1C7076">
        <w:rPr>
          <w:color w:val="000000" w:themeColor="text1"/>
        </w:rPr>
        <w:t xml:space="preserve">la lettera d) </w:t>
      </w:r>
      <w:r w:rsidRPr="5CA76DBA" w:rsidR="3F5BE7B3">
        <w:rPr>
          <w:b/>
          <w:bCs/>
          <w:color w:val="000000" w:themeColor="text1"/>
        </w:rPr>
        <w:t>numer</w:t>
      </w:r>
      <w:r w:rsidRPr="5CA76DBA" w:rsidR="739AC0FB">
        <w:rPr>
          <w:b/>
          <w:bCs/>
          <w:color w:val="000000" w:themeColor="text1"/>
        </w:rPr>
        <w:t>o</w:t>
      </w:r>
      <w:r w:rsidRPr="5CA76DBA" w:rsidR="3D9DC99C">
        <w:rPr>
          <w:b/>
          <w:bCs/>
          <w:color w:val="000000" w:themeColor="text1"/>
        </w:rPr>
        <w:t xml:space="preserve"> 1</w:t>
      </w:r>
      <w:r w:rsidRPr="5CA76DBA" w:rsidR="3D9DC99C">
        <w:rPr>
          <w:color w:val="000000" w:themeColor="text1"/>
        </w:rPr>
        <w:t xml:space="preserve"> </w:t>
      </w:r>
      <w:r w:rsidRPr="5CA76DBA" w:rsidR="4E2D548D">
        <w:rPr>
          <w:color w:val="000000" w:themeColor="text1"/>
        </w:rPr>
        <w:t>integra il comma 3 del</w:t>
      </w:r>
      <w:r w:rsidRPr="5CA76DBA" w:rsidR="3D9DC99C">
        <w:rPr>
          <w:color w:val="000000" w:themeColor="text1"/>
        </w:rPr>
        <w:t xml:space="preserve"> </w:t>
      </w:r>
      <w:r w:rsidRPr="5CA76DBA" w:rsidR="4E2D548D">
        <w:rPr>
          <w:color w:val="000000" w:themeColor="text1"/>
        </w:rPr>
        <w:t>predetto</w:t>
      </w:r>
      <w:r w:rsidRPr="5CA76DBA" w:rsidR="4E2D548D">
        <w:rPr>
          <w:color w:val="000000" w:themeColor="text1"/>
        </w:rPr>
        <w:t xml:space="preserve"> articolo 62 del CAD</w:t>
      </w:r>
      <w:r w:rsidRPr="00987C41">
        <w:rPr>
          <w:color w:val="000000" w:themeColor="text1"/>
        </w:rPr>
        <w:t xml:space="preserve"> al fine di chiarire che</w:t>
      </w:r>
      <w:r w:rsidRPr="00987C41">
        <w:t xml:space="preserve"> l’interoperabilità basata sull’ID ANPR (il codice identificativo univoco attribuito a ogni individuo) non è un rapporto bilaterale tra ANPR e ciascuna banca dati, ma un paradigma valido tra tutte le banche dati delle pubbliche </w:t>
      </w:r>
      <w:r w:rsidRPr="000D24CB">
        <w:t xml:space="preserve">amministrazioni e dei gestori di servizi pubblici </w:t>
      </w:r>
      <w:r w:rsidRPr="000D24CB">
        <w:rPr>
          <w:color w:val="000000" w:themeColor="text1"/>
        </w:rPr>
        <w:t>che contengono i dati dei cittadini</w:t>
      </w:r>
      <w:r w:rsidRPr="000D24CB">
        <w:t xml:space="preserve">. L’intervento di valorizzazione dell’ID ANPR è fondamentale per garantire e mantenere la piena interoperabilità realizzata tra le banche dati delle pubbliche amministrazioni in fase di realizzazione dei progetti PNRR. </w:t>
      </w:r>
      <w:r w:rsidRPr="00D22BDE" w:rsidR="2240C5EB">
        <w:rPr>
          <w:b/>
          <w:color w:val="4C94D8" w:themeColor="text2" w:themeTint="80"/>
        </w:rPr>
        <w:t>La disposizione non comporta alcun costo aggiuntivo non richiedendo alcuno sviluppo ulteriore rispetto a quanto già previsto a legislazione vigente.</w:t>
      </w:r>
    </w:p>
    <w:p w:rsidR="1FBDA5B5" w:rsidP="1FBDA5B5" w14:paraId="00F507AD" w14:textId="2C481051">
      <w:pPr>
        <w:spacing w:after="120"/>
        <w:jc w:val="both"/>
        <w:rPr>
          <w:color w:val="00B050"/>
        </w:rPr>
      </w:pPr>
      <w:r w:rsidRPr="00580B23">
        <w:rPr>
          <w:color w:val="000000" w:themeColor="text1"/>
        </w:rPr>
        <w:t xml:space="preserve">Con il </w:t>
      </w:r>
      <w:r w:rsidRPr="00580B23">
        <w:rPr>
          <w:b/>
          <w:bCs/>
          <w:color w:val="000000" w:themeColor="text1"/>
        </w:rPr>
        <w:t>numero 2</w:t>
      </w:r>
      <w:r w:rsidRPr="00580B23">
        <w:rPr>
          <w:color w:val="000000" w:themeColor="text1"/>
        </w:rPr>
        <w:t xml:space="preserve"> della</w:t>
      </w:r>
      <w:r w:rsidRPr="00580B23" w:rsidR="17B4F40F">
        <w:rPr>
          <w:color w:val="000000" w:themeColor="text1"/>
        </w:rPr>
        <w:t xml:space="preserve"> </w:t>
      </w:r>
      <w:r w:rsidRPr="00580B23" w:rsidR="346249E9">
        <w:rPr>
          <w:b/>
          <w:bCs/>
          <w:color w:val="000000" w:themeColor="text1"/>
          <w:u w:val="single"/>
        </w:rPr>
        <w:t>lett</w:t>
      </w:r>
      <w:r w:rsidRPr="00580B23" w:rsidR="0A8F4F9B">
        <w:rPr>
          <w:b/>
          <w:bCs/>
          <w:color w:val="000000" w:themeColor="text1"/>
          <w:u w:val="single"/>
        </w:rPr>
        <w:t>era</w:t>
      </w:r>
      <w:r w:rsidRPr="00580B23" w:rsidR="346249E9">
        <w:rPr>
          <w:b/>
          <w:color w:val="000000" w:themeColor="text1"/>
          <w:u w:val="single"/>
        </w:rPr>
        <w:t xml:space="preserve"> </w:t>
      </w:r>
      <w:r w:rsidRPr="00580B23" w:rsidR="346249E9">
        <w:rPr>
          <w:b/>
          <w:bCs/>
          <w:color w:val="000000" w:themeColor="text1"/>
          <w:u w:val="single"/>
        </w:rPr>
        <w:t>d)</w:t>
      </w:r>
      <w:r w:rsidRPr="00580B23" w:rsidR="346249E9">
        <w:rPr>
          <w:b/>
          <w:color w:val="000000" w:themeColor="text1"/>
          <w:u w:val="single"/>
        </w:rPr>
        <w:t xml:space="preserve"> </w:t>
      </w:r>
      <w:r w:rsidRPr="00580B23" w:rsidR="5115F9EF">
        <w:rPr>
          <w:color w:val="000000" w:themeColor="text1"/>
        </w:rPr>
        <w:t xml:space="preserve">si </w:t>
      </w:r>
      <w:r w:rsidRPr="00580B23" w:rsidR="70897AA1">
        <w:rPr>
          <w:color w:val="000000" w:themeColor="text1"/>
        </w:rPr>
        <w:t>inserisc</w:t>
      </w:r>
      <w:r w:rsidRPr="00580B23" w:rsidR="346249E9">
        <w:rPr>
          <w:color w:val="000000" w:themeColor="text1"/>
        </w:rPr>
        <w:t>e dopo il comma 3 del medesimo articolo 6</w:t>
      </w:r>
      <w:r w:rsidRPr="00580B23" w:rsidR="39AE2D3A">
        <w:rPr>
          <w:color w:val="000000" w:themeColor="text1"/>
        </w:rPr>
        <w:t>2</w:t>
      </w:r>
      <w:r w:rsidRPr="00580B23" w:rsidR="346249E9">
        <w:rPr>
          <w:color w:val="000000" w:themeColor="text1"/>
        </w:rPr>
        <w:t xml:space="preserve">, </w:t>
      </w:r>
      <w:r w:rsidRPr="00580B23" w:rsidR="138984DE">
        <w:rPr>
          <w:color w:val="000000" w:themeColor="text1"/>
        </w:rPr>
        <w:t>i</w:t>
      </w:r>
      <w:r w:rsidRPr="00580B23" w:rsidR="346249E9">
        <w:rPr>
          <w:color w:val="000000" w:themeColor="text1"/>
        </w:rPr>
        <w:t xml:space="preserve">l comma 3-bis, </w:t>
      </w:r>
      <w:r w:rsidRPr="00580B23" w:rsidR="74D4EA9B">
        <w:rPr>
          <w:color w:val="000000" w:themeColor="text1"/>
        </w:rPr>
        <w:t xml:space="preserve">il quale </w:t>
      </w:r>
      <w:r w:rsidRPr="00580B23" w:rsidR="2E389B07">
        <w:rPr>
          <w:color w:val="000000" w:themeColor="text1"/>
        </w:rPr>
        <w:t>prevede</w:t>
      </w:r>
      <w:r w:rsidRPr="00580B23" w:rsidR="346249E9">
        <w:rPr>
          <w:color w:val="000000" w:themeColor="text1"/>
        </w:rPr>
        <w:t xml:space="preserve"> che </w:t>
      </w:r>
      <w:r w:rsidRPr="143CDDE0" w:rsidR="346249E9">
        <w:rPr>
          <w:strike/>
          <w:color w:val="000000" w:themeColor="text1"/>
        </w:rPr>
        <w:t xml:space="preserve">l’anagrafe </w:t>
      </w:r>
      <w:r w:rsidRPr="143CDDE0" w:rsidR="14B8ABA6">
        <w:rPr>
          <w:strike/>
          <w:color w:val="000000" w:themeColor="text1"/>
        </w:rPr>
        <w:t>nazionale della popolazione residente (ANPR),</w:t>
      </w:r>
      <w:r w:rsidRPr="143CDDE0" w:rsidR="2E389B07">
        <w:rPr>
          <w:strike/>
          <w:color w:val="000000" w:themeColor="text1"/>
        </w:rPr>
        <w:t xml:space="preserve"> </w:t>
      </w:r>
      <w:r w:rsidRPr="143CDDE0" w:rsidR="694252D5">
        <w:rPr>
          <w:strike/>
          <w:color w:val="000000" w:themeColor="text1"/>
        </w:rPr>
        <w:t>tramite</w:t>
      </w:r>
      <w:r w:rsidRPr="143CDDE0" w:rsidR="346249E9">
        <w:rPr>
          <w:strike/>
          <w:color w:val="000000" w:themeColor="text1"/>
        </w:rPr>
        <w:t xml:space="preserve"> la piattaforma di cui all’articolo 50-ter del CAD, </w:t>
      </w:r>
      <w:r w:rsidRPr="143CDDE0" w:rsidR="1632F984">
        <w:rPr>
          <w:strike/>
          <w:color w:val="000000" w:themeColor="text1"/>
        </w:rPr>
        <w:t>rende</w:t>
      </w:r>
      <w:r w:rsidRPr="143CDDE0" w:rsidR="2E389B07">
        <w:rPr>
          <w:strike/>
          <w:color w:val="000000" w:themeColor="text1"/>
        </w:rPr>
        <w:t xml:space="preserve"> </w:t>
      </w:r>
      <w:r w:rsidRPr="143CDDE0" w:rsidR="346249E9">
        <w:rPr>
          <w:strike/>
          <w:color w:val="000000" w:themeColor="text1"/>
        </w:rPr>
        <w:t>immediatamente disponibili alle pubbliche amministrazioni e ai gestori di servizi pubblici che ne facciano richiesta, i servizi di accertamento</w:t>
      </w:r>
      <w:r w:rsidRPr="143CDDE0" w:rsidR="346249E9">
        <w:rPr>
          <w:b/>
          <w:strike/>
          <w:color w:val="000000" w:themeColor="text1"/>
        </w:rPr>
        <w:t xml:space="preserve"> </w:t>
      </w:r>
      <w:r w:rsidRPr="143CDDE0" w:rsidR="346249E9">
        <w:rPr>
          <w:strike/>
          <w:color w:val="000000" w:themeColor="text1"/>
        </w:rPr>
        <w:t>dei dati di propria competenza tra cui le informazioni anagrafiche, della residenza e dell’esistenza in vita</w:t>
      </w:r>
      <w:r w:rsidRPr="001734DA" w:rsidR="346249E9">
        <w:rPr>
          <w:strike/>
        </w:rPr>
        <w:t>.</w:t>
      </w:r>
      <w:r w:rsidRPr="001734DA" w:rsidR="449712DA">
        <w:rPr>
          <w:strike/>
        </w:rPr>
        <w:t xml:space="preserve"> </w:t>
      </w:r>
      <w:r w:rsidRPr="001734DA" w:rsidR="449712DA">
        <w:t xml:space="preserve"> </w:t>
      </w:r>
      <w:r w:rsidRPr="00CA677D" w:rsidR="449712DA">
        <w:rPr>
          <w:b/>
          <w:bCs/>
          <w:color w:val="00B050"/>
          <w:highlight w:val="lightGray"/>
        </w:rPr>
        <w:t>i soggetti di cui all’articolo 2, comma 2, lettere a) e b) del CAD accedono</w:t>
      </w:r>
      <w:r w:rsidRPr="00CA677D" w:rsidR="00CA677D">
        <w:rPr>
          <w:b/>
          <w:bCs/>
          <w:color w:val="00B050"/>
          <w:highlight w:val="lightGray"/>
        </w:rPr>
        <w:t xml:space="preserve"> automaticamente</w:t>
      </w:r>
      <w:r w:rsidRPr="00CA677D" w:rsidR="449712DA">
        <w:rPr>
          <w:b/>
          <w:bCs/>
          <w:color w:val="00B050"/>
          <w:highlight w:val="lightGray"/>
        </w:rPr>
        <w:t xml:space="preserve"> ai dati contenuti nell’ANPR, per le finalità istituzionali dichiarate</w:t>
      </w:r>
      <w:r w:rsidRPr="00CA677D" w:rsidR="00CA677D">
        <w:rPr>
          <w:b/>
          <w:bCs/>
          <w:color w:val="00B050"/>
          <w:highlight w:val="lightGray"/>
        </w:rPr>
        <w:t>,</w:t>
      </w:r>
      <w:r w:rsidRPr="00CA677D" w:rsidR="449712DA">
        <w:rPr>
          <w:b/>
          <w:bCs/>
          <w:color w:val="00B050"/>
          <w:highlight w:val="lightGray"/>
        </w:rPr>
        <w:t xml:space="preserve"> tramite la piattaforma di cui all’articolo 50-ter in qualità di titolari autonomi del trattamento e rispondono in via esclusiva della pertinenza, liceità e sicurezza dei trattamenti per i quali è effettuato l’accesso.</w:t>
      </w:r>
    </w:p>
    <w:p w:rsidR="00E77BC1" w:rsidRPr="000D24CB" w:rsidP="00E77BC1" w14:paraId="788A3E51" w14:textId="2186B6D4">
      <w:pPr>
        <w:spacing w:after="120"/>
        <w:jc w:val="both"/>
      </w:pPr>
      <w:r w:rsidRPr="000D24CB">
        <w:rPr>
          <w:color w:val="000000" w:themeColor="text1"/>
        </w:rPr>
        <w:t xml:space="preserve">Il </w:t>
      </w:r>
      <w:r w:rsidRPr="000D24CB">
        <w:rPr>
          <w:b/>
          <w:bCs/>
          <w:color w:val="000000" w:themeColor="text1"/>
          <w:u w:val="single"/>
        </w:rPr>
        <w:t xml:space="preserve">comma 1, </w:t>
      </w:r>
      <w:r w:rsidRPr="428D2118">
        <w:rPr>
          <w:b/>
          <w:bCs/>
          <w:color w:val="000000" w:themeColor="text1"/>
          <w:u w:val="single"/>
        </w:rPr>
        <w:t>lett</w:t>
      </w:r>
      <w:r w:rsidRPr="428D2118" w:rsidR="235DE418">
        <w:rPr>
          <w:b/>
          <w:bCs/>
          <w:color w:val="000000" w:themeColor="text1"/>
          <w:u w:val="single"/>
        </w:rPr>
        <w:t>era</w:t>
      </w:r>
      <w:r w:rsidRPr="000D24CB">
        <w:rPr>
          <w:b/>
          <w:bCs/>
          <w:color w:val="000000" w:themeColor="text1"/>
          <w:u w:val="single"/>
        </w:rPr>
        <w:t xml:space="preserve"> </w:t>
      </w:r>
      <w:r>
        <w:rPr>
          <w:b/>
          <w:bCs/>
          <w:color w:val="000000" w:themeColor="text1"/>
          <w:u w:val="single"/>
        </w:rPr>
        <w:t>e</w:t>
      </w:r>
      <w:r w:rsidRPr="000D24CB">
        <w:rPr>
          <w:b/>
          <w:bCs/>
          <w:color w:val="000000" w:themeColor="text1"/>
          <w:u w:val="single"/>
        </w:rPr>
        <w:t>)</w:t>
      </w:r>
      <w:r w:rsidRPr="000D24CB">
        <w:t xml:space="preserve"> reca misure urgenti per il rafforzamento dell’interoperabilità tra le banche dati pubbliche nel settore marittimo, in coerenza con gli obiettivi dell’Investimento 1.3 “Dati e interoperabilità” della Missione 1, Componente 1 “Digitalizzazione, innovazione e sicurezza nella Pubblica Amministrazione”, del Piano nazionale di ripresa e resilienza (PNRR). </w:t>
      </w:r>
    </w:p>
    <w:p w:rsidR="00E77BC1" w:rsidRPr="000D24CB" w:rsidP="00E77BC1" w14:paraId="6A85B3AB" w14:textId="7F33F970">
      <w:pPr>
        <w:spacing w:after="120"/>
        <w:jc w:val="both"/>
      </w:pPr>
      <w:r w:rsidRPr="000D24CB">
        <w:t xml:space="preserve">In particolare la predetta </w:t>
      </w:r>
      <w:r w:rsidRPr="00CC4E49">
        <w:t>lettera e) introduce</w:t>
      </w:r>
      <w:r w:rsidRPr="000D24CB">
        <w:t xml:space="preserve">, nel decreto legislativo 7 marzo 2005, n. 82 (Codice dell’Amministrazione - CAD), un </w:t>
      </w:r>
      <w:r w:rsidRPr="006F7EF8">
        <w:rPr>
          <w:u w:val="single"/>
        </w:rPr>
        <w:t>nuovo articolo 62-sexies</w:t>
      </w:r>
      <w:r w:rsidRPr="000D24CB">
        <w:t xml:space="preserve">, il quale </w:t>
      </w:r>
      <w:r w:rsidR="350A2FC1">
        <w:t>al comma 1</w:t>
      </w:r>
      <w:r>
        <w:t xml:space="preserve"> </w:t>
      </w:r>
      <w:r w:rsidRPr="000D24CB">
        <w:t>istituisce, presso il Ministero delle infrastrutture e dei trasporti, l’Anagrafe nazionale digitale della Gente di Mare (ANGEMAR), quale sistema informativo unico per la gestione digitale e interoperabile dei dati relativi ai titoli professionali, agli imbarchi, alle abilitazioni e alle carriere del personale marittimo, assicurando l’interoperabilità con le principali anagrafi pubbliche tramite la Piattaforma Digitale Nazionale Dati (PDND).</w:t>
      </w:r>
    </w:p>
    <w:p w:rsidR="00E77BC1" w:rsidRPr="000D24CB" w:rsidP="00E77BC1" w14:paraId="264A85E8" w14:textId="6DF76B0C">
      <w:pPr>
        <w:spacing w:after="120"/>
        <w:jc w:val="both"/>
      </w:pPr>
      <w:r w:rsidRPr="000D24CB">
        <w:t xml:space="preserve">Il </w:t>
      </w:r>
      <w:r w:rsidR="178E06EF">
        <w:t xml:space="preserve">comma 3 del </w:t>
      </w:r>
      <w:r w:rsidR="178E06EF">
        <w:t>predetto</w:t>
      </w:r>
      <w:r>
        <w:t xml:space="preserve"> articolo</w:t>
      </w:r>
      <w:r w:rsidRPr="000D24CB">
        <w:t xml:space="preserve"> 62-sexies prevede, inoltre, la digitalizzazione del libretto di navigazione, che sarà generato e aggiornato sulla base dei dati contenuti nell’ANGEMAR e sarà reso disponibile anche tramite il Sistema di portafoglio digitale italiano – Sistema IT-Wallet. La produzione e fornitura del supporto fisico sono affidate all’Istituto Poligrafico e Zecca dello Stato S.p.A.</w:t>
      </w:r>
    </w:p>
    <w:p w:rsidR="00E77BC1" w:rsidRPr="000D24CB" w:rsidP="00E77BC1" w14:paraId="13FFE682" w14:textId="175F2F68">
      <w:pPr>
        <w:spacing w:after="120"/>
        <w:jc w:val="both"/>
      </w:pPr>
      <w:r>
        <w:t>Il comma 4 del citato articolo 62-sexies</w:t>
      </w:r>
      <w:r w:rsidRPr="000D24CB">
        <w:t xml:space="preserve"> prevede che, con uno o più decreti del Ministro delle infrastrutture e dei trasporti, di concerto con l’Autorità politica delegata per l’innovazione tecnologica, saranno disciplinati: a) i dati contenuti nell’ANGEMAR e le modalità di alimentazione, aggiornamento e conservazione degli stessi, con particolare riguardo alle misure di sicurezza informatica e alle specifiche tecniche e organizzative per la gestione e il trattamento dei dati personali; b) le caratteristiche del libretto e le modalità di verifica e consultazione.  </w:t>
      </w:r>
    </w:p>
    <w:p w:rsidR="00E77BC1" w:rsidRPr="000D24CB" w:rsidP="00E77BC1" w14:paraId="5B3AB8CE" w14:textId="1A34725A">
      <w:pPr>
        <w:spacing w:after="120"/>
        <w:jc w:val="both"/>
      </w:pPr>
      <w:r>
        <w:t>Nelle more della piena operatività dell’ANGEMAR, si prevede l’utilizzo di un servizio provvisorio messo a disposizione dalla stessa ANGEMAR, secondo le modalità e lo schema dati definiti con decreto direttoriale del Ministero delle infrastrutture e dei trasporti, ai fini della raccolta e dell’inserimento dei dati, che confluiranno successivamente nell’anagrafe definitiva previa validazione</w:t>
      </w:r>
      <w:r w:rsidR="1307444C">
        <w:t xml:space="preserve"> (comma 5 del citato articolo 62-sexies)</w:t>
      </w:r>
      <w:r>
        <w:t>.</w:t>
      </w:r>
    </w:p>
    <w:p w:rsidR="00E77BC1" w:rsidRPr="000D24CB" w:rsidP="155C2B82" w14:paraId="76D09DC9" w14:textId="575BF660">
      <w:pPr>
        <w:spacing w:after="120"/>
        <w:jc w:val="both"/>
      </w:pPr>
      <w:r>
        <w:t xml:space="preserve">Il </w:t>
      </w:r>
      <w:r w:rsidRPr="155C2B82">
        <w:rPr>
          <w:b/>
          <w:bCs/>
          <w:u w:val="single"/>
        </w:rPr>
        <w:t xml:space="preserve">comma 2 </w:t>
      </w:r>
      <w:r>
        <w:t>apporta modifiche all’articolo 51, comma 2, del decreto-legge 26 ottobre 2019, n. 124, convertito, con modificazioni, dalla legge 19 dicembre 2019, n. 157,</w:t>
      </w:r>
      <w:r w:rsidR="48C8017D">
        <w:t xml:space="preserve"> in cui inserisce la lettera d-bis, </w:t>
      </w:r>
      <w:r>
        <w:t xml:space="preserve"> al fine di consentire al Ministero delle infrastrutture e dei trasporti di avvalersi della società Sogei S.p.A. per la realizzazione dell’</w:t>
      </w:r>
      <w:r w:rsidRPr="353BA93C" w:rsidR="10E1A229">
        <w:rPr>
          <w:color w:val="000000" w:themeColor="text1"/>
        </w:rPr>
        <w:t xml:space="preserve"> Anagrafe nazionale digitale della gente di mare</w:t>
      </w:r>
      <w:r w:rsidR="10E1A229">
        <w:t xml:space="preserve"> (</w:t>
      </w:r>
      <w:r>
        <w:t>ANGEMAR</w:t>
      </w:r>
      <w:r w:rsidR="4BA63596">
        <w:t>)</w:t>
      </w:r>
      <w:r>
        <w:t>, in linea con l’Investimento 1.3 “Dati e interoperabilità” del PNRR, che mira a creare piattaforme digitali condivise e interoperabili tra le banche dati pubbliche.</w:t>
      </w:r>
    </w:p>
    <w:p w:rsidR="00E77BC1" w:rsidRPr="00E33EBC" w:rsidP="00E77BC1" w14:paraId="3C4217E3" w14:textId="0FB8F5D4">
      <w:pPr>
        <w:spacing w:after="120"/>
        <w:jc w:val="both"/>
      </w:pPr>
      <w:r>
        <w:t xml:space="preserve">Il </w:t>
      </w:r>
      <w:r w:rsidRPr="155C2B82">
        <w:rPr>
          <w:b/>
          <w:bCs/>
          <w:u w:val="single"/>
        </w:rPr>
        <w:t>comma 3</w:t>
      </w:r>
      <w:r>
        <w:t xml:space="preserve">, prevede che, dall’attuazione delle disposizioni di cui al </w:t>
      </w:r>
      <w:r w:rsidRPr="155C2B82">
        <w:rPr>
          <w:b/>
          <w:bCs/>
        </w:rPr>
        <w:t>comma 1</w:t>
      </w:r>
      <w:r>
        <w:t>, lettere a), b), c)</w:t>
      </w:r>
      <w:r w:rsidR="0D0591B6">
        <w:t xml:space="preserve"> e</w:t>
      </w:r>
      <w:r>
        <w:t xml:space="preserve"> d)</w:t>
      </w:r>
      <w:r w:rsidR="53A26F7A">
        <w:t xml:space="preserve"> </w:t>
      </w:r>
      <w:r w:rsidRPr="155C2B82">
        <w:rPr>
          <w:b/>
          <w:bCs/>
        </w:rPr>
        <w:t>non devono derivare nuovi o maggiori oneri a carico della finanza pubblica, in quanto le amministrazioni vi provvedono nell’ambito delle risorse umane, strumentali e finanziarie disponibili a legislazione vigente</w:t>
      </w:r>
      <w:r>
        <w:t>. Si precisa al riguardo che gli oneri conseguenti alle modifiche all’IPA risultano finanziati a legislazione vigente a valere sulla Misura 1.3.1 “</w:t>
      </w:r>
      <w:r w:rsidRPr="155C2B82">
        <w:rPr>
          <w:i/>
          <w:iCs/>
        </w:rPr>
        <w:t>Piattaforma Digitale Nazionale Dati</w:t>
      </w:r>
      <w:r>
        <w:t>” della Missione 1 - Componente 1 - “</w:t>
      </w:r>
      <w:r w:rsidRPr="155C2B82">
        <w:rPr>
          <w:i/>
          <w:iCs/>
        </w:rPr>
        <w:t>Interoperabilità dell’Indice dei domicili digitali delle pubbliche amministrazioni e dei gestori di pubblici servizi</w:t>
      </w:r>
      <w:r>
        <w:t xml:space="preserve">”, inclusa nel PNRR, la cui realizzazione è affidata a AgID ed è già oggetto di specifica convenzione tra quest’ultima e il Dipartimento per la trasformazione digitale. </w:t>
      </w:r>
      <w:r w:rsidRPr="155C2B82">
        <w:rPr>
          <w:b/>
          <w:bCs/>
        </w:rPr>
        <w:t>Inoltre,</w:t>
      </w:r>
      <w:r>
        <w:t xml:space="preserve"> </w:t>
      </w:r>
      <w:r w:rsidRPr="155C2B82">
        <w:rPr>
          <w:b/>
          <w:bCs/>
        </w:rPr>
        <w:t xml:space="preserve">con particolare riferimento alle modifiche di cui al </w:t>
      </w:r>
      <w:r w:rsidRPr="155C2B82">
        <w:rPr>
          <w:b/>
          <w:bCs/>
          <w:u w:val="single"/>
        </w:rPr>
        <w:t>comma 1, lettera c)</w:t>
      </w:r>
      <w:r w:rsidRPr="155C2B82">
        <w:rPr>
          <w:b/>
          <w:bCs/>
        </w:rPr>
        <w:t>, le stesse non comportano nuovi o maggiori oneri per la finanza pubblica</w:t>
      </w:r>
      <w:r>
        <w:t>, considerato anche che già a partire dal 18 aprile 2024 tutti i soggetti pubblici devono interrogare l’ANPR esclusivamente tramite IDANPR, giusta previsione del decreto del ministero dell’Interno del 3 marzo 2023 recante “</w:t>
      </w:r>
      <w:r w:rsidRPr="155C2B82">
        <w:rPr>
          <w:i/>
          <w:iCs/>
        </w:rPr>
        <w:t>Modalità di attribuzione, da parte dell'Anagrafe nazionale della popolazione residente</w:t>
      </w:r>
      <w:r>
        <w:t xml:space="preserve">, </w:t>
      </w:r>
      <w:r w:rsidRPr="155C2B82">
        <w:rPr>
          <w:i/>
          <w:iCs/>
        </w:rPr>
        <w:t>di un codice identificativo univoco per garantire la circolarità dei dati anagrafici e l'interoperabilità con le altre banche dati delle pubbliche amministrazioni e dei gestori di servizi pubblici</w:t>
      </w:r>
      <w:r>
        <w:t>”, e devono mantenerlo nei propri sistemi ai sensi dell’articolo 62, comma 5, del Codice dell'Amministrazione Digitale.</w:t>
      </w:r>
    </w:p>
    <w:p w:rsidR="00E77BC1" w:rsidP="00E77BC1" w14:paraId="4E9B40A5" w14:textId="554B92A2">
      <w:pPr>
        <w:spacing w:after="120"/>
        <w:jc w:val="both"/>
      </w:pPr>
      <w:r w:rsidRPr="00E33EBC">
        <w:rPr>
          <w:color w:val="000000" w:themeColor="text1"/>
        </w:rPr>
        <w:t>Il medesimo comma 3 con riferimento agli oneri derivanti dall’attuazione delle disposizioni di cui al comma 1</w:t>
      </w:r>
      <w:r w:rsidRPr="00E77BC1">
        <w:rPr>
          <w:color w:val="000000" w:themeColor="text1"/>
        </w:rPr>
        <w:t>, lettera e)</w:t>
      </w:r>
      <w:r w:rsidRPr="00E77BC1">
        <w:t xml:space="preserve"> relativi</w:t>
      </w:r>
      <w:r w:rsidRPr="00E33EBC">
        <w:t xml:space="preserve"> alla progettazione, realizzazione e messa a disposizione dell’infrastruttura tecnologica per l’attuazione dell’ANGEMAR e all’emissione del nuovo libretto di navigazione, autorizza la spesa di 7 milioni di euro per gli anni 2026 e 2027, così ripartita:</w:t>
      </w:r>
    </w:p>
    <w:p w:rsidR="002378F2" w:rsidRPr="00E33EBC" w:rsidP="00E77BC1" w14:paraId="3C0F016C" w14:textId="77777777">
      <w:pPr>
        <w:spacing w:after="120"/>
        <w:jc w:val="both"/>
      </w:pPr>
    </w:p>
    <w:tbl>
      <w:tblPr>
        <w:tblW w:w="0" w:type="auto"/>
        <w:tblLook w:val="04A0"/>
      </w:tblPr>
      <w:tblGrid>
        <w:gridCol w:w="1323"/>
        <w:gridCol w:w="4405"/>
        <w:gridCol w:w="1493"/>
        <w:gridCol w:w="1165"/>
        <w:gridCol w:w="1232"/>
      </w:tblGrid>
      <w:tr w14:paraId="03029001" w14:textId="77777777" w:rsidTr="009251E2">
        <w:tblPrEx>
          <w:tblW w:w="0" w:type="auto"/>
          <w:tblLook w:val="04A0"/>
        </w:tblPrEx>
        <w:trPr>
          <w:trHeight w:val="660"/>
        </w:trPr>
        <w:tc>
          <w:tcPr>
            <w:tcW w:w="1323" w:type="dxa"/>
            <w:tcBorders>
              <w:top w:val="single" w:sz="8" w:space="0" w:color="auto"/>
              <w:left w:val="single" w:sz="8" w:space="0" w:color="auto"/>
              <w:bottom w:val="single" w:sz="4" w:space="0" w:color="auto"/>
              <w:right w:val="single" w:sz="8" w:space="0" w:color="auto"/>
            </w:tcBorders>
            <w:shd w:val="clear" w:color="auto" w:fill="BFBFBF" w:themeFill="background1" w:themeFillShade="BF"/>
            <w:tcMar>
              <w:top w:w="15" w:type="dxa"/>
              <w:left w:w="15" w:type="dxa"/>
              <w:right w:w="15" w:type="dxa"/>
            </w:tcMar>
            <w:vAlign w:val="center"/>
          </w:tcPr>
          <w:p w:rsidR="00E77BC1" w:rsidRPr="00E33EBC" w:rsidP="009251E2" w14:paraId="350BEA56" w14:textId="77777777">
            <w:pPr>
              <w:spacing w:after="120"/>
              <w:jc w:val="center"/>
              <w:rPr>
                <w:b/>
                <w:bCs/>
                <w:color w:val="000000" w:themeColor="text1"/>
                <w:sz w:val="20"/>
                <w:szCs w:val="20"/>
              </w:rPr>
            </w:pPr>
            <w:r w:rsidRPr="00E33EBC">
              <w:rPr>
                <w:sz w:val="22"/>
                <w:szCs w:val="22"/>
              </w:rPr>
              <w:t xml:space="preserve"> </w:t>
            </w:r>
            <w:r w:rsidRPr="00E33EBC">
              <w:rPr>
                <w:b/>
                <w:bCs/>
                <w:color w:val="000000" w:themeColor="text1"/>
                <w:sz w:val="20"/>
                <w:szCs w:val="20"/>
              </w:rPr>
              <w:t>Partner tecnologico</w:t>
            </w:r>
          </w:p>
        </w:tc>
        <w:tc>
          <w:tcPr>
            <w:tcW w:w="440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center"/>
          </w:tcPr>
          <w:p w:rsidR="00E77BC1" w:rsidRPr="00E33EBC" w:rsidP="009251E2" w14:paraId="2529AA67" w14:textId="77777777">
            <w:pPr>
              <w:spacing w:after="120"/>
              <w:jc w:val="center"/>
              <w:rPr>
                <w:b/>
                <w:bCs/>
                <w:color w:val="000000" w:themeColor="text1"/>
                <w:sz w:val="20"/>
                <w:szCs w:val="20"/>
              </w:rPr>
            </w:pPr>
            <w:r w:rsidRPr="00E33EBC">
              <w:rPr>
                <w:b/>
                <w:bCs/>
                <w:color w:val="000000" w:themeColor="text1"/>
                <w:sz w:val="20"/>
                <w:szCs w:val="20"/>
              </w:rPr>
              <w:t>Descrizione delle attività</w:t>
            </w:r>
          </w:p>
        </w:tc>
        <w:tc>
          <w:tcPr>
            <w:tcW w:w="1493"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center"/>
          </w:tcPr>
          <w:p w:rsidR="00E77BC1" w:rsidRPr="00E33EBC" w:rsidP="009251E2" w14:paraId="4A7AFDFF" w14:textId="77777777">
            <w:pPr>
              <w:spacing w:after="120"/>
              <w:jc w:val="center"/>
              <w:rPr>
                <w:b/>
                <w:bCs/>
                <w:color w:val="000000" w:themeColor="text1"/>
                <w:sz w:val="20"/>
                <w:szCs w:val="20"/>
              </w:rPr>
            </w:pPr>
            <w:r w:rsidRPr="00E33EBC">
              <w:rPr>
                <w:b/>
                <w:bCs/>
                <w:color w:val="000000" w:themeColor="text1"/>
                <w:sz w:val="20"/>
                <w:szCs w:val="20"/>
              </w:rPr>
              <w:t>Fonte di finanziamento</w:t>
            </w:r>
          </w:p>
        </w:tc>
        <w:tc>
          <w:tcPr>
            <w:tcW w:w="116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center"/>
          </w:tcPr>
          <w:p w:rsidR="00E77BC1" w:rsidRPr="00E33EBC" w:rsidP="009251E2" w14:paraId="6B6EEB89" w14:textId="77777777">
            <w:pPr>
              <w:spacing w:after="120"/>
              <w:jc w:val="center"/>
              <w:rPr>
                <w:b/>
                <w:bCs/>
                <w:color w:val="000000" w:themeColor="text1"/>
                <w:sz w:val="20"/>
                <w:szCs w:val="20"/>
              </w:rPr>
            </w:pPr>
            <w:r w:rsidRPr="00E33EBC">
              <w:rPr>
                <w:b/>
                <w:bCs/>
                <w:color w:val="000000" w:themeColor="text1"/>
                <w:sz w:val="20"/>
                <w:szCs w:val="20"/>
              </w:rPr>
              <w:t>2026</w:t>
            </w:r>
          </w:p>
        </w:tc>
        <w:tc>
          <w:tcPr>
            <w:tcW w:w="1232"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center"/>
          </w:tcPr>
          <w:p w:rsidR="00E77BC1" w:rsidRPr="00E33EBC" w:rsidP="009251E2" w14:paraId="194EE70D" w14:textId="77777777">
            <w:pPr>
              <w:spacing w:after="120"/>
              <w:jc w:val="center"/>
              <w:rPr>
                <w:b/>
                <w:bCs/>
                <w:color w:val="000000" w:themeColor="text1"/>
                <w:sz w:val="20"/>
                <w:szCs w:val="20"/>
              </w:rPr>
            </w:pPr>
            <w:r w:rsidRPr="00E33EBC">
              <w:rPr>
                <w:b/>
                <w:bCs/>
                <w:color w:val="000000" w:themeColor="text1"/>
                <w:sz w:val="20"/>
                <w:szCs w:val="20"/>
              </w:rPr>
              <w:t>2027</w:t>
            </w:r>
          </w:p>
        </w:tc>
      </w:tr>
      <w:tr w14:paraId="63C3D201" w14:textId="77777777" w:rsidTr="7160B076">
        <w:tblPrEx>
          <w:tblW w:w="0" w:type="auto"/>
          <w:tblLook w:val="04A0"/>
        </w:tblPrEx>
        <w:trPr>
          <w:trHeight w:val="1290"/>
        </w:trPr>
        <w:tc>
          <w:tcPr>
            <w:tcW w:w="1323" w:type="dxa"/>
            <w:tcBorders>
              <w:top w:val="single" w:sz="4" w:space="0" w:color="auto"/>
              <w:left w:val="single" w:sz="4" w:space="0" w:color="auto"/>
              <w:bottom w:val="single" w:sz="4" w:space="0" w:color="auto"/>
              <w:right w:val="single" w:sz="4" w:space="0" w:color="auto"/>
            </w:tcBorders>
            <w:shd w:val="clear" w:color="auto" w:fill="DDEBF7"/>
            <w:tcMar>
              <w:top w:w="15" w:type="dxa"/>
              <w:left w:w="15" w:type="dxa"/>
              <w:right w:w="15" w:type="dxa"/>
            </w:tcMar>
            <w:vAlign w:val="center"/>
          </w:tcPr>
          <w:p w:rsidR="00E77BC1" w:rsidRPr="00E33EBC" w:rsidP="009251E2" w14:paraId="145B2545" w14:textId="77777777">
            <w:pPr>
              <w:spacing w:after="120"/>
              <w:jc w:val="both"/>
              <w:rPr>
                <w:b/>
                <w:bCs/>
                <w:color w:val="000000" w:themeColor="text1"/>
                <w:sz w:val="20"/>
                <w:szCs w:val="20"/>
              </w:rPr>
            </w:pPr>
            <w:r w:rsidRPr="00E33EBC">
              <w:rPr>
                <w:b/>
                <w:bCs/>
                <w:color w:val="000000" w:themeColor="text1"/>
                <w:sz w:val="20"/>
                <w:szCs w:val="20"/>
              </w:rPr>
              <w:t>Sogei S.p.A.</w:t>
            </w:r>
          </w:p>
        </w:tc>
        <w:tc>
          <w:tcPr>
            <w:tcW w:w="4405" w:type="dxa"/>
            <w:tcBorders>
              <w:top w:val="single" w:sz="8" w:space="0" w:color="auto"/>
              <w:left w:val="single" w:sz="4" w:space="0" w:color="auto"/>
              <w:bottom w:val="single" w:sz="8" w:space="0" w:color="auto"/>
              <w:right w:val="single" w:sz="8" w:space="0" w:color="auto"/>
            </w:tcBorders>
            <w:shd w:val="clear" w:color="auto" w:fill="DDEBF7"/>
            <w:tcMar>
              <w:top w:w="15" w:type="dxa"/>
              <w:left w:w="15" w:type="dxa"/>
              <w:right w:w="15" w:type="dxa"/>
            </w:tcMar>
            <w:vAlign w:val="center"/>
          </w:tcPr>
          <w:p w:rsidR="00E77BC1" w:rsidRPr="00E33EBC" w:rsidP="16A224EE" w14:paraId="04A36CF7" w14:textId="2EE212FE">
            <w:pPr>
              <w:spacing w:after="120"/>
              <w:ind w:left="45" w:right="239"/>
              <w:jc w:val="both"/>
              <w:rPr>
                <w:color w:val="000000" w:themeColor="text1"/>
                <w:sz w:val="20"/>
                <w:szCs w:val="20"/>
              </w:rPr>
            </w:pPr>
            <w:r w:rsidRPr="7160B076">
              <w:rPr>
                <w:b/>
                <w:color w:val="000000" w:themeColor="text1"/>
                <w:sz w:val="20"/>
                <w:szCs w:val="20"/>
              </w:rPr>
              <w:t>Attività di analisi funzionale e progettazione tecnica della piattaforma digitale; sviluppo software e integrazione con la Piattaforma Digitale Nazionale Dati (PDND) e con le anagrafi pubbliche (ANPR, ANIS, ANIST, Assistenza sanitaria al personale navigante SASN); implementazione delle interfacce utente e dei servizi digitali</w:t>
            </w:r>
            <w:r w:rsidRPr="00E33EBC">
              <w:rPr>
                <w:color w:val="000000" w:themeColor="text1"/>
                <w:sz w:val="20"/>
                <w:szCs w:val="20"/>
              </w:rPr>
              <w:t>.</w:t>
            </w:r>
            <w:r w:rsidRPr="7160B076" w:rsidR="51BB582D">
              <w:rPr>
                <w:color w:val="000000" w:themeColor="text1"/>
                <w:sz w:val="20"/>
                <w:szCs w:val="20"/>
              </w:rPr>
              <w:t xml:space="preserve"> Conduzione, manutenzione e assistenza tecnica del sistema a regime</w:t>
            </w:r>
          </w:p>
          <w:p w:rsidR="00E77BC1" w:rsidRPr="00E33EBC" w:rsidP="009251E2" w14:paraId="07B196AC" w14:textId="72C3BA01">
            <w:pPr>
              <w:spacing w:after="120"/>
              <w:ind w:left="45" w:right="239"/>
              <w:jc w:val="both"/>
              <w:rPr>
                <w:color w:val="000000" w:themeColor="text1"/>
                <w:sz w:val="20"/>
                <w:szCs w:val="20"/>
              </w:rPr>
            </w:pPr>
          </w:p>
        </w:tc>
        <w:tc>
          <w:tcPr>
            <w:tcW w:w="1493" w:type="dxa"/>
            <w:tcBorders>
              <w:top w:val="single" w:sz="8" w:space="0" w:color="auto"/>
              <w:left w:val="single" w:sz="8" w:space="0" w:color="auto"/>
              <w:bottom w:val="single" w:sz="8" w:space="0" w:color="auto"/>
              <w:right w:val="single" w:sz="8" w:space="0" w:color="auto"/>
            </w:tcBorders>
            <w:shd w:val="clear" w:color="auto" w:fill="DDEBF7"/>
            <w:tcMar>
              <w:top w:w="15" w:type="dxa"/>
              <w:left w:w="15" w:type="dxa"/>
              <w:right w:w="15" w:type="dxa"/>
            </w:tcMar>
            <w:vAlign w:val="center"/>
          </w:tcPr>
          <w:p w:rsidR="00E77BC1" w:rsidRPr="00E33EBC" w:rsidP="1776D51D" w14:paraId="0BC3AC9C" w14:textId="1C62AAC5">
            <w:pPr>
              <w:spacing w:after="120"/>
              <w:ind w:left="26" w:right="126"/>
              <w:jc w:val="both"/>
              <w:rPr>
                <w:color w:val="000000" w:themeColor="text1"/>
                <w:sz w:val="20"/>
                <w:szCs w:val="20"/>
              </w:rPr>
            </w:pPr>
            <w:r w:rsidRPr="1776D51D">
              <w:rPr>
                <w:color w:val="FF0000"/>
                <w:sz w:val="20"/>
                <w:szCs w:val="20"/>
              </w:rPr>
              <w:t>Fondo per l’innovazione tecnologica e la digitalizzazione</w:t>
            </w:r>
          </w:p>
          <w:p w:rsidR="00E77BC1" w:rsidRPr="00E33EBC" w:rsidP="009251E2" w14:paraId="42EDFD5B" w14:textId="77A27AEE">
            <w:pPr>
              <w:spacing w:after="120"/>
              <w:ind w:left="26" w:right="126"/>
              <w:jc w:val="both"/>
              <w:rPr>
                <w:color w:val="000000" w:themeColor="text1"/>
                <w:sz w:val="20"/>
                <w:szCs w:val="20"/>
              </w:rPr>
            </w:pPr>
          </w:p>
        </w:tc>
        <w:tc>
          <w:tcPr>
            <w:tcW w:w="1165" w:type="dxa"/>
            <w:tcBorders>
              <w:top w:val="single" w:sz="8" w:space="0" w:color="auto"/>
              <w:left w:val="single" w:sz="8" w:space="0" w:color="auto"/>
              <w:bottom w:val="single" w:sz="8" w:space="0" w:color="auto"/>
              <w:right w:val="single" w:sz="8" w:space="0" w:color="auto"/>
            </w:tcBorders>
            <w:shd w:val="clear" w:color="auto" w:fill="DDEBF7"/>
            <w:tcMar>
              <w:top w:w="15" w:type="dxa"/>
              <w:left w:w="15" w:type="dxa"/>
              <w:right w:w="15" w:type="dxa"/>
            </w:tcMar>
            <w:vAlign w:val="center"/>
          </w:tcPr>
          <w:p w:rsidR="00E77BC1" w:rsidRPr="00E33EBC" w:rsidP="009251E2" w14:paraId="3F1D60BA" w14:textId="7BCA341F">
            <w:pPr>
              <w:spacing w:after="120"/>
              <w:jc w:val="right"/>
              <w:rPr>
                <w:color w:val="000000" w:themeColor="text1"/>
                <w:sz w:val="20"/>
                <w:szCs w:val="20"/>
              </w:rPr>
            </w:pPr>
            <w:r w:rsidRPr="16A224EE">
              <w:rPr>
                <w:color w:val="000000" w:themeColor="text1"/>
                <w:sz w:val="20"/>
                <w:szCs w:val="20"/>
              </w:rPr>
              <w:t>3</w:t>
            </w:r>
            <w:r w:rsidRPr="16A224EE" w:rsidR="0774E870">
              <w:rPr>
                <w:color w:val="000000" w:themeColor="text1"/>
                <w:sz w:val="20"/>
                <w:szCs w:val="20"/>
              </w:rPr>
              <w:t>.</w:t>
            </w:r>
            <w:r w:rsidRPr="16A224EE" w:rsidR="73997556">
              <w:rPr>
                <w:color w:val="000000" w:themeColor="text1"/>
                <w:sz w:val="20"/>
                <w:szCs w:val="20"/>
              </w:rPr>
              <w:t>0</w:t>
            </w:r>
            <w:r w:rsidRPr="16A224EE" w:rsidR="0774E870">
              <w:rPr>
                <w:color w:val="000000" w:themeColor="text1"/>
                <w:sz w:val="20"/>
                <w:szCs w:val="20"/>
              </w:rPr>
              <w:t>00</w:t>
            </w:r>
            <w:r w:rsidRPr="00E33EBC">
              <w:rPr>
                <w:color w:val="000000" w:themeColor="text1"/>
                <w:sz w:val="20"/>
                <w:szCs w:val="20"/>
              </w:rPr>
              <w:t>.000,00</w:t>
            </w:r>
          </w:p>
        </w:tc>
        <w:tc>
          <w:tcPr>
            <w:tcW w:w="1232" w:type="dxa"/>
            <w:tcBorders>
              <w:top w:val="single" w:sz="8" w:space="0" w:color="auto"/>
              <w:left w:val="single" w:sz="8" w:space="0" w:color="auto"/>
              <w:bottom w:val="single" w:sz="8" w:space="0" w:color="auto"/>
              <w:right w:val="single" w:sz="8" w:space="0" w:color="auto"/>
            </w:tcBorders>
            <w:shd w:val="clear" w:color="auto" w:fill="DDEBF7"/>
            <w:tcMar>
              <w:top w:w="15" w:type="dxa"/>
              <w:left w:w="15" w:type="dxa"/>
              <w:right w:w="15" w:type="dxa"/>
            </w:tcMar>
            <w:vAlign w:val="center"/>
          </w:tcPr>
          <w:p w:rsidR="00E77BC1" w:rsidRPr="00E33EBC" w:rsidP="529056BE" w14:paraId="1B5194A5" w14:textId="7AB07F32">
            <w:pPr>
              <w:spacing w:after="120"/>
              <w:jc w:val="right"/>
              <w:rPr>
                <w:color w:val="000000" w:themeColor="text1"/>
                <w:sz w:val="20"/>
                <w:szCs w:val="20"/>
              </w:rPr>
            </w:pPr>
            <w:r w:rsidRPr="529056BE">
              <w:rPr>
                <w:color w:val="000000" w:themeColor="text1"/>
                <w:sz w:val="20"/>
                <w:szCs w:val="20"/>
              </w:rPr>
              <w:t>1.000.000,00</w:t>
            </w:r>
          </w:p>
          <w:p w:rsidR="00E77BC1" w:rsidRPr="00E33EBC" w:rsidP="009251E2" w14:paraId="6514A326" w14:textId="5C9FD87A">
            <w:pPr>
              <w:spacing w:after="120"/>
              <w:jc w:val="right"/>
              <w:rPr>
                <w:color w:val="000000" w:themeColor="text1"/>
                <w:sz w:val="20"/>
                <w:szCs w:val="20"/>
              </w:rPr>
            </w:pPr>
            <w:r w:rsidRPr="00E33EBC">
              <w:rPr>
                <w:color w:val="000000" w:themeColor="text1"/>
                <w:sz w:val="20"/>
                <w:szCs w:val="20"/>
              </w:rPr>
              <w:t xml:space="preserve"> </w:t>
            </w:r>
          </w:p>
        </w:tc>
      </w:tr>
      <w:tr w14:paraId="3697DE9F" w14:textId="77777777" w:rsidTr="7160B076">
        <w:tblPrEx>
          <w:tblW w:w="0" w:type="auto"/>
          <w:tblLook w:val="04A0"/>
        </w:tblPrEx>
        <w:trPr>
          <w:trHeight w:val="1290"/>
        </w:trPr>
        <w:tc>
          <w:tcPr>
            <w:tcW w:w="1323" w:type="dxa"/>
            <w:tcBorders>
              <w:top w:val="single" w:sz="4" w:space="0" w:color="auto"/>
              <w:left w:val="single" w:sz="4" w:space="0" w:color="auto"/>
              <w:bottom w:val="single" w:sz="4" w:space="0" w:color="auto"/>
              <w:right w:val="single" w:sz="4" w:space="0" w:color="auto"/>
            </w:tcBorders>
            <w:shd w:val="clear" w:color="auto" w:fill="FFF2CC"/>
            <w:tcMar>
              <w:top w:w="15" w:type="dxa"/>
              <w:left w:w="15" w:type="dxa"/>
              <w:right w:w="15" w:type="dxa"/>
            </w:tcMar>
            <w:vAlign w:val="center"/>
          </w:tcPr>
          <w:p w:rsidR="00E77BC1" w:rsidRPr="00E33EBC" w:rsidP="009251E2" w14:paraId="5069D961" w14:textId="77777777">
            <w:pPr>
              <w:spacing w:after="120"/>
              <w:jc w:val="both"/>
              <w:rPr>
                <w:b/>
                <w:bCs/>
                <w:color w:val="000000" w:themeColor="text1"/>
                <w:sz w:val="20"/>
                <w:szCs w:val="20"/>
              </w:rPr>
            </w:pPr>
            <w:r w:rsidRPr="00E33EBC">
              <w:rPr>
                <w:b/>
                <w:bCs/>
                <w:color w:val="000000" w:themeColor="text1"/>
                <w:sz w:val="20"/>
                <w:szCs w:val="20"/>
              </w:rPr>
              <w:t xml:space="preserve"> IPZS S.p.A.</w:t>
            </w:r>
          </w:p>
        </w:tc>
        <w:tc>
          <w:tcPr>
            <w:tcW w:w="4405" w:type="dxa"/>
            <w:tcBorders>
              <w:top w:val="single" w:sz="8" w:space="0" w:color="auto"/>
              <w:left w:val="single" w:sz="4" w:space="0" w:color="auto"/>
              <w:bottom w:val="single" w:sz="8" w:space="0" w:color="auto"/>
              <w:right w:val="single" w:sz="8" w:space="0" w:color="auto"/>
            </w:tcBorders>
            <w:shd w:val="clear" w:color="auto" w:fill="FFF2CC"/>
            <w:tcMar>
              <w:top w:w="15" w:type="dxa"/>
              <w:left w:w="15" w:type="dxa"/>
              <w:right w:w="15" w:type="dxa"/>
            </w:tcMar>
            <w:vAlign w:val="center"/>
          </w:tcPr>
          <w:p w:rsidR="00E77BC1" w:rsidRPr="00E33EBC" w:rsidP="009251E2" w14:paraId="07C5421F" w14:textId="5242ACE3">
            <w:pPr>
              <w:spacing w:after="120"/>
              <w:ind w:left="45" w:right="239"/>
              <w:jc w:val="both"/>
              <w:rPr>
                <w:color w:val="000000" w:themeColor="text1"/>
                <w:sz w:val="20"/>
                <w:szCs w:val="20"/>
              </w:rPr>
            </w:pPr>
            <w:r w:rsidRPr="7160B076">
              <w:rPr>
                <w:b/>
                <w:color w:val="000000" w:themeColor="text1"/>
                <w:sz w:val="20"/>
                <w:szCs w:val="20"/>
              </w:rPr>
              <w:t>Realizzazione dell'infrastruttura di emissione e integrazione della versione digitale del libretto con ANGEMAR e IT-Wallet</w:t>
            </w:r>
            <w:r w:rsidRPr="7160B076" w:rsidR="16971580">
              <w:rPr>
                <w:b/>
                <w:bCs/>
                <w:color w:val="000000" w:themeColor="text1"/>
                <w:sz w:val="20"/>
                <w:szCs w:val="20"/>
              </w:rPr>
              <w:t>.</w:t>
            </w:r>
            <w:r w:rsidRPr="7160B076" w:rsidR="16971580">
              <w:rPr>
                <w:color w:val="000000" w:themeColor="text1"/>
                <w:sz w:val="20"/>
                <w:szCs w:val="20"/>
              </w:rPr>
              <w:t xml:space="preserve"> Definizione delle specifiche tecniche del nuovo libretto dotato di microprocessore; produzione e fornitura del supporto fisico; personalizzazione e logistica di distribuzione agli uffici di rilascio</w:t>
            </w:r>
          </w:p>
        </w:tc>
        <w:tc>
          <w:tcPr>
            <w:tcW w:w="1493" w:type="dxa"/>
            <w:tcBorders>
              <w:top w:val="single" w:sz="8" w:space="0" w:color="auto"/>
              <w:left w:val="single" w:sz="8" w:space="0" w:color="auto"/>
              <w:bottom w:val="single" w:sz="8" w:space="0" w:color="auto"/>
              <w:right w:val="single" w:sz="8" w:space="0" w:color="auto"/>
            </w:tcBorders>
            <w:shd w:val="clear" w:color="auto" w:fill="FFF2CC"/>
            <w:tcMar>
              <w:top w:w="15" w:type="dxa"/>
              <w:left w:w="15" w:type="dxa"/>
              <w:right w:w="15" w:type="dxa"/>
            </w:tcMar>
            <w:vAlign w:val="center"/>
          </w:tcPr>
          <w:p w:rsidR="00E77BC1" w:rsidRPr="00E33EBC" w:rsidP="1776D51D" w14:paraId="58914197" w14:textId="1C62AAC5">
            <w:pPr>
              <w:spacing w:after="120"/>
              <w:ind w:left="26" w:right="126"/>
              <w:jc w:val="both"/>
              <w:rPr>
                <w:color w:val="000000" w:themeColor="text1"/>
                <w:sz w:val="20"/>
                <w:szCs w:val="20"/>
              </w:rPr>
            </w:pPr>
            <w:r w:rsidRPr="1776D51D">
              <w:rPr>
                <w:color w:val="FF0000"/>
                <w:sz w:val="20"/>
                <w:szCs w:val="20"/>
              </w:rPr>
              <w:t>Fondo per l’innovazione tecnologica e la digitalizzazione</w:t>
            </w:r>
          </w:p>
          <w:p w:rsidR="00E77BC1" w:rsidRPr="00E33EBC" w:rsidP="009251E2" w14:paraId="3586579C" w14:textId="3C19B045">
            <w:pPr>
              <w:spacing w:after="120"/>
              <w:ind w:left="26" w:right="126"/>
              <w:jc w:val="both"/>
              <w:rPr>
                <w:color w:val="000000" w:themeColor="text1"/>
                <w:sz w:val="20"/>
                <w:szCs w:val="20"/>
              </w:rPr>
            </w:pPr>
          </w:p>
        </w:tc>
        <w:tc>
          <w:tcPr>
            <w:tcW w:w="1165" w:type="dxa"/>
            <w:tcBorders>
              <w:top w:val="single" w:sz="8" w:space="0" w:color="auto"/>
              <w:left w:val="single" w:sz="8" w:space="0" w:color="auto"/>
              <w:bottom w:val="single" w:sz="8" w:space="0" w:color="auto"/>
              <w:right w:val="single" w:sz="8" w:space="0" w:color="auto"/>
            </w:tcBorders>
            <w:shd w:val="clear" w:color="auto" w:fill="FFF2CC"/>
            <w:tcMar>
              <w:top w:w="15" w:type="dxa"/>
              <w:left w:w="15" w:type="dxa"/>
              <w:right w:w="15" w:type="dxa"/>
            </w:tcMar>
            <w:vAlign w:val="center"/>
          </w:tcPr>
          <w:p w:rsidR="00E77BC1" w:rsidRPr="00E33EBC" w:rsidP="009251E2" w14:paraId="7DDBC5EC" w14:textId="6E72663A">
            <w:pPr>
              <w:spacing w:after="120"/>
              <w:jc w:val="right"/>
              <w:rPr>
                <w:color w:val="000000" w:themeColor="text1"/>
                <w:sz w:val="20"/>
                <w:szCs w:val="20"/>
              </w:rPr>
            </w:pPr>
            <w:r w:rsidRPr="00E33EBC">
              <w:rPr>
                <w:color w:val="000000" w:themeColor="text1"/>
                <w:sz w:val="20"/>
                <w:szCs w:val="20"/>
              </w:rPr>
              <w:t xml:space="preserve"> 1.</w:t>
            </w:r>
            <w:r w:rsidRPr="3FA6D141" w:rsidR="21D79B5B">
              <w:rPr>
                <w:color w:val="000000" w:themeColor="text1"/>
                <w:sz w:val="20"/>
                <w:szCs w:val="20"/>
              </w:rPr>
              <w:t>8</w:t>
            </w:r>
            <w:r w:rsidRPr="3FA6D141">
              <w:rPr>
                <w:color w:val="000000" w:themeColor="text1"/>
                <w:sz w:val="20"/>
                <w:szCs w:val="20"/>
              </w:rPr>
              <w:t>00</w:t>
            </w:r>
            <w:r w:rsidRPr="00E33EBC">
              <w:rPr>
                <w:color w:val="000000" w:themeColor="text1"/>
                <w:sz w:val="20"/>
                <w:szCs w:val="20"/>
              </w:rPr>
              <w:t>.000,00</w:t>
            </w:r>
          </w:p>
        </w:tc>
        <w:tc>
          <w:tcPr>
            <w:tcW w:w="1232" w:type="dxa"/>
            <w:tcBorders>
              <w:top w:val="single" w:sz="8" w:space="0" w:color="auto"/>
              <w:left w:val="single" w:sz="8" w:space="0" w:color="auto"/>
              <w:bottom w:val="single" w:sz="8" w:space="0" w:color="auto"/>
              <w:right w:val="single" w:sz="8" w:space="0" w:color="auto"/>
            </w:tcBorders>
            <w:shd w:val="clear" w:color="auto" w:fill="FFF2CC"/>
            <w:tcMar>
              <w:top w:w="15" w:type="dxa"/>
              <w:left w:w="15" w:type="dxa"/>
              <w:right w:w="15" w:type="dxa"/>
            </w:tcMar>
            <w:vAlign w:val="center"/>
          </w:tcPr>
          <w:p w:rsidR="00E77BC1" w:rsidRPr="00E33EBC" w:rsidP="3FA6D141" w14:paraId="6C801B8B" w14:textId="77777777">
            <w:pPr>
              <w:spacing w:after="120"/>
              <w:jc w:val="right"/>
              <w:rPr>
                <w:color w:val="000000" w:themeColor="text1"/>
                <w:sz w:val="20"/>
                <w:szCs w:val="20"/>
              </w:rPr>
            </w:pPr>
            <w:r w:rsidRPr="3FA6D141">
              <w:rPr>
                <w:color w:val="000000" w:themeColor="text1"/>
                <w:sz w:val="20"/>
                <w:szCs w:val="20"/>
              </w:rPr>
              <w:t>1.200.000,00</w:t>
            </w:r>
          </w:p>
          <w:p w:rsidR="00E77BC1" w:rsidRPr="00E33EBC" w:rsidP="009251E2" w14:paraId="7344EF29" w14:textId="77777777">
            <w:pPr>
              <w:spacing w:after="120"/>
              <w:jc w:val="right"/>
              <w:rPr>
                <w:color w:val="000000" w:themeColor="text1"/>
                <w:sz w:val="20"/>
                <w:szCs w:val="20"/>
              </w:rPr>
            </w:pPr>
            <w:r w:rsidRPr="00E33EBC">
              <w:rPr>
                <w:color w:val="000000" w:themeColor="text1"/>
                <w:sz w:val="20"/>
                <w:szCs w:val="20"/>
              </w:rPr>
              <w:t xml:space="preserve"> </w:t>
            </w:r>
          </w:p>
        </w:tc>
      </w:tr>
      <w:tr w14:paraId="2B0F24CB" w14:textId="77777777" w:rsidTr="009251E2">
        <w:tblPrEx>
          <w:tblW w:w="0" w:type="auto"/>
          <w:tblLook w:val="04A0"/>
        </w:tblPrEx>
        <w:trPr>
          <w:trHeight w:val="495"/>
        </w:trPr>
        <w:tc>
          <w:tcPr>
            <w:tcW w:w="1323" w:type="dxa"/>
            <w:tcBorders>
              <w:top w:val="single" w:sz="4" w:space="0" w:color="auto"/>
            </w:tcBorders>
            <w:tcMar>
              <w:top w:w="15" w:type="dxa"/>
              <w:left w:w="15" w:type="dxa"/>
              <w:right w:w="15" w:type="dxa"/>
            </w:tcMar>
            <w:vAlign w:val="center"/>
          </w:tcPr>
          <w:p w:rsidR="00E77BC1" w:rsidRPr="00E33EBC" w:rsidP="009251E2" w14:paraId="1EFEE35E" w14:textId="77777777">
            <w:pPr>
              <w:spacing w:after="120"/>
            </w:pPr>
          </w:p>
        </w:tc>
        <w:tc>
          <w:tcPr>
            <w:tcW w:w="4405" w:type="dxa"/>
            <w:tcBorders>
              <w:top w:val="single" w:sz="4" w:space="0" w:color="auto"/>
              <w:right w:val="single" w:sz="4" w:space="0" w:color="auto"/>
            </w:tcBorders>
            <w:tcMar>
              <w:top w:w="15" w:type="dxa"/>
              <w:left w:w="15" w:type="dxa"/>
              <w:right w:w="15" w:type="dxa"/>
            </w:tcMar>
            <w:vAlign w:val="center"/>
          </w:tcPr>
          <w:p w:rsidR="00E77BC1" w:rsidRPr="00E33EBC" w:rsidP="009251E2" w14:paraId="33654D83" w14:textId="77777777">
            <w:pPr>
              <w:spacing w:after="120"/>
            </w:pPr>
          </w:p>
        </w:tc>
        <w:tc>
          <w:tcPr>
            <w:tcW w:w="14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15" w:type="dxa"/>
              <w:right w:w="15" w:type="dxa"/>
            </w:tcMar>
            <w:vAlign w:val="center"/>
          </w:tcPr>
          <w:p w:rsidR="00E77BC1" w:rsidRPr="00E33EBC" w:rsidP="009251E2" w14:paraId="505B758D" w14:textId="77777777">
            <w:pPr>
              <w:spacing w:after="120"/>
              <w:jc w:val="center"/>
              <w:rPr>
                <w:b/>
                <w:bCs/>
                <w:color w:val="000000" w:themeColor="text1"/>
                <w:sz w:val="20"/>
                <w:szCs w:val="20"/>
              </w:rPr>
            </w:pPr>
            <w:r w:rsidRPr="00E33EBC">
              <w:rPr>
                <w:b/>
                <w:bCs/>
                <w:color w:val="000000" w:themeColor="text1"/>
                <w:sz w:val="20"/>
                <w:szCs w:val="20"/>
              </w:rPr>
              <w:t>Totale</w:t>
            </w:r>
          </w:p>
        </w:tc>
        <w:tc>
          <w:tcPr>
            <w:tcW w:w="1165" w:type="dxa"/>
            <w:tcBorders>
              <w:top w:val="single" w:sz="8" w:space="0" w:color="auto"/>
              <w:left w:val="single" w:sz="4"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center"/>
          </w:tcPr>
          <w:p w:rsidR="00E77BC1" w:rsidRPr="00E33EBC" w:rsidP="009251E2" w14:paraId="5FB98FB1" w14:textId="77777777">
            <w:pPr>
              <w:spacing w:after="120"/>
              <w:jc w:val="right"/>
              <w:rPr>
                <w:b/>
                <w:bCs/>
                <w:color w:val="000000" w:themeColor="text1"/>
                <w:sz w:val="20"/>
                <w:szCs w:val="20"/>
              </w:rPr>
            </w:pPr>
            <w:r w:rsidRPr="00E33EBC">
              <w:rPr>
                <w:b/>
                <w:bCs/>
                <w:color w:val="000000" w:themeColor="text1"/>
                <w:sz w:val="20"/>
                <w:szCs w:val="20"/>
              </w:rPr>
              <w:t>4.800.000,00</w:t>
            </w:r>
          </w:p>
        </w:tc>
        <w:tc>
          <w:tcPr>
            <w:tcW w:w="1232"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center"/>
          </w:tcPr>
          <w:p w:rsidR="00E77BC1" w:rsidRPr="00E33EBC" w:rsidP="009251E2" w14:paraId="6CCA6199" w14:textId="77777777">
            <w:pPr>
              <w:spacing w:after="120"/>
              <w:jc w:val="right"/>
              <w:rPr>
                <w:b/>
                <w:bCs/>
                <w:color w:val="000000" w:themeColor="text1"/>
                <w:sz w:val="20"/>
                <w:szCs w:val="20"/>
              </w:rPr>
            </w:pPr>
            <w:r w:rsidRPr="00E33EBC">
              <w:rPr>
                <w:b/>
                <w:bCs/>
                <w:color w:val="000000" w:themeColor="text1"/>
                <w:sz w:val="20"/>
                <w:szCs w:val="20"/>
              </w:rPr>
              <w:t>2.200.000,00</w:t>
            </w:r>
          </w:p>
        </w:tc>
      </w:tr>
    </w:tbl>
    <w:p w:rsidR="00E77BC1" w:rsidRPr="00E33EBC" w:rsidP="070D375A" w14:paraId="4EF1CAA0" w14:textId="73D05C01">
      <w:pPr>
        <w:spacing w:after="120"/>
        <w:jc w:val="both"/>
      </w:pPr>
      <w:r w:rsidRPr="00E33EBC">
        <w:t xml:space="preserve">Ai suddetti oneri si provvede: (i) </w:t>
      </w:r>
      <w:r w:rsidRPr="002378F2">
        <w:rPr>
          <w:b/>
          <w:bCs/>
        </w:rPr>
        <w:t>quanto a 4,8 milioni di euro per l’anno 2026</w:t>
      </w:r>
      <w:r w:rsidRPr="002378F2" w:rsidR="13F542E4">
        <w:rPr>
          <w:b/>
          <w:bCs/>
        </w:rPr>
        <w:t xml:space="preserve"> </w:t>
      </w:r>
      <w:r w:rsidRPr="002378F2" w:rsidR="5E96BBFB">
        <w:rPr>
          <w:b/>
          <w:bCs/>
        </w:rPr>
        <w:t xml:space="preserve">e </w:t>
      </w:r>
      <w:r w:rsidRPr="002378F2" w:rsidR="5E96BBFB">
        <w:rPr>
          <w:b/>
          <w:bCs/>
          <w:color w:val="000000" w:themeColor="text1"/>
        </w:rPr>
        <w:t>a 2,2 milioni di euro per l’anno 2027</w:t>
      </w:r>
      <w:r w:rsidRPr="002378F2" w:rsidR="002378F2">
        <w:t xml:space="preserve"> </w:t>
      </w:r>
      <w:r w:rsidRPr="00E33EBC">
        <w:t>a valere sul Fondo per l'innovazione tecnologica e la digitalizzazione</w:t>
      </w:r>
      <w:r w:rsidR="670A0007">
        <w:t xml:space="preserve"> di cui all'articolo 239 del decreto-legge 19 maggio 2020, n. 34, convertito, con modificazioni, dalla legge 17 luglio 2020, n. </w:t>
      </w:r>
      <w:r w:rsidR="6ACCD0DF">
        <w:t>77</w:t>
      </w:r>
      <w:r w:rsidR="4F2BFACF">
        <w:t>, che presenta le necessarie disponibilità</w:t>
      </w:r>
      <w:r w:rsidRPr="38989184" w:rsidR="40D4BD64">
        <w:rPr>
          <w:color w:val="000000" w:themeColor="text1"/>
        </w:rPr>
        <w:t>.</w:t>
      </w:r>
      <w:r w:rsidR="649BA101">
        <w:t xml:space="preserve"> </w:t>
      </w:r>
    </w:p>
    <w:p w:rsidR="00E77BC1" w:rsidRPr="00E33EBC" w:rsidP="00E77BC1" w14:paraId="37FCA4CA" w14:textId="3149116C">
      <w:pPr>
        <w:spacing w:after="120"/>
        <w:jc w:val="both"/>
        <w:rPr>
          <w:color w:val="FF0000"/>
        </w:rPr>
      </w:pPr>
    </w:p>
    <w:tbl>
      <w:tblPr>
        <w:tblW w:w="9757" w:type="dxa"/>
        <w:tblLook w:val="04A0"/>
      </w:tblPr>
      <w:tblGrid>
        <w:gridCol w:w="2415"/>
        <w:gridCol w:w="2385"/>
        <w:gridCol w:w="2385"/>
        <w:gridCol w:w="2572"/>
      </w:tblGrid>
      <w:tr w14:paraId="110E4F91" w14:textId="77777777" w:rsidTr="67DB6B8B">
        <w:tblPrEx>
          <w:tblW w:w="9757" w:type="dxa"/>
          <w:tblLook w:val="04A0"/>
        </w:tblPrEx>
        <w:trPr>
          <w:trHeight w:val="660"/>
        </w:trPr>
        <w:tc>
          <w:tcPr>
            <w:tcW w:w="241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center"/>
          </w:tcPr>
          <w:p w:rsidR="6A463C57" w:rsidP="6A463C57" w14:paraId="1EF68794" w14:textId="66D5808B">
            <w:pPr>
              <w:spacing w:after="120"/>
              <w:jc w:val="both"/>
              <w:rPr>
                <w:b/>
              </w:rPr>
            </w:pPr>
            <w:r w:rsidRPr="67DB6B8B">
              <w:rPr>
                <w:b/>
              </w:rPr>
              <w:t>Fonte di finanziamento</w:t>
            </w:r>
          </w:p>
        </w:tc>
        <w:tc>
          <w:tcPr>
            <w:tcW w:w="238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center"/>
          </w:tcPr>
          <w:p w:rsidR="6A463C57" w:rsidP="6A463C57" w14:paraId="7FD537B2" w14:textId="27844EDA">
            <w:pPr>
              <w:spacing w:after="120"/>
              <w:jc w:val="both"/>
              <w:rPr>
                <w:b/>
              </w:rPr>
            </w:pPr>
            <w:r w:rsidRPr="67DB6B8B">
              <w:rPr>
                <w:b/>
              </w:rPr>
              <w:t>2026</w:t>
            </w:r>
          </w:p>
        </w:tc>
        <w:tc>
          <w:tcPr>
            <w:tcW w:w="238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center"/>
          </w:tcPr>
          <w:p w:rsidR="6A463C57" w:rsidP="6A463C57" w14:paraId="0E5A65AB" w14:textId="2BFFE617">
            <w:pPr>
              <w:spacing w:after="120"/>
              <w:jc w:val="both"/>
              <w:rPr>
                <w:b/>
              </w:rPr>
            </w:pPr>
            <w:r w:rsidRPr="67DB6B8B">
              <w:rPr>
                <w:b/>
              </w:rPr>
              <w:t>2027</w:t>
            </w:r>
          </w:p>
        </w:tc>
        <w:tc>
          <w:tcPr>
            <w:tcW w:w="2572"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center"/>
          </w:tcPr>
          <w:p w:rsidR="6A463C57" w:rsidP="6A463C57" w14:paraId="120A4A71" w14:textId="7E2354DB">
            <w:pPr>
              <w:spacing w:after="120"/>
              <w:jc w:val="both"/>
              <w:rPr>
                <w:b/>
              </w:rPr>
            </w:pPr>
            <w:r w:rsidRPr="67DB6B8B">
              <w:rPr>
                <w:b/>
              </w:rPr>
              <w:t>Totale</w:t>
            </w:r>
          </w:p>
        </w:tc>
      </w:tr>
      <w:tr w14:paraId="44044202" w14:textId="77777777" w:rsidTr="67DB6B8B">
        <w:tblPrEx>
          <w:tblW w:w="9757" w:type="dxa"/>
          <w:tblLook w:val="04A0"/>
        </w:tblPrEx>
        <w:trPr>
          <w:trHeight w:val="525"/>
        </w:trPr>
        <w:tc>
          <w:tcPr>
            <w:tcW w:w="241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rsidR="6A463C57" w:rsidP="6A463C57" w14:paraId="4B8180E3" w14:textId="52240A98">
            <w:pPr>
              <w:spacing w:after="120"/>
              <w:jc w:val="both"/>
            </w:pPr>
            <w:r w:rsidRPr="67DB6B8B">
              <w:t>Fondo per l’innovazione tecnologica e la digitalizzazione</w:t>
            </w:r>
          </w:p>
        </w:tc>
        <w:tc>
          <w:tcPr>
            <w:tcW w:w="238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rsidR="6A463C57" w:rsidP="6A463C57" w14:paraId="4320020F" w14:textId="1C475548">
            <w:pPr>
              <w:spacing w:after="120"/>
              <w:jc w:val="both"/>
              <w:rPr>
                <w:b/>
              </w:rPr>
            </w:pPr>
            <w:r w:rsidRPr="67DB6B8B">
              <w:rPr>
                <w:b/>
              </w:rPr>
              <w:t xml:space="preserve">€ </w:t>
            </w:r>
            <w:r w:rsidRPr="4F2455FD">
              <w:rPr>
                <w:b/>
                <w:bCs/>
              </w:rPr>
              <w:t>4.800</w:t>
            </w:r>
            <w:r w:rsidRPr="67DB6B8B">
              <w:rPr>
                <w:b/>
              </w:rPr>
              <w:t>.000,00</w:t>
            </w:r>
          </w:p>
        </w:tc>
        <w:tc>
          <w:tcPr>
            <w:tcW w:w="238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rsidR="6A463C57" w:rsidP="6A463C57" w14:paraId="3FA18BC4" w14:textId="4D6C357B">
            <w:pPr>
              <w:spacing w:after="120"/>
              <w:jc w:val="both"/>
            </w:pPr>
            <w:r w:rsidRPr="67DB6B8B">
              <w:t>€ 2.200.000,00</w:t>
            </w:r>
          </w:p>
        </w:tc>
        <w:tc>
          <w:tcPr>
            <w:tcW w:w="2572"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rsidR="6A463C57" w:rsidP="6A463C57" w14:paraId="6031313F" w14:textId="7566C79E">
            <w:pPr>
              <w:spacing w:after="120"/>
              <w:jc w:val="both"/>
              <w:rPr>
                <w:b/>
              </w:rPr>
            </w:pPr>
          </w:p>
        </w:tc>
      </w:tr>
      <w:tr w14:paraId="2ED04C7E" w14:textId="77777777" w:rsidTr="67DB6B8B">
        <w:tblPrEx>
          <w:tblW w:w="9757" w:type="dxa"/>
          <w:tblLook w:val="04A0"/>
        </w:tblPrEx>
        <w:trPr>
          <w:trHeight w:val="495"/>
        </w:trPr>
        <w:tc>
          <w:tcPr>
            <w:tcW w:w="2415" w:type="dxa"/>
            <w:tcMar>
              <w:top w:w="15" w:type="dxa"/>
              <w:left w:w="15" w:type="dxa"/>
              <w:right w:w="15" w:type="dxa"/>
            </w:tcMar>
            <w:vAlign w:val="center"/>
          </w:tcPr>
          <w:p w:rsidR="6A463C57" w:rsidP="6A463C57" w14:paraId="2E7CC8FE" w14:textId="20521287">
            <w:pPr>
              <w:spacing w:after="120"/>
              <w:jc w:val="both"/>
            </w:pPr>
            <w:r w:rsidRPr="67DB6B8B">
              <w:t xml:space="preserve"> </w:t>
            </w:r>
          </w:p>
        </w:tc>
        <w:tc>
          <w:tcPr>
            <w:tcW w:w="238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center"/>
          </w:tcPr>
          <w:p w:rsidR="6A463C57" w:rsidP="6A463C57" w14:paraId="3F6D1B53" w14:textId="40BE786D">
            <w:pPr>
              <w:spacing w:after="120"/>
              <w:jc w:val="both"/>
              <w:rPr>
                <w:b/>
              </w:rPr>
            </w:pPr>
            <w:r w:rsidRPr="67DB6B8B">
              <w:rPr>
                <w:b/>
              </w:rPr>
              <w:t>€ 4.800.000,00</w:t>
            </w:r>
          </w:p>
        </w:tc>
        <w:tc>
          <w:tcPr>
            <w:tcW w:w="238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center"/>
          </w:tcPr>
          <w:p w:rsidR="6A463C57" w:rsidP="6A463C57" w14:paraId="308984C3" w14:textId="2B184B52">
            <w:pPr>
              <w:spacing w:after="120"/>
              <w:jc w:val="both"/>
              <w:rPr>
                <w:b/>
              </w:rPr>
            </w:pPr>
            <w:r w:rsidRPr="67DB6B8B">
              <w:rPr>
                <w:b/>
              </w:rPr>
              <w:t>€ 2.200.000,00</w:t>
            </w:r>
          </w:p>
        </w:tc>
        <w:tc>
          <w:tcPr>
            <w:tcW w:w="2572"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center"/>
          </w:tcPr>
          <w:p w:rsidR="6A463C57" w:rsidP="6A463C57" w14:paraId="154BB177" w14:textId="44B7FFD3">
            <w:pPr>
              <w:spacing w:after="120"/>
              <w:jc w:val="both"/>
              <w:rPr>
                <w:b/>
              </w:rPr>
            </w:pPr>
            <w:r w:rsidRPr="67DB6B8B">
              <w:rPr>
                <w:b/>
              </w:rPr>
              <w:t>€ 7.000.000,00</w:t>
            </w:r>
          </w:p>
        </w:tc>
      </w:tr>
    </w:tbl>
    <w:p w:rsidR="6CF26054" w:rsidP="6A463C57" w14:paraId="7720E018" w14:textId="1273FF8D">
      <w:pPr>
        <w:spacing w:after="120"/>
        <w:jc w:val="both"/>
        <w:rPr>
          <w:color w:val="FF0000"/>
        </w:rPr>
      </w:pPr>
    </w:p>
    <w:p w:rsidR="00E77BC1" w:rsidRPr="00E33EBC" w:rsidP="00E77BC1" w14:paraId="724A9985" w14:textId="6855E0F1">
      <w:pPr>
        <w:spacing w:after="120"/>
        <w:jc w:val="both"/>
      </w:pPr>
      <w:r w:rsidRPr="00E33EBC">
        <w:t xml:space="preserve">Ai fini della gestione dell’ANGEMAR e delle correlate attività di assistenza tecnica, si autorizza la spesa di 1,2 milioni </w:t>
      </w:r>
      <w:r w:rsidRPr="002378F2">
        <w:rPr>
          <w:color w:val="000000" w:themeColor="text1"/>
        </w:rPr>
        <w:t xml:space="preserve">di euro </w:t>
      </w:r>
      <w:r w:rsidRPr="002378F2" w:rsidR="53049D73">
        <w:rPr>
          <w:color w:val="000000" w:themeColor="text1"/>
        </w:rPr>
        <w:t xml:space="preserve">a decorrere dall’anno </w:t>
      </w:r>
      <w:r w:rsidRPr="002378F2">
        <w:rPr>
          <w:color w:val="000000" w:themeColor="text1"/>
        </w:rPr>
        <w:t>2028, di cui 1 milione di euro per le attività di gestione e assistenza e 200.000 euro per la fornitura e produzione del libretto di navigazione, incluse le attività conseguenti alle richieste di sostituzione intervenute nel corso dell’anno, di cui si propone l’iscrizione nel capitolo 7621 del Ministero delle infrastrutture e dei trasporti</w:t>
      </w:r>
      <w:r w:rsidRPr="00E33EBC">
        <w:t>.</w:t>
      </w:r>
    </w:p>
    <w:p w:rsidR="00E77BC1" w:rsidP="002378F2" w14:paraId="6665AE08" w14:textId="22F35EB7">
      <w:pPr>
        <w:spacing w:after="120"/>
        <w:jc w:val="both"/>
      </w:pPr>
      <w:r w:rsidRPr="002378F2">
        <w:rPr>
          <w:color w:val="000000" w:themeColor="text1"/>
        </w:rPr>
        <w:t xml:space="preserve">Ai suddetti oneri si provvede mediante corrispondente riduzione dell’autorizzazione di spesa </w:t>
      </w:r>
      <w:r w:rsidRPr="002378F2">
        <w:rPr>
          <w:b/>
          <w:color w:val="000000" w:themeColor="text1"/>
        </w:rPr>
        <w:t xml:space="preserve">di cui </w:t>
      </w:r>
      <w:r w:rsidRPr="002378F2" w:rsidR="60BF1314">
        <w:rPr>
          <w:b/>
          <w:bCs/>
          <w:color w:val="000000" w:themeColor="text1"/>
        </w:rPr>
        <w:t>all'articolo 1, comma 505, della legge 29 dicembre 2022, n. 197</w:t>
      </w:r>
      <w:r w:rsidRPr="002378F2" w:rsidR="7263C850">
        <w:rPr>
          <w:b/>
          <w:bCs/>
          <w:color w:val="000000" w:themeColor="text1"/>
        </w:rPr>
        <w:t xml:space="preserve">, </w:t>
      </w:r>
      <w:r w:rsidRPr="002378F2" w:rsidR="714BE2A5">
        <w:rPr>
          <w:color w:val="000000" w:themeColor="text1"/>
        </w:rPr>
        <w:t xml:space="preserve">concernente la compensazione agli enti proprietari delle strade dei minori introiti derivanti dalla riduzione dell’indennizzo per la maggiore usura della strada a favore delle macchine agricole, in relazione alla quale, a decorrere dall’anno 2028, risulta una disponibilità di 2,2 milioni di euro annui. Al riguardo, si rappresenta che l’utilizzo delle </w:t>
      </w:r>
      <w:r w:rsidRPr="002378F2" w:rsidR="714BE2A5">
        <w:rPr>
          <w:color w:val="000000" w:themeColor="text1"/>
        </w:rPr>
        <w:t>predette</w:t>
      </w:r>
      <w:r w:rsidRPr="002378F2" w:rsidR="714BE2A5">
        <w:rPr>
          <w:color w:val="000000" w:themeColor="text1"/>
        </w:rPr>
        <w:t xml:space="preserve"> risorse non pregiudica l’attuazione di programmi o progetti in essere</w:t>
      </w:r>
      <w:r w:rsidRPr="002378F2" w:rsidR="631179C0">
        <w:rPr>
          <w:color w:val="000000" w:themeColor="text1"/>
        </w:rPr>
        <w:t>.</w:t>
      </w:r>
      <w:r w:rsidRPr="002378F2" w:rsidR="714BE2A5">
        <w:rPr>
          <w:color w:val="000000" w:themeColor="text1"/>
        </w:rPr>
        <w:t xml:space="preserve"> </w:t>
      </w:r>
    </w:p>
    <w:p w:rsidR="00E77BC1" w:rsidP="00E77BC1" w14:paraId="65D2698E" w14:textId="77777777">
      <w:pPr>
        <w:spacing w:after="120"/>
      </w:pPr>
    </w:p>
    <w:p w:rsidR="00E77BC1" w:rsidRPr="00555E07" w:rsidP="00E77BC1" w14:paraId="54286811" w14:textId="2E214AEF">
      <w:pPr>
        <w:pStyle w:val="Heading3"/>
        <w:spacing w:before="0" w:after="120"/>
        <w:rPr>
          <w:rFonts w:eastAsia="Times New Roman"/>
          <w:color w:val="000000" w:themeColor="text1"/>
        </w:rPr>
      </w:pPr>
      <w:bookmarkStart w:id="42" w:name="_Toc213844847"/>
      <w:bookmarkStart w:id="43" w:name="_Toc220077556"/>
      <w:r w:rsidRPr="00555E07">
        <w:rPr>
          <w:rFonts w:eastAsia="Times New Roman"/>
          <w:color w:val="000000" w:themeColor="text1"/>
        </w:rPr>
        <w:t xml:space="preserve">ART. </w:t>
      </w:r>
      <w:bookmarkEnd w:id="42"/>
      <w:r>
        <w:rPr>
          <w:rFonts w:eastAsia="Times New Roman"/>
          <w:color w:val="000000" w:themeColor="text1"/>
        </w:rPr>
        <w:t>12</w:t>
      </w:r>
      <w:r w:rsidRPr="00555E07">
        <w:rPr>
          <w:rFonts w:eastAsia="Times New Roman"/>
          <w:color w:val="000000" w:themeColor="text1"/>
        </w:rPr>
        <w:t xml:space="preserve">                                                                                                                                                  </w:t>
      </w:r>
      <w:r w:rsidRPr="00555E07">
        <w:rPr>
          <w:rFonts w:eastAsia="Times New Roman"/>
          <w:color w:val="000000" w:themeColor="text1"/>
        </w:rPr>
        <w:t xml:space="preserve">   (</w:t>
      </w:r>
      <w:r w:rsidRPr="00555E07">
        <w:rPr>
          <w:rFonts w:eastAsia="Times New Roman"/>
          <w:color w:val="000000" w:themeColor="text1"/>
        </w:rPr>
        <w:t>Misure urgenti in materia di microimprese)</w:t>
      </w:r>
      <w:bookmarkEnd w:id="43"/>
    </w:p>
    <w:p w:rsidR="00E77BC1" w:rsidRPr="00555E07" w:rsidP="00E77BC1" w14:paraId="2D2D3B34" w14:textId="77777777">
      <w:pPr>
        <w:spacing w:after="120"/>
        <w:jc w:val="both"/>
      </w:pPr>
      <w:r w:rsidRPr="00555E07">
        <w:rPr>
          <w:rFonts w:eastAsiaTheme="majorEastAsia"/>
          <w:szCs w:val="28"/>
        </w:rPr>
        <w:t xml:space="preserve">Al </w:t>
      </w:r>
      <w:r w:rsidRPr="00555E07">
        <w:rPr>
          <w:rFonts w:eastAsiaTheme="majorEastAsia"/>
          <w:b/>
          <w:szCs w:val="28"/>
          <w:u w:val="single"/>
        </w:rPr>
        <w:t>comma 1</w:t>
      </w:r>
      <w:r w:rsidRPr="00555E07">
        <w:rPr>
          <w:rFonts w:eastAsiaTheme="majorEastAsia"/>
          <w:szCs w:val="28"/>
        </w:rPr>
        <w:t xml:space="preserve">, si prevede la modifica del </w:t>
      </w:r>
      <w:r w:rsidRPr="00555E07">
        <w:t>decreto legislativo 30 giugno 2003, n. 196, recante il Codice in materia di protezione dei dati personali, mediante l’introduzione del nuovo articolo 2-</w:t>
      </w:r>
      <w:r w:rsidRPr="00555E07">
        <w:rPr>
          <w:i/>
        </w:rPr>
        <w:t>quaterdecies</w:t>
      </w:r>
      <w:r w:rsidRPr="00555E07">
        <w:t>.1, rubricato “</w:t>
      </w:r>
      <w:r w:rsidRPr="00555E07">
        <w:rPr>
          <w:i/>
        </w:rPr>
        <w:t>Procedura di notifica delle violazioni di dati personali da parte di microimprese</w:t>
      </w:r>
      <w:r w:rsidRPr="00555E07">
        <w:t>”.</w:t>
      </w:r>
    </w:p>
    <w:p w:rsidR="00E77BC1" w:rsidRPr="00555E07" w:rsidP="00E77BC1" w14:paraId="3B450A5D" w14:textId="77777777">
      <w:pPr>
        <w:spacing w:after="120"/>
        <w:jc w:val="both"/>
        <w:rPr>
          <w:rFonts w:eastAsiaTheme="majorEastAsia"/>
        </w:rPr>
      </w:pPr>
      <w:r w:rsidRPr="00555E07">
        <w:t>Il nuovo articolo 2-</w:t>
      </w:r>
      <w:r w:rsidRPr="00555E07">
        <w:rPr>
          <w:i/>
        </w:rPr>
        <w:t>quaterdecies.1</w:t>
      </w:r>
      <w:r w:rsidRPr="00555E07">
        <w:t xml:space="preserve"> introduce, ai </w:t>
      </w:r>
      <w:r w:rsidRPr="00555E07">
        <w:rPr>
          <w:u w:val="single"/>
        </w:rPr>
        <w:t>commi 1 e 2</w:t>
      </w:r>
      <w:r w:rsidRPr="00555E07">
        <w:t xml:space="preserve">, una </w:t>
      </w:r>
      <w:r w:rsidRPr="00555E07">
        <w:rPr>
          <w:rFonts w:eastAsiaTheme="majorEastAsia"/>
        </w:rPr>
        <w:t>misura di semplificazione per le microimprese che si avvalgono di meno di cinque dipendenti ai fini dell’adempimento dell’obbligo di cui all’articolo 33 del regolamento (UE) n. 2016/679 “</w:t>
      </w:r>
      <w:r w:rsidRPr="00555E07">
        <w:rPr>
          <w:rFonts w:eastAsiaTheme="majorEastAsia"/>
          <w:i/>
        </w:rPr>
        <w:t>Regolamento del Parlamento europeo e del Consiglio relativo alla protezione delle persone fisiche con riguardo al trattamento dei dati personali, nonché alla libera circolazione di tali dati e che abroga la direttiva 95/46/CE (regolamento generale sulla protezione dei dati</w:t>
      </w:r>
      <w:r w:rsidRPr="00555E07">
        <w:rPr>
          <w:rFonts w:eastAsiaTheme="majorEastAsia"/>
        </w:rPr>
        <w:t>)” o GDPR. Il citato articolo 33 del GDPR prevede infatti che, in caso di violazione dei dati personali, il titolare del trattamento deve notificare la violazione all’autorità di controllo competente senza ingiustificato ritardo e, ove possibile, entro 72 ore dal momento in cui ne è venuto a conoscenza, a meno che sia improbabile che la violazione dei dati personali presenti un rischio per i diritti e le libertà delle persone fisiche. Al riguardo, il comma 1 della disposizione in esame prevede che le imprese con meno di cinque dipendenti si avvalgono per l’adempimento di tale obbligo di una specifica procedura di notifica.</w:t>
      </w:r>
    </w:p>
    <w:p w:rsidR="00E77BC1" w:rsidRPr="00555E07" w:rsidP="00E77BC1" w14:paraId="62AB6EC5" w14:textId="00727F0B">
      <w:pPr>
        <w:spacing w:after="120"/>
        <w:jc w:val="both"/>
        <w:rPr>
          <w:rFonts w:eastAsiaTheme="majorEastAsia"/>
        </w:rPr>
      </w:pPr>
      <w:r w:rsidRPr="00555E07">
        <w:rPr>
          <w:rFonts w:eastAsiaTheme="majorEastAsia"/>
        </w:rPr>
        <w:t xml:space="preserve">Al </w:t>
      </w:r>
      <w:r w:rsidRPr="1776D51D">
        <w:rPr>
          <w:rFonts w:eastAsiaTheme="majorEastAsia"/>
        </w:rPr>
        <w:t>comma 2</w:t>
      </w:r>
      <w:r w:rsidRPr="00555E07">
        <w:rPr>
          <w:rFonts w:eastAsiaTheme="majorEastAsia"/>
        </w:rPr>
        <w:t xml:space="preserve"> </w:t>
      </w:r>
      <w:r w:rsidRPr="1776D51D" w:rsidR="36CD7B4E">
        <w:rPr>
          <w:rFonts w:eastAsiaTheme="majorEastAsia"/>
        </w:rPr>
        <w:t xml:space="preserve">del citato </w:t>
      </w:r>
      <w:r w:rsidR="36CD7B4E">
        <w:t>articolo 2-</w:t>
      </w:r>
      <w:r w:rsidRPr="1776D51D" w:rsidR="36CD7B4E">
        <w:rPr>
          <w:i/>
          <w:iCs/>
        </w:rPr>
        <w:t>quaterdecies.1</w:t>
      </w:r>
      <w:r w:rsidRPr="1776D51D" w:rsidR="668B1233">
        <w:rPr>
          <w:rFonts w:eastAsiaTheme="majorEastAsia"/>
        </w:rPr>
        <w:t xml:space="preserve"> </w:t>
      </w:r>
      <w:r w:rsidRPr="00555E07">
        <w:rPr>
          <w:rFonts w:eastAsiaTheme="majorEastAsia"/>
        </w:rPr>
        <w:t xml:space="preserve">si prevede che la </w:t>
      </w:r>
      <w:r w:rsidRPr="1776D51D" w:rsidR="668B1233">
        <w:rPr>
          <w:rFonts w:eastAsiaTheme="majorEastAsia"/>
        </w:rPr>
        <w:t>procedura</w:t>
      </w:r>
      <w:r w:rsidRPr="1776D51D" w:rsidR="22B0CB3E">
        <w:rPr>
          <w:rFonts w:eastAsiaTheme="majorEastAsia"/>
        </w:rPr>
        <w:t xml:space="preserve"> di cui al comma 1</w:t>
      </w:r>
      <w:r w:rsidRPr="00555E07">
        <w:rPr>
          <w:rFonts w:eastAsiaTheme="majorEastAsia"/>
        </w:rPr>
        <w:t xml:space="preserve"> è disciplinata con provvedimento del Garante per la protezione dei dati personali, prevedendo il ricorso a strumenti di autovalutazione guidata e un canale di assistenza semplificata che forniscano supporto ai soggetti tenuti alla notifica. </w:t>
      </w:r>
    </w:p>
    <w:p w:rsidR="00E77BC1" w:rsidRPr="006A39FD" w:rsidP="00E77BC1" w14:paraId="65C5655D" w14:textId="786BBBA2">
      <w:pPr>
        <w:spacing w:after="120"/>
        <w:jc w:val="both"/>
        <w:rPr>
          <w:rFonts w:eastAsiaTheme="majorEastAsia"/>
        </w:rPr>
      </w:pPr>
      <w:r w:rsidRPr="00555E07">
        <w:rPr>
          <w:rFonts w:eastAsiaTheme="majorEastAsia"/>
        </w:rPr>
        <w:t xml:space="preserve">Il </w:t>
      </w:r>
      <w:r w:rsidRPr="00555E07">
        <w:rPr>
          <w:rFonts w:eastAsiaTheme="majorEastAsia"/>
          <w:b/>
          <w:u w:val="single"/>
        </w:rPr>
        <w:t xml:space="preserve">comma </w:t>
      </w:r>
      <w:r>
        <w:rPr>
          <w:rFonts w:eastAsiaTheme="majorEastAsia"/>
          <w:b/>
          <w:u w:val="single"/>
        </w:rPr>
        <w:t>2</w:t>
      </w:r>
      <w:r w:rsidRPr="00555E07">
        <w:rPr>
          <w:rFonts w:eastAsiaTheme="majorEastAsia"/>
        </w:rPr>
        <w:t xml:space="preserve"> dell’articolo in commento prevede </w:t>
      </w:r>
      <w:r w:rsidRPr="00555E07">
        <w:rPr>
          <w:rFonts w:eastAsiaTheme="majorEastAsia"/>
          <w:b/>
        </w:rPr>
        <w:t xml:space="preserve">che dall’attuazione delle disposizioni di cui ai commi 1 non devono derivare nuovi o maggiori oneri a carico della finanza pubblica e che l’amministrazione competente provvede agli adempimenti previsti con le risorse umane, strumentali e finanziarie disponibili a legislazione vigente.  </w:t>
      </w:r>
      <w:r w:rsidRPr="00555E07">
        <w:rPr>
          <w:rFonts w:eastAsiaTheme="majorEastAsia"/>
        </w:rPr>
        <w:t xml:space="preserve">All’eventuale aggravio di compiti posti in capo al Garante per la protezione dei dati personali, infatti, si farà fronte mediante l’utilizzo delle risorse umane, strumentali e finanziarie disponibili a legislazione vigente, in conformità con l’art. 17, comma 6, della legge 31 dicembre 2009, n. 196. La previsione di strumenti di autovalutazione guidata e di un canale di assistenza semplificata non implica l’istituzione di nuove strutture o funzioni, ma si configura come modalità organizzativa interna, da disciplinarsi con provvedimento del Garante, rientrante nelle competenze già attribuite dall’art. 154 del d.lgs. </w:t>
      </w:r>
      <w:r w:rsidRPr="006A39FD">
        <w:rPr>
          <w:rFonts w:eastAsiaTheme="majorEastAsia"/>
        </w:rPr>
        <w:t>196/2003.</w:t>
      </w:r>
    </w:p>
    <w:p w:rsidR="00E77BC1" w:rsidRPr="006A39FD" w:rsidP="00E77BC1" w14:paraId="60CE8CE8" w14:textId="77777777">
      <w:pPr>
        <w:spacing w:after="120"/>
        <w:jc w:val="both"/>
        <w:rPr>
          <w:rFonts w:eastAsiaTheme="majorEastAsia"/>
        </w:rPr>
      </w:pPr>
      <w:r w:rsidRPr="006A39FD">
        <w:rPr>
          <w:rFonts w:eastAsiaTheme="majorEastAsia"/>
        </w:rPr>
        <w:t xml:space="preserve">I </w:t>
      </w:r>
      <w:r w:rsidRPr="006A39FD">
        <w:rPr>
          <w:rFonts w:eastAsiaTheme="majorEastAsia"/>
          <w:b/>
          <w:u w:val="single"/>
        </w:rPr>
        <w:t>commi 3 e 4</w:t>
      </w:r>
      <w:r w:rsidRPr="006A39FD">
        <w:rPr>
          <w:rFonts w:eastAsiaTheme="majorEastAsia"/>
        </w:rPr>
        <w:t xml:space="preserve"> recano disposizioni volte ad agevolare le attività delle imprese del comparto dell’estetica e dell’acconciatura.  </w:t>
      </w:r>
    </w:p>
    <w:p w:rsidR="00E77BC1" w:rsidRPr="00DF7938" w:rsidP="00E77BC1" w14:paraId="6F007E3D" w14:textId="7D7F6A53">
      <w:pPr>
        <w:spacing w:after="120"/>
        <w:jc w:val="both"/>
        <w:rPr>
          <w:b/>
          <w:strike/>
          <w:color w:val="EE0000"/>
        </w:rPr>
      </w:pPr>
      <w:r w:rsidRPr="006A39FD">
        <w:rPr>
          <w:rFonts w:eastAsiaTheme="majorEastAsia"/>
        </w:rPr>
        <w:t xml:space="preserve">In particolare, </w:t>
      </w:r>
      <w:r w:rsidRPr="6513D602" w:rsidR="4740B873">
        <w:rPr>
          <w:rFonts w:eastAsiaTheme="majorEastAsia"/>
        </w:rPr>
        <w:t xml:space="preserve">i </w:t>
      </w:r>
      <w:r w:rsidRPr="6513D602" w:rsidR="4740B873">
        <w:rPr>
          <w:rFonts w:eastAsiaTheme="majorEastAsia"/>
        </w:rPr>
        <w:t>predetti</w:t>
      </w:r>
      <w:r w:rsidRPr="6513D602" w:rsidR="4740B873">
        <w:rPr>
          <w:rFonts w:eastAsiaTheme="majorEastAsia"/>
        </w:rPr>
        <w:t xml:space="preserve"> commi</w:t>
      </w:r>
      <w:r w:rsidRPr="006A39FD">
        <w:rPr>
          <w:rFonts w:eastAsiaTheme="majorEastAsia"/>
        </w:rPr>
        <w:t xml:space="preserve"> modificano </w:t>
      </w:r>
      <w:r w:rsidRPr="6513D602" w:rsidR="321E7883">
        <w:rPr>
          <w:rFonts w:eastAsiaTheme="majorEastAsia"/>
        </w:rPr>
        <w:t>rispettivamente</w:t>
      </w:r>
      <w:r w:rsidRPr="6513D602">
        <w:rPr>
          <w:rFonts w:eastAsiaTheme="majorEastAsia"/>
        </w:rPr>
        <w:t xml:space="preserve"> </w:t>
      </w:r>
      <w:r w:rsidRPr="006A39FD">
        <w:rPr>
          <w:rFonts w:eastAsiaTheme="majorEastAsia"/>
        </w:rPr>
        <w:t xml:space="preserve">l’articolo 3, comma 01, della legge 4 gennaio 1990, n. 1, nonché l’articolo 3, comma 5-bis, della legge 17 agosto 2005, n. 174, al fine di prevedere l’introduzione della figura del responsabile tecnico temporaneo. La disciplina attualmente vigente per i settori dell’estetica e dell’acconciatura prevede, infatti, che a ricoprire il ruolo del responsabile tecnico sia esclusivamente un soggetto in possesso dell’abilitazione professionale, senza tuttavia disciplinare l’ipotesi in cui quest’ultimo si assenti dal lavoro per brevi periodi, qualora all’interno del salone non vi sia un soggetto provvisto dell’abilitazione professionale. Per ovviare a tale problematica, </w:t>
      </w:r>
      <w:r>
        <w:rPr>
          <w:rFonts w:eastAsiaTheme="majorEastAsia"/>
        </w:rPr>
        <w:t>si prevede che</w:t>
      </w:r>
      <w:r w:rsidRPr="006A39FD">
        <w:rPr>
          <w:rFonts w:eastAsiaTheme="majorEastAsia"/>
        </w:rPr>
        <w:t>, per un periodo non superiore a trenta giorni, prorogabili fino a un massimo di novanta giorni per comprovati motivi di salute, l’impresa può indicare quale responsabile tecnico temporaneo un dipendente o un familiare coadiuvante o un collaboratore con un'esperienza professionale, maturata nel ramo di attività cui si riferisce la prestazione, non inferiore a tre anni. Si prevede inoltre che il periodo in cui il sostituto è adibito all'attività di responsabile tecnico temporaneo deve essere tempestivamente comunicato allo sportello unico dell’attività produttive (SUAP) e alla Camera di commercio, industria, artigianato e agricoltura territorialmente competente.</w:t>
      </w:r>
      <w:r w:rsidRPr="006A39FD">
        <w:rPr>
          <w:b/>
        </w:rPr>
        <w:t xml:space="preserve"> </w:t>
      </w:r>
      <w:r>
        <w:t>Le disposizioni in</w:t>
      </w:r>
      <w:r w:rsidR="2D9FCC35">
        <w:t xml:space="preserve"> commento, limitandosi a regolamentare la figura del responsabile tecnico temporaneo</w:t>
      </w:r>
      <w:r w:rsidR="5F4BB7ED">
        <w:t xml:space="preserve"> </w:t>
      </w:r>
      <w:r w:rsidR="7B7CB557">
        <w:t>ne</w:t>
      </w:r>
      <w:r w:rsidR="5F4BB7ED">
        <w:t>i settori dell’estetica e dell’acconciatura</w:t>
      </w:r>
      <w:r w:rsidRPr="6EBC9785" w:rsidR="2D9FCC35">
        <w:rPr>
          <w:b/>
          <w:bCs/>
        </w:rPr>
        <w:t>,</w:t>
      </w:r>
      <w:r w:rsidRPr="006A39FD">
        <w:rPr>
          <w:b/>
        </w:rPr>
        <w:t xml:space="preserve"> hanno carattere ordinamentale e non determinano nuovi o maggiori oneri a carico della finanza pubblica.</w:t>
      </w:r>
    </w:p>
    <w:p w:rsidR="00EF5BED" w:rsidRPr="00EF5BED" w:rsidP="00EF5BED" w14:paraId="17FE8140" w14:textId="03B99CC8">
      <w:pPr>
        <w:spacing w:after="120"/>
        <w:jc w:val="both"/>
        <w:rPr>
          <w:b/>
          <w:bCs/>
          <w:color w:val="00B050"/>
        </w:rPr>
      </w:pPr>
      <w:r w:rsidRPr="00EF5BED">
        <w:rPr>
          <w:b/>
          <w:bCs/>
          <w:color w:val="00B050"/>
          <w:highlight w:val="lightGray"/>
        </w:rPr>
        <w:t xml:space="preserve">Il </w:t>
      </w:r>
      <w:r w:rsidRPr="00EF5BED">
        <w:rPr>
          <w:b/>
          <w:bCs/>
          <w:color w:val="00B050"/>
          <w:highlight w:val="lightGray"/>
          <w:u w:val="single"/>
        </w:rPr>
        <w:t>comma 5</w:t>
      </w:r>
      <w:r w:rsidRPr="00EF5BED">
        <w:rPr>
          <w:b/>
          <w:bCs/>
          <w:color w:val="00B050"/>
          <w:highlight w:val="lightGray"/>
        </w:rPr>
        <w:t xml:space="preserve"> prevede </w:t>
      </w:r>
      <w:r w:rsidRPr="00EF5BED">
        <w:rPr>
          <w:rFonts w:eastAsiaTheme="majorEastAsia"/>
          <w:b/>
          <w:bCs/>
          <w:color w:val="00B050"/>
          <w:szCs w:val="28"/>
          <w:highlight w:val="lightGray"/>
        </w:rPr>
        <w:t>l’introduzione di modalità semplificate di aggiornamento dei titoli di qualificazione FER, mediante l’integrale sostituzione del comma 7 del</w:t>
      </w:r>
      <w:r w:rsidRPr="00EF5BED">
        <w:rPr>
          <w:rFonts w:eastAsiaTheme="majorEastAsia"/>
          <w:b/>
          <w:bCs/>
          <w:color w:val="00B050"/>
          <w:szCs w:val="28"/>
          <w:highlight w:val="lightGray"/>
        </w:rPr>
        <w:t>l’articolo 15 del decreto legislativo 3 marzo 2011, n. 28</w:t>
      </w:r>
      <w:r w:rsidRPr="00EF5BED">
        <w:rPr>
          <w:rFonts w:eastAsiaTheme="majorEastAsia"/>
          <w:b/>
          <w:bCs/>
          <w:color w:val="00B050"/>
          <w:szCs w:val="28"/>
          <w:highlight w:val="lightGray"/>
        </w:rPr>
        <w:t>. Al riguardo, si evidenzia preliminarmente che gli attestati rilasciati agli installatori d’impianti a seguito di corso di formazione certificano la qualifica professionale per l’attività di installazione e di manutenzione straordinaria di caldaie, caminetti e stufe a biomassa, di sistemi solari fotovoltaici e termici, di sistemi geotermici e di pompe di calore. La pubblicità dei titoli di qualificazione FER nella visura camerale delle imprese delle Camere di commercio industria, artigianato e agricoltura (CCIAA) è prevista dall’articolo 15, comma 7, che nella formulazione attualmente vigente prevede quanto segue:  “</w:t>
      </w:r>
      <w:r w:rsidRPr="00EF5BED">
        <w:rPr>
          <w:rFonts w:eastAsiaTheme="majorEastAsia"/>
          <w:b/>
          <w:bCs/>
          <w:i/>
          <w:color w:val="00B050"/>
          <w:szCs w:val="28"/>
          <w:highlight w:val="lightGray"/>
        </w:rPr>
        <w:t>A decorrere dal 1° gennaio 2022, i titoli di qualificazione di cui al presente articolo sono inseriti nella visura camerale delle imprese dalle camere di commercio, industria, artigianato e agricoltura competenti per territorio, che li ricevono dai soggetti che li rilasciano</w:t>
      </w:r>
      <w:r w:rsidRPr="00EF5BED">
        <w:rPr>
          <w:rFonts w:eastAsiaTheme="majorEastAsia"/>
          <w:b/>
          <w:bCs/>
          <w:color w:val="00B050"/>
          <w:szCs w:val="28"/>
          <w:highlight w:val="lightGray"/>
        </w:rPr>
        <w:t xml:space="preserve">.” Tuttavia, in assenza di indicazioni operative, la modalità di gestione degli attestati FER risulta, allo stato, alquanto diversificata nell’ambito delle singole CCIAA, creando diseconomie ed incertezza fra le imprese interessate. La disposizione normativa in esame, al fine di garantire uniformità e tracciabilità della formazione e dell'aggiornamento professionale dei responsabili tecnici delle imprese operanti nel settore dell'installazione e manutenzione di impianti alimentati da fonti di energia rinnovabile, introduce, quindi, l’obbligo per gli enti di formazione di utilizzare una modulistica </w:t>
      </w:r>
      <w:r w:rsidRPr="00EF5BED">
        <w:rPr>
          <w:rFonts w:eastAsiaTheme="majorEastAsia"/>
          <w:b/>
          <w:bCs/>
          <w:i/>
          <w:color w:val="00B050"/>
          <w:szCs w:val="28"/>
          <w:highlight w:val="lightGray"/>
        </w:rPr>
        <w:t>standard</w:t>
      </w:r>
      <w:r w:rsidRPr="00EF5BED">
        <w:rPr>
          <w:rFonts w:eastAsiaTheme="majorEastAsia"/>
          <w:b/>
          <w:bCs/>
          <w:color w:val="00B050"/>
          <w:szCs w:val="28"/>
          <w:highlight w:val="lightGray"/>
        </w:rPr>
        <w:t xml:space="preserve"> e di trasmettere l’attestato entro dieci giorni dalla conclusione del corso. Si prevede inoltre l’adozione, in sede di Conferenza Unificata, di un </w:t>
      </w:r>
      <w:r w:rsidRPr="00EF5BED">
        <w:rPr>
          <w:rFonts w:eastAsiaTheme="majorEastAsia"/>
          <w:b/>
          <w:bCs/>
          <w:i/>
          <w:color w:val="00B050"/>
          <w:szCs w:val="28"/>
          <w:highlight w:val="lightGray"/>
        </w:rPr>
        <w:t>modulo unico digitale</w:t>
      </w:r>
      <w:r w:rsidRPr="00EF5BED">
        <w:rPr>
          <w:rFonts w:eastAsiaTheme="majorEastAsia"/>
          <w:b/>
          <w:bCs/>
          <w:color w:val="00B050"/>
          <w:szCs w:val="28"/>
          <w:highlight w:val="lightGray"/>
        </w:rPr>
        <w:t xml:space="preserve"> interoperabile per la trasmissione degli attestati da parte degli enti di formazione accreditati alle Camere di commercio competenti, in modo da garantire l’aggiornamento automatico delle qualifiche professionali.</w:t>
      </w:r>
      <w:r w:rsidRPr="00EF5BED">
        <w:rPr>
          <w:b/>
          <w:bCs/>
          <w:color w:val="00B050"/>
          <w:highlight w:val="lightGray"/>
        </w:rPr>
        <w:t xml:space="preserve"> La disposizione ha carattere ordinamentale e, pertanto, non determina nuovi o maggiori oneri a carico della finanza pubblica.</w:t>
      </w:r>
    </w:p>
    <w:p w:rsidR="00E77BC1" w:rsidRPr="00EF5BED" w:rsidP="00E77BC1" w14:paraId="00F7E1D3" w14:textId="19B12688">
      <w:pPr>
        <w:spacing w:after="120"/>
        <w:rPr>
          <w:b/>
          <w:bCs/>
        </w:rPr>
      </w:pPr>
    </w:p>
    <w:p w:rsidR="00104D82" w:rsidRPr="004D06AD" w:rsidP="00104D82" w14:paraId="4B5389EA" w14:textId="4CD35678">
      <w:pPr>
        <w:pStyle w:val="Heading3"/>
        <w:spacing w:before="0" w:after="120"/>
        <w:rPr>
          <w:rFonts w:eastAsia="Times New Roman"/>
          <w:color w:val="000000" w:themeColor="text1"/>
        </w:rPr>
      </w:pPr>
      <w:bookmarkStart w:id="44" w:name="_Toc213844848"/>
      <w:bookmarkStart w:id="45" w:name="_Toc220077557"/>
      <w:r w:rsidRPr="004D06AD">
        <w:rPr>
          <w:rFonts w:eastAsia="Times New Roman"/>
          <w:color w:val="000000" w:themeColor="text1"/>
        </w:rPr>
        <w:t xml:space="preserve">ART. </w:t>
      </w:r>
      <w:bookmarkEnd w:id="44"/>
      <w:r>
        <w:rPr>
          <w:rFonts w:eastAsia="Times New Roman"/>
          <w:color w:val="000000" w:themeColor="text1"/>
        </w:rPr>
        <w:t>13</w:t>
      </w:r>
      <w:r w:rsidRPr="004D06AD">
        <w:rPr>
          <w:rFonts w:eastAsia="Times New Roman"/>
          <w:color w:val="000000" w:themeColor="text1"/>
        </w:rPr>
        <w:t xml:space="preserve">                                                                                                                                                 </w:t>
      </w:r>
      <w:r w:rsidRPr="004D06AD">
        <w:rPr>
          <w:rFonts w:eastAsia="Times New Roman"/>
          <w:color w:val="000000" w:themeColor="text1"/>
        </w:rPr>
        <w:t xml:space="preserve">   (</w:t>
      </w:r>
      <w:r w:rsidRPr="004D06AD">
        <w:t xml:space="preserve">Misure urgenti di semplificazione in materia </w:t>
      </w:r>
      <w:r w:rsidRPr="006B4ABA">
        <w:rPr>
          <w:color w:val="000000" w:themeColor="text1"/>
        </w:rPr>
        <w:t xml:space="preserve">di </w:t>
      </w:r>
      <w:r w:rsidRPr="006B4ABA" w:rsidR="1003F6AC">
        <w:rPr>
          <w:color w:val="000000" w:themeColor="text1"/>
        </w:rPr>
        <w:t>comunicazioni elettroniche</w:t>
      </w:r>
      <w:r w:rsidRPr="006B4ABA" w:rsidR="006B4ABA">
        <w:rPr>
          <w:color w:val="000000" w:themeColor="text1"/>
        </w:rPr>
        <w:t>)</w:t>
      </w:r>
      <w:bookmarkEnd w:id="45"/>
    </w:p>
    <w:p w:rsidR="23E82FC3" w:rsidP="1776D51D" w14:paraId="00C6E42E" w14:textId="6D755E20">
      <w:pPr>
        <w:spacing w:after="120"/>
        <w:jc w:val="both"/>
        <w:rPr>
          <w:rFonts w:eastAsiaTheme="majorEastAsia"/>
        </w:rPr>
      </w:pPr>
      <w:r w:rsidRPr="1776D51D">
        <w:rPr>
          <w:rFonts w:eastAsiaTheme="majorEastAsia"/>
        </w:rPr>
        <w:t xml:space="preserve">Il </w:t>
      </w:r>
      <w:r w:rsidRPr="1776D51D">
        <w:rPr>
          <w:rFonts w:eastAsiaTheme="majorEastAsia"/>
          <w:b/>
          <w:bCs/>
          <w:u w:val="single"/>
        </w:rPr>
        <w:t xml:space="preserve">comma 1 </w:t>
      </w:r>
      <w:r w:rsidRPr="1776D51D">
        <w:rPr>
          <w:rFonts w:eastAsiaTheme="majorEastAsia"/>
        </w:rPr>
        <w:t>introduce modifiche al decreto legislativo 1° agosto 2003, n. 259, recante il Codice delle comunicazioni elettroniche.</w:t>
      </w:r>
    </w:p>
    <w:p w:rsidR="23E82FC3" w:rsidP="1776D51D" w14:paraId="5F1821FF" w14:textId="051D3171">
      <w:pPr>
        <w:spacing w:after="120"/>
        <w:jc w:val="both"/>
      </w:pPr>
      <w:r w:rsidRPr="1776D51D">
        <w:rPr>
          <w:rFonts w:eastAsiaTheme="majorEastAsia"/>
        </w:rPr>
        <w:t xml:space="preserve">In particolare, con la </w:t>
      </w:r>
      <w:r w:rsidRPr="4B072001">
        <w:rPr>
          <w:rFonts w:eastAsiaTheme="majorEastAsia"/>
          <w:b/>
          <w:bCs/>
          <w:u w:val="single"/>
        </w:rPr>
        <w:t>lett</w:t>
      </w:r>
      <w:r w:rsidRPr="4B072001" w:rsidR="5C9DDF97">
        <w:rPr>
          <w:rFonts w:eastAsiaTheme="majorEastAsia"/>
          <w:b/>
          <w:bCs/>
          <w:u w:val="single"/>
        </w:rPr>
        <w:t>era</w:t>
      </w:r>
      <w:r w:rsidRPr="1776D51D">
        <w:rPr>
          <w:rFonts w:eastAsiaTheme="majorEastAsia"/>
          <w:b/>
          <w:bCs/>
          <w:u w:val="single"/>
        </w:rPr>
        <w:t xml:space="preserve"> a)</w:t>
      </w:r>
      <w:r w:rsidRPr="1776D51D">
        <w:rPr>
          <w:rFonts w:eastAsiaTheme="majorEastAsia"/>
        </w:rPr>
        <w:t>, si modifica l’articolo 30 del Codice, in tema di sanzioni, al fine di superare le criticità derivanti dall’inciso presente nel comma 14, per effetto del quale il Ministero delle imprese e del made in Italy può irrogare la sanzione ivi prevista solo in seguito alla segnalazione dell’Autorità per le garanzie nelle comunicazioni. Tuttavia, dal momento che tale Autorità non ha competenza in merito all’autorizzazione delle attività o al rilascio delle autorizzazioni generali, nonché nelle ipotesi di mancato pagamento dei diritti amministrativi e dei contributi di cui agli articoli 16 e 42 del medesimo Codice, nei termini previsti dall'allegato n. 12, l’espunzione dell’inciso operato dalla disposizione in esame è volto a consentire al Ministero di agire autonomamente in tutti i casi in cui siano state riscontrate gravi irregolarità nei pagamenti dei diritti amministrativi e dei contributi di cui ai richiamati articoli 16 e 42.</w:t>
      </w:r>
      <w:r w:rsidRPr="1776D51D">
        <w:rPr>
          <w:b/>
          <w:bCs/>
        </w:rPr>
        <w:t xml:space="preserve"> La disposizione ha carattere ordinamentale e, pertanto, non determina nuovi o maggiori oneri a carico della finanza pubblica.</w:t>
      </w:r>
    </w:p>
    <w:p w:rsidR="23E82FC3" w:rsidP="1776D51D" w14:paraId="77518E7F" w14:textId="71B4D10B">
      <w:pPr>
        <w:spacing w:after="120"/>
        <w:jc w:val="both"/>
        <w:rPr>
          <w:rFonts w:eastAsiaTheme="majorEastAsia"/>
        </w:rPr>
      </w:pPr>
      <w:r w:rsidRPr="1776D51D">
        <w:rPr>
          <w:rFonts w:eastAsiaTheme="majorEastAsia"/>
        </w:rPr>
        <w:t xml:space="preserve">La </w:t>
      </w:r>
      <w:r w:rsidRPr="76D0042B">
        <w:rPr>
          <w:rFonts w:eastAsiaTheme="majorEastAsia"/>
          <w:b/>
          <w:bCs/>
          <w:u w:val="single"/>
        </w:rPr>
        <w:t>let</w:t>
      </w:r>
      <w:r w:rsidRPr="76D0042B" w:rsidR="5E1488D6">
        <w:rPr>
          <w:rFonts w:eastAsiaTheme="majorEastAsia"/>
          <w:b/>
          <w:bCs/>
          <w:u w:val="single"/>
        </w:rPr>
        <w:t>tera</w:t>
      </w:r>
      <w:r w:rsidRPr="1776D51D">
        <w:rPr>
          <w:rFonts w:eastAsiaTheme="majorEastAsia"/>
          <w:b/>
          <w:bCs/>
          <w:u w:val="single"/>
        </w:rPr>
        <w:t xml:space="preserve"> b)</w:t>
      </w:r>
      <w:r w:rsidRPr="1776D51D">
        <w:rPr>
          <w:rFonts w:eastAsiaTheme="majorEastAsia"/>
        </w:rPr>
        <w:t xml:space="preserve"> interviene sull’articolo 56 del medesimo Codice, al fine di aggiornare e precisare la disciplina relativa alla posa e alla gestione delle infrastrutture di comunicazione elettronica in prossimità di condutture e impianti sotterranei. </w:t>
      </w:r>
    </w:p>
    <w:p w:rsidR="23E82FC3" w:rsidP="1776D51D" w14:paraId="51574C18" w14:textId="49E1F3AB">
      <w:pPr>
        <w:spacing w:after="120"/>
        <w:jc w:val="both"/>
        <w:rPr>
          <w:rFonts w:eastAsiaTheme="majorEastAsia"/>
        </w:rPr>
      </w:pPr>
      <w:r w:rsidRPr="1776D51D">
        <w:rPr>
          <w:rFonts w:eastAsiaTheme="majorEastAsia"/>
        </w:rPr>
        <w:t xml:space="preserve">In particolare, la </w:t>
      </w:r>
      <w:r w:rsidRPr="6A6A63F3">
        <w:rPr>
          <w:rFonts w:eastAsiaTheme="majorEastAsia"/>
          <w:b/>
          <w:bCs/>
          <w:u w:val="single"/>
        </w:rPr>
        <w:t>lett</w:t>
      </w:r>
      <w:r w:rsidRPr="6A6A63F3" w:rsidR="61B048BD">
        <w:rPr>
          <w:rFonts w:eastAsiaTheme="majorEastAsia"/>
          <w:b/>
          <w:bCs/>
          <w:u w:val="single"/>
        </w:rPr>
        <w:t>era</w:t>
      </w:r>
      <w:r w:rsidRPr="1776D51D">
        <w:rPr>
          <w:rFonts w:eastAsiaTheme="majorEastAsia"/>
          <w:b/>
          <w:bCs/>
          <w:u w:val="single"/>
        </w:rPr>
        <w:t xml:space="preserve"> b), n.1)</w:t>
      </w:r>
      <w:r w:rsidRPr="1776D51D">
        <w:rPr>
          <w:rFonts w:eastAsiaTheme="majorEastAsia"/>
        </w:rPr>
        <w:t xml:space="preserve"> è volta a limitare l’ambito di applicazione della norma in esame alle condutture di terza classe, in coerenza con la classificazione tecnica stabilita dalle norme UNI e CEI in materia di impianti elettrici e di distribuzione. Tale modifica mira a chiarire il campo di applicazione della disposizione e ad evitare interpretazioni estensive che potrebbero generare oneri tecnici o amministrativi non necessari per impianti di diversa tipologia o classe.</w:t>
      </w:r>
    </w:p>
    <w:p w:rsidR="23E82FC3" w:rsidP="1776D51D" w14:paraId="0DB3EDB0" w14:textId="7C0B74F1">
      <w:pPr>
        <w:spacing w:after="120"/>
        <w:jc w:val="both"/>
        <w:rPr>
          <w:b/>
          <w:bCs/>
        </w:rPr>
      </w:pPr>
      <w:r w:rsidRPr="1776D51D">
        <w:rPr>
          <w:rFonts w:eastAsiaTheme="majorEastAsia"/>
        </w:rPr>
        <w:t xml:space="preserve">La </w:t>
      </w:r>
      <w:r w:rsidRPr="3D2E556B" w:rsidR="38D8A64C">
        <w:rPr>
          <w:rFonts w:eastAsiaTheme="majorEastAsia"/>
          <w:b/>
          <w:bCs/>
          <w:u w:val="single"/>
        </w:rPr>
        <w:t>lett</w:t>
      </w:r>
      <w:r w:rsidRPr="3D2E556B" w:rsidR="7EC3F801">
        <w:rPr>
          <w:rFonts w:eastAsiaTheme="majorEastAsia"/>
          <w:b/>
          <w:bCs/>
          <w:u w:val="single"/>
        </w:rPr>
        <w:t>era</w:t>
      </w:r>
      <w:r w:rsidRPr="1776D51D">
        <w:rPr>
          <w:rFonts w:eastAsiaTheme="majorEastAsia"/>
          <w:b/>
          <w:bCs/>
          <w:u w:val="single"/>
        </w:rPr>
        <w:t xml:space="preserve"> b)</w:t>
      </w:r>
      <w:r w:rsidRPr="1776D51D">
        <w:rPr>
          <w:rFonts w:eastAsiaTheme="majorEastAsia"/>
          <w:u w:val="single"/>
        </w:rPr>
        <w:t xml:space="preserve">, </w:t>
      </w:r>
      <w:r w:rsidRPr="1776D51D">
        <w:rPr>
          <w:rFonts w:eastAsiaTheme="majorEastAsia"/>
          <w:b/>
          <w:bCs/>
          <w:u w:val="single"/>
        </w:rPr>
        <w:t>n.2)</w:t>
      </w:r>
      <w:r w:rsidRPr="1776D51D">
        <w:rPr>
          <w:rFonts w:eastAsiaTheme="majorEastAsia"/>
        </w:rPr>
        <w:t xml:space="preserve"> modifica il comma 2 del </w:t>
      </w:r>
      <w:r w:rsidRPr="1776D51D">
        <w:rPr>
          <w:rFonts w:eastAsiaTheme="majorEastAsia"/>
        </w:rPr>
        <w:t>predetto</w:t>
      </w:r>
      <w:r w:rsidRPr="1776D51D">
        <w:rPr>
          <w:rFonts w:eastAsiaTheme="majorEastAsia"/>
        </w:rPr>
        <w:t xml:space="preserve"> articolo 56 del Codice al fine di specificare la tipologia di tubazioni interessate dalle misure di tutela previste, circoscrivendo l’obbligo di adozione di particolari precauzioni ai soli impianti dotati di sistemi di protezione catodica, che sono quelli effettivamente soggetti a interferenze elettrochimiche potenzialmente dannose.</w:t>
      </w:r>
      <w:r w:rsidRPr="1776D51D">
        <w:rPr>
          <w:b/>
          <w:bCs/>
        </w:rPr>
        <w:t xml:space="preserve"> </w:t>
      </w:r>
    </w:p>
    <w:p w:rsidR="1776D51D" w:rsidP="1776D51D" w14:paraId="4E24125F" w14:textId="513064F1">
      <w:pPr>
        <w:spacing w:after="120"/>
        <w:jc w:val="both"/>
      </w:pPr>
      <w:r w:rsidRPr="1776D51D">
        <w:rPr>
          <w:b/>
          <w:bCs/>
        </w:rPr>
        <w:t>Le disposizioni in esame hanno carattere ordinamentale e, pertanto, non determinano nuovi o maggiori oneri a carico della finanza pubblica.</w:t>
      </w:r>
    </w:p>
    <w:p w:rsidR="01242E69" w:rsidP="2BFADFAF" w14:paraId="69A32282" w14:textId="1280C42F">
      <w:pPr>
        <w:spacing w:after="120"/>
        <w:jc w:val="both"/>
      </w:pPr>
      <w:r w:rsidRPr="70C780DD">
        <w:rPr>
          <w:b/>
          <w:bCs/>
          <w:u w:val="single"/>
        </w:rPr>
        <w:t xml:space="preserve">La </w:t>
      </w:r>
      <w:r w:rsidRPr="70C780DD" w:rsidR="3103FFC3">
        <w:rPr>
          <w:b/>
          <w:bCs/>
          <w:u w:val="single"/>
        </w:rPr>
        <w:t>lett</w:t>
      </w:r>
      <w:r w:rsidRPr="70C780DD" w:rsidR="07532E5B">
        <w:rPr>
          <w:b/>
          <w:bCs/>
          <w:u w:val="single"/>
        </w:rPr>
        <w:t>era</w:t>
      </w:r>
      <w:r w:rsidRPr="2BFADFAF">
        <w:rPr>
          <w:b/>
          <w:bCs/>
          <w:u w:val="single"/>
        </w:rPr>
        <w:t xml:space="preserve"> c) </w:t>
      </w:r>
      <w:r>
        <w:t>introduce una modifica all’articolo 98</w:t>
      </w:r>
      <w:r w:rsidRPr="2C858D6F">
        <w:rPr>
          <w:b/>
        </w:rPr>
        <w:t>-</w:t>
      </w:r>
      <w:r w:rsidRPr="2BFADFAF">
        <w:rPr>
          <w:i/>
          <w:iCs/>
        </w:rPr>
        <w:t>quaterdecies</w:t>
      </w:r>
      <w:r>
        <w:t>, comma 1</w:t>
      </w:r>
      <w:r w:rsidRPr="2BFADFAF">
        <w:rPr>
          <w:i/>
          <w:iCs/>
        </w:rPr>
        <w:t>,</w:t>
      </w:r>
      <w:r>
        <w:t xml:space="preserve"> del Codice, al fine di rafforzare gli obblighi di tutela e trasparenza attualmente previsti in favore dei consumatori nella fase di attivazione dei servizi di connettività da postazione fissa (c.d. accesso a Internet). L’intervento si rende necessario per garantire che l’utente finale possa beneficiare della migliore tecnologia disponibile presso la propria unità immobiliare, evitando pratiche atte a pregiudicare l’effettiva fruizione delle infrastrutture di nuova generazione. Il servizio di accesso a internet può essere, infatti, fornito mediante diverse tecnologie di rete di accesso: FTTH, FTTC, ADSL, FWA e FWA su rete 5G. Nella scelta del servizio il consumatore riceve normalmente l'informazione circa la velocità di connessione ma non viene informato delle tecnologie disponibili al suo indirizzo. È emerso infatti che taluni operatori di connettività, pur in presenza di copertura con tecnologia a prestazioni più elevate, procedono all’attivazione dei servizi mediante soluzioni alternative con capacità inferiori, senza fornire al consumatore una completa informazione sul miglior livello tecnologico raggiungibile al proprio indirizzo. Sebbene l’articolo 98-</w:t>
      </w:r>
      <w:r w:rsidRPr="2BFADFAF">
        <w:rPr>
          <w:i/>
          <w:iCs/>
        </w:rPr>
        <w:t>quaterdecies</w:t>
      </w:r>
      <w:r>
        <w:t xml:space="preserve"> del Codice delle comunicazioni elettroniche e la deliberazione dell’Autorità per le garanzie nelle comunicazioni (AGCOM) n. 156/23/CONS stabiliscano obblighi di informazione e trasparenza in relazione alle caratteristiche tecniche e qualitative dei servizi offerti, l’ordinamento non prevede attualmente alcun obbligo per l’operatore di riferire all’utente le tecnologie disponibili. Il comma in esame è quindi volto a colmare tale lacuna, introducendo l’obbligo a carico degli operatori di comunicazioni elettroniche di comunicare all’utente le tecnologie disponibili per l’attivazione del servizio di accesso a internet, con le relative prestazioni misurate in base ai parametri di capacità rilevati tramite la Broadband </w:t>
      </w:r>
      <w:r>
        <w:t>Map</w:t>
      </w:r>
      <w:r>
        <w:t xml:space="preserve"> dell’AGCOM, strumento pubblico e gratuito che consente di verificare, su tutto il territorio nazionale, le tecnologie di accesso e i relativi livelli di velocità.</w:t>
      </w:r>
      <w:r w:rsidR="796A718F">
        <w:t xml:space="preserve"> </w:t>
      </w:r>
      <w:r w:rsidRPr="003F612E" w:rsidR="796A718F">
        <w:t>L’Autorità vigila sull’attuazione delle disposizioni del presente comma e applica le sanzioni di cui all’articolo 1, comma 31, della legge 31 luglio 1997, n. 249.</w:t>
      </w:r>
    </w:p>
    <w:p w:rsidR="1275F82C" w:rsidRPr="00D22BDE" w:rsidP="2BFADFAF" w14:paraId="13F25E7A" w14:textId="365F137C">
      <w:pPr>
        <w:spacing w:after="120"/>
        <w:jc w:val="both"/>
        <w:rPr>
          <w:b/>
          <w:color w:val="4C94D8" w:themeColor="text2" w:themeTint="80"/>
        </w:rPr>
      </w:pPr>
      <w:r w:rsidRPr="00D22BDE">
        <w:rPr>
          <w:b/>
          <w:color w:val="4C94D8" w:themeColor="text2" w:themeTint="80"/>
        </w:rPr>
        <w:t>La disposizione</w:t>
      </w:r>
      <w:r w:rsidRPr="00D22BDE" w:rsidR="445C0B00">
        <w:rPr>
          <w:b/>
          <w:color w:val="4C94D8" w:themeColor="text2" w:themeTint="80"/>
        </w:rPr>
        <w:t>,</w:t>
      </w:r>
      <w:r w:rsidRPr="00D22BDE">
        <w:rPr>
          <w:b/>
          <w:color w:val="4C94D8" w:themeColor="text2" w:themeTint="80"/>
        </w:rPr>
        <w:t xml:space="preserve"> </w:t>
      </w:r>
      <w:r w:rsidRPr="00D22BDE" w:rsidR="0A29DFEB">
        <w:rPr>
          <w:b/>
          <w:color w:val="4C94D8" w:themeColor="text2" w:themeTint="80"/>
        </w:rPr>
        <w:t xml:space="preserve">ponendo obblighi di </w:t>
      </w:r>
      <w:r w:rsidRPr="00D22BDE" w:rsidR="1335EA00">
        <w:rPr>
          <w:b/>
          <w:color w:val="4C94D8" w:themeColor="text2" w:themeTint="80"/>
        </w:rPr>
        <w:t>informa</w:t>
      </w:r>
      <w:r w:rsidRPr="00D22BDE" w:rsidR="0A29DFEB">
        <w:rPr>
          <w:b/>
          <w:color w:val="4C94D8" w:themeColor="text2" w:themeTint="80"/>
        </w:rPr>
        <w:t>zione in capo agli operatori di comunicazioni elettroniche</w:t>
      </w:r>
      <w:r w:rsidRPr="00D22BDE">
        <w:rPr>
          <w:b/>
          <w:color w:val="4C94D8" w:themeColor="text2" w:themeTint="80"/>
        </w:rPr>
        <w:t>, non determina nuovi o maggiori oneri a carico della finanza pubblica.</w:t>
      </w:r>
      <w:r w:rsidRPr="00D22BDE" w:rsidR="127DE51E">
        <w:rPr>
          <w:b/>
          <w:color w:val="4C94D8" w:themeColor="text2" w:themeTint="80"/>
        </w:rPr>
        <w:t xml:space="preserve"> L’Autorità </w:t>
      </w:r>
      <w:r w:rsidRPr="00D22BDE" w:rsidR="51C102E0">
        <w:rPr>
          <w:b/>
          <w:color w:val="4C94D8" w:themeColor="text2" w:themeTint="80"/>
        </w:rPr>
        <w:t>esercita</w:t>
      </w:r>
      <w:r w:rsidRPr="00D22BDE" w:rsidR="127DE51E">
        <w:rPr>
          <w:b/>
          <w:color w:val="4C94D8" w:themeColor="text2" w:themeTint="80"/>
        </w:rPr>
        <w:t xml:space="preserve"> l’attività di vigilanza </w:t>
      </w:r>
      <w:r w:rsidRPr="00D22BDE" w:rsidR="53BC168E">
        <w:rPr>
          <w:b/>
          <w:color w:val="4C94D8" w:themeColor="text2" w:themeTint="80"/>
        </w:rPr>
        <w:t>ed irroga le sanzioni</w:t>
      </w:r>
      <w:r w:rsidRPr="00D22BDE" w:rsidR="127DE51E">
        <w:rPr>
          <w:b/>
          <w:color w:val="4C94D8" w:themeColor="text2" w:themeTint="80"/>
        </w:rPr>
        <w:t xml:space="preserve"> nei limiti delle risorse umane, finanziarie </w:t>
      </w:r>
      <w:r w:rsidRPr="00D22BDE" w:rsidR="2C3FC246">
        <w:rPr>
          <w:b/>
          <w:color w:val="4C94D8" w:themeColor="text2" w:themeTint="80"/>
        </w:rPr>
        <w:t>e strumentali</w:t>
      </w:r>
      <w:r w:rsidRPr="00D22BDE" w:rsidR="127DE51E">
        <w:rPr>
          <w:b/>
          <w:color w:val="4C94D8" w:themeColor="text2" w:themeTint="80"/>
        </w:rPr>
        <w:t xml:space="preserve"> disponibili a legislazione vigente</w:t>
      </w:r>
      <w:r w:rsidRPr="00D22BDE" w:rsidR="6635401B">
        <w:rPr>
          <w:b/>
          <w:color w:val="4C94D8" w:themeColor="text2" w:themeTint="80"/>
        </w:rPr>
        <w:t>.</w:t>
      </w:r>
      <w:r w:rsidRPr="00D22BDE" w:rsidR="127DE51E">
        <w:rPr>
          <w:b/>
          <w:color w:val="4C94D8" w:themeColor="text2" w:themeTint="80"/>
        </w:rPr>
        <w:t xml:space="preserve"> </w:t>
      </w:r>
    </w:p>
    <w:p w:rsidR="00104D82" w:rsidP="00104D82" w14:paraId="4DDC638B" w14:textId="77777777">
      <w:pPr>
        <w:spacing w:after="120"/>
        <w:jc w:val="both"/>
        <w:rPr>
          <w:rFonts w:eastAsiaTheme="minorHAnsi"/>
          <w:b/>
          <w:kern w:val="2"/>
          <w:lang w:eastAsia="en-US"/>
          <w14:ligatures w14:val="standardContextual"/>
        </w:rPr>
      </w:pPr>
    </w:p>
    <w:p w:rsidR="008A6428" w:rsidRPr="00071B73" w:rsidP="008A6428" w14:paraId="0B3F4F48" w14:textId="0A5EFDC8">
      <w:pPr>
        <w:pStyle w:val="Heading3"/>
        <w:spacing w:before="0" w:after="120"/>
        <w:rPr>
          <w:rFonts w:eastAsia="Times New Roman"/>
          <w:color w:val="000000" w:themeColor="text1"/>
        </w:rPr>
      </w:pPr>
      <w:bookmarkStart w:id="46" w:name="_Toc213438373"/>
      <w:bookmarkStart w:id="47" w:name="_Toc213844852"/>
      <w:bookmarkStart w:id="48" w:name="_Toc220077558"/>
      <w:r w:rsidRPr="00071B73">
        <w:rPr>
          <w:rFonts w:eastAsia="Times New Roman"/>
          <w:color w:val="000000" w:themeColor="text1"/>
        </w:rPr>
        <w:t xml:space="preserve">ART. </w:t>
      </w:r>
      <w:r>
        <w:rPr>
          <w:rFonts w:eastAsia="Times New Roman"/>
          <w:color w:val="000000" w:themeColor="text1"/>
        </w:rPr>
        <w:t>14</w:t>
      </w:r>
      <w:r w:rsidRPr="00071B73">
        <w:rPr>
          <w:rFonts w:eastAsia="Times New Roman"/>
          <w:color w:val="000000" w:themeColor="text1"/>
        </w:rPr>
        <w:t xml:space="preserve">                                                                                                                                                </w:t>
      </w:r>
      <w:r w:rsidRPr="00071B73">
        <w:rPr>
          <w:rFonts w:eastAsia="Times New Roman"/>
          <w:color w:val="000000" w:themeColor="text1"/>
        </w:rPr>
        <w:t xml:space="preserve">   (</w:t>
      </w:r>
      <w:bookmarkEnd w:id="46"/>
      <w:bookmarkEnd w:id="47"/>
      <w:r w:rsidRPr="00071B73">
        <w:rPr>
          <w:rFonts w:eastAsia="Times New Roman"/>
          <w:color w:val="000000" w:themeColor="text1"/>
        </w:rPr>
        <w:t xml:space="preserve">Misure urgenti di semplificazione in materia di </w:t>
      </w:r>
      <w:r w:rsidR="00B74AD5">
        <w:rPr>
          <w:rFonts w:eastAsia="Times New Roman"/>
          <w:color w:val="000000" w:themeColor="text1"/>
        </w:rPr>
        <w:t xml:space="preserve">bonifiche e di </w:t>
      </w:r>
      <w:r w:rsidRPr="00071B73" w:rsidR="00B74AD5">
        <w:rPr>
          <w:rFonts w:eastAsia="Times New Roman"/>
          <w:color w:val="000000" w:themeColor="text1"/>
        </w:rPr>
        <w:t>industria insalubre</w:t>
      </w:r>
      <w:r w:rsidR="00B74AD5">
        <w:rPr>
          <w:rFonts w:eastAsia="Times New Roman"/>
          <w:color w:val="000000" w:themeColor="text1"/>
        </w:rPr>
        <w:t xml:space="preserve">, nonché in </w:t>
      </w:r>
      <w:r w:rsidRPr="00071B73">
        <w:rPr>
          <w:rFonts w:eastAsia="Times New Roman"/>
          <w:color w:val="000000" w:themeColor="text1"/>
        </w:rPr>
        <w:t xml:space="preserve">materia di </w:t>
      </w:r>
      <w:r w:rsidR="00B74AD5">
        <w:rPr>
          <w:rFonts w:eastAsia="Times New Roman"/>
          <w:color w:val="000000" w:themeColor="text1"/>
        </w:rPr>
        <w:t>rifiuti</w:t>
      </w:r>
      <w:r w:rsidR="00AD536B">
        <w:rPr>
          <w:rFonts w:eastAsia="Times New Roman"/>
          <w:color w:val="000000" w:themeColor="text1"/>
        </w:rPr>
        <w:t>)</w:t>
      </w:r>
      <w:bookmarkEnd w:id="48"/>
    </w:p>
    <w:p w:rsidR="008A6428" w:rsidRPr="00071B73" w:rsidP="008A6428" w14:paraId="16D1283E" w14:textId="77777777">
      <w:pPr>
        <w:spacing w:after="120"/>
        <w:jc w:val="both"/>
      </w:pPr>
      <w:r w:rsidRPr="00071B73">
        <w:t>L’articolo in esame introduce modifiche al decreto legislativo 3 aprile 2006, n. 152, recante il Codice dell’ambiente, prevedendo misure per la semplificazione della disciplina relativa alle bonifiche.</w:t>
      </w:r>
    </w:p>
    <w:p w:rsidR="008A6428" w:rsidRPr="00071B73" w:rsidP="008A6428" w14:paraId="71019701" w14:textId="3D2295F3">
      <w:pPr>
        <w:spacing w:after="120"/>
        <w:jc w:val="both"/>
        <w:rPr>
          <w:b/>
        </w:rPr>
      </w:pPr>
      <w:r w:rsidRPr="00071B73">
        <w:t xml:space="preserve">In particolare, le modifiche apportate all’articolo 216, comma 8-septies del Codice dal </w:t>
      </w:r>
      <w:r w:rsidRPr="00071B73">
        <w:rPr>
          <w:b/>
          <w:u w:val="single"/>
        </w:rPr>
        <w:t xml:space="preserve">comma 1, </w:t>
      </w:r>
      <w:r w:rsidRPr="57F9611E">
        <w:rPr>
          <w:b/>
          <w:bCs/>
          <w:u w:val="single"/>
        </w:rPr>
        <w:t>lett</w:t>
      </w:r>
      <w:r w:rsidRPr="57F9611E" w:rsidR="6F00451E">
        <w:rPr>
          <w:b/>
          <w:bCs/>
          <w:u w:val="single"/>
        </w:rPr>
        <w:t>era</w:t>
      </w:r>
      <w:r w:rsidRPr="00071B73">
        <w:rPr>
          <w:b/>
          <w:u w:val="single"/>
        </w:rPr>
        <w:t xml:space="preserve"> a)</w:t>
      </w:r>
      <w:r w:rsidRPr="00071B73">
        <w:t xml:space="preserve"> del presente articolo sono volte a precisare che i rifiuti che possono essere utilizzati negli impianti industriali autorizzati ai sensi della disciplina dell’autorizzazione integrata ambientale, nel rispetto del relativo BAT </w:t>
      </w:r>
      <w:r w:rsidRPr="00071B73">
        <w:t>References</w:t>
      </w:r>
      <w:r w:rsidRPr="00071B73">
        <w:t>, sono quelli di cui individuati nell’allegato III del regolamento (UE) 2024/1157 del Parlamento europeo e del Consiglio, dell’11 aprile 2024</w:t>
      </w:r>
      <w:r w:rsidRPr="00071B73">
        <w:rPr>
          <w:b/>
        </w:rPr>
        <w:t>. La disposizione ha carattere ordinamentale e, pertanto, non determina nuovi o maggiori oneri a carico della finanza pubblica.</w:t>
      </w:r>
    </w:p>
    <w:p w:rsidR="008A6428" w:rsidRPr="00071B73" w:rsidP="008A6428" w14:paraId="650B0250" w14:textId="7AF9D57B">
      <w:pPr>
        <w:spacing w:after="120"/>
        <w:jc w:val="both"/>
        <w:rPr>
          <w:b/>
        </w:rPr>
      </w:pPr>
      <w:r w:rsidRPr="00071B73">
        <w:t xml:space="preserve">Il </w:t>
      </w:r>
      <w:r w:rsidRPr="00071B73">
        <w:rPr>
          <w:b/>
          <w:u w:val="single"/>
        </w:rPr>
        <w:t xml:space="preserve">comma 1, </w:t>
      </w:r>
      <w:r w:rsidRPr="584F822B">
        <w:rPr>
          <w:b/>
          <w:bCs/>
          <w:u w:val="single"/>
        </w:rPr>
        <w:t>lett</w:t>
      </w:r>
      <w:r w:rsidRPr="584F822B" w:rsidR="230C22E5">
        <w:rPr>
          <w:b/>
          <w:bCs/>
          <w:u w:val="single"/>
        </w:rPr>
        <w:t>era</w:t>
      </w:r>
      <w:r w:rsidRPr="00071B73">
        <w:rPr>
          <w:b/>
          <w:u w:val="single"/>
        </w:rPr>
        <w:t xml:space="preserve"> b)</w:t>
      </w:r>
      <w:r w:rsidRPr="00071B73">
        <w:t xml:space="preserve"> modifica l’articolo 241, comma 1, del Codice, al fine di specificare che per l’individuazione delle aree destinate alla produzione agricola e all’allevamento per le quali occorre adottare il regolamento di bonifica con decreto del Ministero dell’ambiente e della sicurezza energetica, si deve fare riferimento alle aree previste dagli strumenti urbanistici vigenti. </w:t>
      </w:r>
      <w:r w:rsidRPr="00071B73">
        <w:rPr>
          <w:b/>
        </w:rPr>
        <w:t>La disposizione ha carattere ordinamentale e, pertanto, non determina nuovi o maggiori oneri a carico della finanza pubblica.</w:t>
      </w:r>
    </w:p>
    <w:p w:rsidR="008A6428" w:rsidRPr="00071B73" w:rsidP="008A6428" w14:paraId="7264A820" w14:textId="77777777">
      <w:pPr>
        <w:spacing w:after="120"/>
        <w:jc w:val="both"/>
        <w:rPr>
          <w:b/>
        </w:rPr>
      </w:pPr>
      <w:r w:rsidRPr="00071B73">
        <w:t xml:space="preserve">Il </w:t>
      </w:r>
      <w:r w:rsidRPr="00071B73">
        <w:rPr>
          <w:b/>
          <w:u w:val="single"/>
        </w:rPr>
        <w:t>comma 1, lettera c)</w:t>
      </w:r>
      <w:r w:rsidRPr="00071B73">
        <w:t xml:space="preserve">, introduce modifiche all’articolo 242, comma 13 del Codice, al fine di prevedere che i permessi, le autorizzazioni e le concessioni acquisiti nell’ambito della conferenza di servizi di approvazione della caratterizzazione e del progetto di bonifica sono efficaci per un periodo pari a quello previsto nel progetto approvato per la realizzazione degli interventi, fatto salvo il caso di mutamento del contesto ambientale di riferimento o delle modifiche progettuali che richiedano una nuova valutazione. </w:t>
      </w:r>
      <w:r w:rsidRPr="00071B73">
        <w:rPr>
          <w:b/>
        </w:rPr>
        <w:t>La disposizione ha carattere ordinamentale e, pertanto, non determina nuovi o maggiori oneri a carico della finanza pubblica.</w:t>
      </w:r>
    </w:p>
    <w:p w:rsidR="008A6428" w:rsidRPr="00071B73" w:rsidP="008A6428" w14:paraId="1A92D780" w14:textId="77777777">
      <w:pPr>
        <w:spacing w:after="120"/>
        <w:jc w:val="both"/>
      </w:pPr>
      <w:r w:rsidRPr="00071B73">
        <w:t>Il</w:t>
      </w:r>
      <w:r w:rsidRPr="00071B73">
        <w:rPr>
          <w:b/>
        </w:rPr>
        <w:t xml:space="preserve"> </w:t>
      </w:r>
      <w:r w:rsidRPr="00071B73">
        <w:rPr>
          <w:b/>
          <w:u w:val="single"/>
        </w:rPr>
        <w:t>comma 1, lettera d)</w:t>
      </w:r>
      <w:r w:rsidRPr="00071B73">
        <w:rPr>
          <w:b/>
        </w:rPr>
        <w:t xml:space="preserve"> </w:t>
      </w:r>
      <w:r w:rsidRPr="00071B73">
        <w:t xml:space="preserve">modifica l’articolo 242-ter, in materia di Interventi e opere nei siti oggetto di bonifica. </w:t>
      </w:r>
    </w:p>
    <w:p w:rsidR="008A6428" w:rsidRPr="00071B73" w:rsidP="008A6428" w14:paraId="0E62175B" w14:textId="77777777">
      <w:pPr>
        <w:spacing w:after="120"/>
        <w:jc w:val="both"/>
      </w:pPr>
      <w:r w:rsidRPr="00071B73">
        <w:t>In particolare, al punto 1), si introduce il riferimento ai progetti del Piano nazionale per gli investimenti complementari al Piano nazionale di ripresa e resilienza di cui all'articolo 1 del decreto-legge 6 maggio 2021, n. 59, convertito, con modificazioni, dalla legge 1° luglio 2021, n. 101, che ora possono essere realizzati nei siti oggetto di bonifica, anche di interesse nazionale, laddove in precedenza il riferimento era ai soli progetti del Piano nazionale di ripresa e resilienza. Si precisa inoltre che tali progetti si riferiscono agli interventi previsti dall’allegato 1-</w:t>
      </w:r>
      <w:r w:rsidRPr="00071B73">
        <w:rPr>
          <w:i/>
        </w:rPr>
        <w:t>bis</w:t>
      </w:r>
      <w:r w:rsidRPr="00071B73">
        <w:t xml:space="preserve"> - Opere, impianti e infrastrutture necessarie al raggiungimento degli obiettivi fissati dal Piano Nazionale Integrato Energia e Clima (PNIEC), predisposto in attuazione del Regolamento (UE) 2018/1999 laddove, nella formulazione che si intende novellare, il riferimento è a opere e interventi individuati con il decreto del Presidente del Consiglio dei ministri di cui all'articolo 7-bis. </w:t>
      </w:r>
    </w:p>
    <w:p w:rsidR="008A6428" w:rsidRPr="00071B73" w:rsidP="008A6428" w14:paraId="6426A6F8" w14:textId="3602CD1A">
      <w:pPr>
        <w:spacing w:after="120"/>
        <w:jc w:val="both"/>
        <w:rPr>
          <w:rFonts w:eastAsia="Aptos"/>
        </w:rPr>
      </w:pPr>
      <w:r w:rsidRPr="00071B73">
        <w:t>Al punto 2) si modifica il comma 3</w:t>
      </w:r>
      <w:r w:rsidR="4682BD7B">
        <w:t xml:space="preserve"> del citato articolo 242-ter</w:t>
      </w:r>
      <w:r w:rsidRPr="00071B73">
        <w:t>, al fine di prevedere che, nelle more dell’adozione da parte delle regioni di propri criteri, procedure di valutazione e modalità di controllo dei siti oggetto di bonifica, trovano applicazione le procedure definite dal Ministero dell’ambiente e della sicurezza energetica anche per le aree ricomprese nei siti di competenza regionale.</w:t>
      </w:r>
      <w:r w:rsidRPr="00071B73">
        <w:rPr>
          <w:rFonts w:eastAsia="Aptos"/>
        </w:rPr>
        <w:t xml:space="preserve">  </w:t>
      </w:r>
    </w:p>
    <w:p w:rsidR="008A6428" w:rsidRPr="00071B73" w:rsidP="008A6428" w14:paraId="1C62BF98" w14:textId="77777777">
      <w:pPr>
        <w:spacing w:after="120"/>
        <w:jc w:val="both"/>
        <w:rPr>
          <w:b/>
        </w:rPr>
      </w:pPr>
      <w:r w:rsidRPr="00071B73">
        <w:t xml:space="preserve">Il </w:t>
      </w:r>
      <w:r w:rsidRPr="00071B73">
        <w:rPr>
          <w:b/>
          <w:u w:val="single"/>
        </w:rPr>
        <w:t>comma 2</w:t>
      </w:r>
      <w:r w:rsidRPr="00071B73">
        <w:t xml:space="preserve"> prevede che la disposizione di cui al comma 1, lettera a) del presente articolo si applica a decorrere dal 22 maggio 2026. </w:t>
      </w:r>
      <w:r w:rsidRPr="00071B73">
        <w:rPr>
          <w:b/>
        </w:rPr>
        <w:t>La disposizione ha carattere ordinamentale e, pertanto, non determina nuovi o maggiori oneri a carico della finanza pubblica.</w:t>
      </w:r>
    </w:p>
    <w:p w:rsidR="008A6428" w:rsidRPr="00423E19" w:rsidP="008A6428" w14:paraId="135CF2FA" w14:textId="77777777">
      <w:pPr>
        <w:spacing w:after="120"/>
        <w:jc w:val="both"/>
        <w:rPr>
          <w:b/>
        </w:rPr>
      </w:pPr>
      <w:r w:rsidRPr="00071B73">
        <w:t xml:space="preserve">Il </w:t>
      </w:r>
      <w:r w:rsidRPr="00071B73">
        <w:rPr>
          <w:b/>
          <w:u w:val="single"/>
        </w:rPr>
        <w:t>comma 3</w:t>
      </w:r>
      <w:r w:rsidRPr="00071B73">
        <w:rPr>
          <w:b/>
        </w:rPr>
        <w:t xml:space="preserve"> </w:t>
      </w:r>
      <w:r w:rsidRPr="00071B73">
        <w:t xml:space="preserve">chiarisce che non sono classificate come insalubri, ai sensi dell’articolo 216 del testo unico delle leggi sanitarie, di cui al regio decreto 27 luglio 1934, n. 1265, e del decreto del Ministro </w:t>
      </w:r>
      <w:r w:rsidRPr="00423E19">
        <w:t xml:space="preserve">della sanità 5 settembre 1994, le imprese in possesso di autorizzazione integrata ambientale (AIA), di autorizzazione unica ambientale (AUA) o di autorizzazioni relative alle emissioni in atmosfera e agli scarichi idrici, rilasciate ai sensi del decreto legislativo 3 aprile 2006, n. 152. La disposizione si rende necessaria in quanto la </w:t>
      </w:r>
      <w:r w:rsidRPr="00423E19">
        <w:t>predetta</w:t>
      </w:r>
      <w:r w:rsidRPr="00423E19">
        <w:t xml:space="preserve"> qualificazione risale ad un’epoca in cui non erano previste le autorizzazioni ambientali (scarichi delle acque, emissioni in atmosfera, smaltimento dei rifiuti) e le altre autorizzazioni, segnalazioni e comunicazioni, nonché la pianificazione urbanistica. </w:t>
      </w:r>
      <w:r w:rsidRPr="00423E19">
        <w:rPr>
          <w:b/>
        </w:rPr>
        <w:t>La disposizione ha carattere ordinamentale e, pertanto, non determina nuovi o maggiori oneri a carico della finanza pubblica.</w:t>
      </w:r>
    </w:p>
    <w:p w:rsidR="008A6428" w:rsidRPr="00423E19" w:rsidP="008A6428" w14:paraId="6FE2229B" w14:textId="77777777">
      <w:pPr>
        <w:spacing w:after="120"/>
        <w:jc w:val="both"/>
        <w:rPr>
          <w:b/>
        </w:rPr>
      </w:pPr>
      <w:r w:rsidRPr="00423E19">
        <w:t xml:space="preserve">Il </w:t>
      </w:r>
      <w:r w:rsidRPr="00423E19">
        <w:rPr>
          <w:b/>
          <w:u w:val="single"/>
        </w:rPr>
        <w:t>comma 4</w:t>
      </w:r>
      <w:r w:rsidRPr="00423E19">
        <w:t xml:space="preserve"> introduce modifiche al decreto legislativo 14 marzo 2014, n. 49, recante “</w:t>
      </w:r>
      <w:r w:rsidRPr="00423E19">
        <w:rPr>
          <w:i/>
        </w:rPr>
        <w:t xml:space="preserve">Attuazione della </w:t>
      </w:r>
      <w:hyperlink r:id="rId24">
        <w:r w:rsidRPr="00423E19">
          <w:rPr>
            <w:rFonts w:eastAsiaTheme="majorEastAsia"/>
            <w:i/>
          </w:rPr>
          <w:t>direttiva 2012/19/UE</w:t>
        </w:r>
      </w:hyperlink>
      <w:r w:rsidRPr="00423E19">
        <w:rPr>
          <w:i/>
        </w:rPr>
        <w:t xml:space="preserve"> sui rifiuti di apparecchiature elettriche ed elettroniche (RAEE</w:t>
      </w:r>
      <w:r w:rsidRPr="00423E19">
        <w:t>).”. In particolare, si modifica l’articolo 11, che disciplina il ritiro di apparecchiature elettriche ed elettroniche (AEE) secondo i sistemi “uno contro uno” e “uno contro zero”, al fine di abrogare la previsione di cui al terzo periodo del comma 1 secondo cui, contestualmente al ritiro dell'apparecchiatura usata, i distributori possono effettuare il ritiro presso il domicilio dell'acquirente di rifiuti di apparecchiature elettriche ed elettroniche (RAEE) provenienti dai nuclei domestici a titolo gratuito e senza obbligo di acquisto di AEE di tipo equivalente.</w:t>
      </w:r>
      <w:r w:rsidRPr="00423E19">
        <w:rPr>
          <w:b/>
        </w:rPr>
        <w:t xml:space="preserve"> La disposizione ha carattere ordinamentale e, pertanto, non determina nuovi o maggiori oneri a carico della finanza pubblica.</w:t>
      </w:r>
    </w:p>
    <w:p w:rsidR="008A6428" w:rsidRPr="00423E19" w:rsidP="008A6428" w14:paraId="51568094" w14:textId="77777777">
      <w:pPr>
        <w:spacing w:before="120" w:after="120"/>
        <w:jc w:val="both"/>
        <w:rPr>
          <w:b/>
          <w:bCs/>
        </w:rPr>
      </w:pPr>
      <w:r w:rsidRPr="00423E19">
        <w:t xml:space="preserve">Il </w:t>
      </w:r>
      <w:r w:rsidRPr="00423E19">
        <w:rPr>
          <w:b/>
          <w:bCs/>
          <w:u w:val="single"/>
        </w:rPr>
        <w:t>comma 5</w:t>
      </w:r>
      <w:r w:rsidRPr="00423E19">
        <w:t xml:space="preserve"> prevede l’abrogazione dell’articolo 70 della legge 2 dicembre 2025, n. 182, integralmente riproduttivo delle previsioni già contenute nell’articolo 1-bis, comma 1, lettera a), numero 1), del decreto - legge 8 agosto 2025, n. 116, convertito, con modificazioni, dalla legge 3 ottobre 2025, n. 147. </w:t>
      </w:r>
      <w:r w:rsidRPr="00423E19">
        <w:rPr>
          <w:b/>
          <w:bCs/>
        </w:rPr>
        <w:t>Trattasi, conseguentemente, di disposizione finalizzata ad un mero coordinamento normativo, da cui non derivano nuovi o maggiori oneri a carico della finanza pubblica.</w:t>
      </w:r>
    </w:p>
    <w:p w:rsidR="008A6428" w:rsidRPr="00423E19" w:rsidP="00104D82" w14:paraId="0D9E4164" w14:textId="77777777">
      <w:pPr>
        <w:spacing w:after="120"/>
        <w:jc w:val="both"/>
        <w:rPr>
          <w:rFonts w:eastAsiaTheme="minorHAnsi"/>
          <w:b/>
          <w:kern w:val="2"/>
          <w:lang w:eastAsia="en-US"/>
          <w14:ligatures w14:val="standardContextual"/>
        </w:rPr>
      </w:pPr>
    </w:p>
    <w:p w:rsidR="00CB79C8" w:rsidRPr="00423E19" w:rsidP="00CB79C8" w14:paraId="08EA12A0" w14:textId="2AB9FE54">
      <w:pPr>
        <w:pStyle w:val="Heading3"/>
        <w:spacing w:before="120" w:after="120"/>
        <w:rPr>
          <w:rStyle w:val="Titolo3Carattere"/>
          <w:rFonts w:cs="Times New Roman"/>
          <w:b/>
        </w:rPr>
      </w:pPr>
      <w:bookmarkStart w:id="49" w:name="_Toc217418046"/>
      <w:bookmarkStart w:id="50" w:name="_Toc220077559"/>
      <w:r w:rsidRPr="00423E19">
        <w:rPr>
          <w:rStyle w:val="Titolo3Carattere"/>
          <w:rFonts w:cs="Times New Roman"/>
          <w:b/>
        </w:rPr>
        <w:t xml:space="preserve">ART. </w:t>
      </w:r>
      <w:r w:rsidRPr="00423E19">
        <w:rPr>
          <w:rStyle w:val="Titolo3Carattere"/>
          <w:rFonts w:cs="Times New Roman"/>
          <w:b/>
          <w:bCs/>
        </w:rPr>
        <w:t>15</w:t>
      </w:r>
      <w:r w:rsidRPr="00423E19">
        <w:rPr>
          <w:rFonts w:cs="Times New Roman"/>
        </w:rPr>
        <w:t xml:space="preserve">                                                       </w:t>
      </w:r>
      <w:bookmarkStart w:id="51" w:name="_Toc811944309"/>
      <w:r w:rsidRPr="00423E19">
        <w:rPr>
          <w:rFonts w:cs="Times New Roman"/>
        </w:rPr>
        <w:t xml:space="preserve">                                                                                    </w:t>
      </w:r>
      <w:r w:rsidRPr="00423E19">
        <w:rPr>
          <w:rFonts w:cs="Times New Roman"/>
        </w:rPr>
        <w:t xml:space="preserve">   </w:t>
      </w:r>
      <w:r w:rsidRPr="00423E19">
        <w:rPr>
          <w:rFonts w:cs="Times New Roman"/>
          <w:i/>
        </w:rPr>
        <w:t>(</w:t>
      </w:r>
      <w:bookmarkEnd w:id="51"/>
      <w:r w:rsidRPr="00423E19">
        <w:rPr>
          <w:rStyle w:val="normaltextrun"/>
          <w:rFonts w:cs="Times New Roman"/>
          <w:i/>
          <w:color w:val="000000"/>
          <w:shd w:val="clear" w:color="auto" w:fill="FFFFFF"/>
        </w:rPr>
        <w:t>Misure urgenti di semplificazione a favore dei malati cronici e delle persone affette da patologie rare)</w:t>
      </w:r>
      <w:bookmarkEnd w:id="49"/>
      <w:bookmarkEnd w:id="50"/>
      <w:r w:rsidRPr="00423E19">
        <w:rPr>
          <w:rStyle w:val="eop"/>
          <w:rFonts w:cs="Times New Roman"/>
          <w:color w:val="000000"/>
          <w:shd w:val="clear" w:color="auto" w:fill="FFFFFF"/>
        </w:rPr>
        <w:t> </w:t>
      </w:r>
    </w:p>
    <w:p w:rsidR="00CB79C8" w:rsidRPr="00423E19" w:rsidP="00423E19" w14:paraId="775C65F2" w14:textId="55B5FB62">
      <w:pPr>
        <w:spacing w:before="120" w:after="120"/>
        <w:jc w:val="both"/>
        <w:rPr>
          <w:b/>
        </w:rPr>
      </w:pPr>
      <w:r w:rsidRPr="00423E19">
        <w:t xml:space="preserve">Il </w:t>
      </w:r>
      <w:r w:rsidRPr="00423E19">
        <w:rPr>
          <w:b/>
          <w:u w:val="single"/>
        </w:rPr>
        <w:t xml:space="preserve">comma </w:t>
      </w:r>
      <w:r w:rsidRPr="1776D51D" w:rsidR="2C08233E">
        <w:rPr>
          <w:b/>
          <w:bCs/>
          <w:u w:val="single"/>
        </w:rPr>
        <w:t>1</w:t>
      </w:r>
      <w:r w:rsidRPr="1776D51D">
        <w:rPr>
          <w:b/>
        </w:rPr>
        <w:t xml:space="preserve"> </w:t>
      </w:r>
      <w:r w:rsidRPr="00423E19">
        <w:t>prevede che</w:t>
      </w:r>
      <w:r w:rsidR="42DAEFF1">
        <w:t xml:space="preserve"> le regioni</w:t>
      </w:r>
      <w:r w:rsidRPr="00423E19">
        <w:t xml:space="preserve">, al fine di garantire adeguata continuità terapeutica, </w:t>
      </w:r>
      <w:r w:rsidR="7A38E001">
        <w:t>possono procedere al</w:t>
      </w:r>
      <w:r w:rsidR="51C70629">
        <w:t>l'approvvigionamento</w:t>
      </w:r>
      <w:r w:rsidRPr="00423E19">
        <w:t xml:space="preserve"> dei farmaci coperti da brevetto in indicazioni d'uso esclusive, ivi inclusi i farmaci per il trattamento di malattie rare e i farmaci innovativi, forniti sul mercato da un unico operatore detentore dell'autorizzazione all'immissione in commercio (AIC), ai sensi dell’articolo 76, del codice dei contratti pubblici di cui al decreto legislativo 31 marzo 2023, n. </w:t>
      </w:r>
      <w:r w:rsidR="51C70629">
        <w:t xml:space="preserve">36, </w:t>
      </w:r>
      <w:r w:rsidR="73E74C2F">
        <w:t>ossi</w:t>
      </w:r>
      <w:r w:rsidR="51C70629">
        <w:t xml:space="preserve">a </w:t>
      </w:r>
      <w:r w:rsidR="19D505C7">
        <w:t>mediante</w:t>
      </w:r>
      <w:r w:rsidRPr="00423E19">
        <w:t xml:space="preserve"> procedura negoziata senza previa pubblicazione del bando.</w:t>
      </w:r>
      <w:r w:rsidR="00B64A70">
        <w:t xml:space="preserve"> </w:t>
      </w:r>
      <w:r w:rsidRPr="00423E19">
        <w:rPr>
          <w:b/>
        </w:rPr>
        <w:t>La disposizione ha carattere ordinamentale e, pertanto, non determina nuovi o maggiori oneri a carico della finanza pubblica.</w:t>
      </w:r>
    </w:p>
    <w:p w:rsidR="005B0A1A" w:rsidRPr="005B0A1A" w:rsidP="005B0A1A" w14:paraId="21AAE92E" w14:textId="77777777">
      <w:pPr>
        <w:spacing w:after="120"/>
        <w:jc w:val="both"/>
        <w:rPr>
          <w:b/>
          <w:highlight w:val="green"/>
        </w:rPr>
      </w:pPr>
    </w:p>
    <w:p w:rsidR="008D7703" w:rsidRPr="00987C41" w:rsidP="00987C41" w14:paraId="744B729E" w14:textId="5FC4A9C5">
      <w:pPr>
        <w:pStyle w:val="Heading3"/>
        <w:spacing w:before="0" w:after="120"/>
        <w:rPr>
          <w:rFonts w:cs="Times New Roman"/>
        </w:rPr>
      </w:pPr>
      <w:bookmarkStart w:id="52" w:name="_Toc220077560"/>
      <w:r w:rsidRPr="00987C41">
        <w:rPr>
          <w:rFonts w:cs="Times New Roman"/>
        </w:rPr>
        <w:t xml:space="preserve">ART. </w:t>
      </w:r>
      <w:r w:rsidR="00D00267">
        <w:rPr>
          <w:rFonts w:cs="Times New Roman"/>
        </w:rPr>
        <w:t>1</w:t>
      </w:r>
      <w:r w:rsidR="001C3144">
        <w:rPr>
          <w:rFonts w:cs="Times New Roman"/>
        </w:rPr>
        <w:t>6</w:t>
      </w:r>
      <w:r w:rsidRPr="00987C41">
        <w:rPr>
          <w:rFonts w:cs="Times New Roman"/>
        </w:rPr>
        <w:t xml:space="preserve">                                                                                                                                                        </w:t>
      </w:r>
      <w:r w:rsidRPr="00987C41">
        <w:rPr>
          <w:rFonts w:cs="Times New Roman"/>
        </w:rPr>
        <w:t xml:space="preserve">   (</w:t>
      </w:r>
      <w:r w:rsidRPr="00400531" w:rsidR="00400531">
        <w:rPr>
          <w:rFonts w:cs="Times New Roman"/>
        </w:rPr>
        <w:t>Disposizioni per l’attuazione della Riforma 1.7 «</w:t>
      </w:r>
      <w:r w:rsidRPr="00400531" w:rsidR="00400531">
        <w:rPr>
          <w:rFonts w:cs="Times New Roman"/>
          <w:bCs/>
        </w:rPr>
        <w:t>Giustizia tributaria</w:t>
      </w:r>
      <w:r w:rsidRPr="00400531" w:rsidR="00400531">
        <w:rPr>
          <w:rFonts w:cs="Times New Roman"/>
        </w:rPr>
        <w:t>» della Missione 1 - Componente 1 del PNRR</w:t>
      </w:r>
      <w:r w:rsidRPr="00987C41" w:rsidR="1ECC2693">
        <w:rPr>
          <w:rFonts w:cs="Times New Roman"/>
        </w:rPr>
        <w:t>)</w:t>
      </w:r>
      <w:bookmarkEnd w:id="52"/>
    </w:p>
    <w:bookmarkEnd w:id="35"/>
    <w:p w:rsidR="00BB5031" w:rsidRPr="00FF1369" w:rsidP="00987C41" w14:paraId="2FF92CEC" w14:textId="116A9F75">
      <w:pPr>
        <w:spacing w:after="120"/>
        <w:jc w:val="both"/>
        <w:rPr>
          <w:b/>
          <w:bCs/>
        </w:rPr>
      </w:pPr>
      <w:r w:rsidRPr="00987C41">
        <w:t xml:space="preserve">L’articolo </w:t>
      </w:r>
      <w:r w:rsidRPr="00987C41" w:rsidR="00902707">
        <w:t>in commento, al</w:t>
      </w:r>
      <w:r w:rsidRPr="00987C41">
        <w:t xml:space="preserve"> </w:t>
      </w:r>
      <w:r w:rsidRPr="00987C41">
        <w:rPr>
          <w:b/>
        </w:rPr>
        <w:t xml:space="preserve">comma </w:t>
      </w:r>
      <w:bookmarkStart w:id="53" w:name="_Hlk208999550"/>
      <w:r w:rsidRPr="00987C41">
        <w:rPr>
          <w:b/>
        </w:rPr>
        <w:t>1</w:t>
      </w:r>
      <w:r w:rsidRPr="00987C41">
        <w:t xml:space="preserve">, </w:t>
      </w:r>
      <w:r w:rsidRPr="004E5871">
        <w:rPr>
          <w:b/>
          <w:u w:val="single"/>
        </w:rPr>
        <w:t>lettera a</w:t>
      </w:r>
      <w:r w:rsidRPr="00987C41">
        <w:rPr>
          <w:b/>
        </w:rPr>
        <w:t>)</w:t>
      </w:r>
      <w:r w:rsidRPr="00987C41">
        <w:t xml:space="preserve">, modifica l’articolo 2, comma 1, del </w:t>
      </w:r>
      <w:r w:rsidR="3E75DE38">
        <w:t>decreto legislativo</w:t>
      </w:r>
      <w:r>
        <w:t xml:space="preserve"> n.</w:t>
      </w:r>
      <w:r w:rsidRPr="00987C41">
        <w:t xml:space="preserve"> 545/1992, prevedendo che </w:t>
      </w:r>
      <w:bookmarkStart w:id="54" w:name="_Hlk213075590"/>
      <w:r w:rsidRPr="00987C41">
        <w:t xml:space="preserve">il presidente della corte di giustizia tributaria non </w:t>
      </w:r>
      <w:r w:rsidR="7CD7A2A0">
        <w:t>p</w:t>
      </w:r>
      <w:r w:rsidR="6E7630A4">
        <w:t>ossa</w:t>
      </w:r>
      <w:r w:rsidRPr="00987C41">
        <w:t xml:space="preserve"> essere nominato tra i soggetti </w:t>
      </w:r>
      <w:bookmarkEnd w:id="54"/>
      <w:r w:rsidRPr="00987C41">
        <w:t xml:space="preserve">che raggiungeranno il limite massimo di età per lo svolgimento dell’attività giurisdizionale entro i quattro anni successivi alla data di scadenza della presentazione della domanda dell’interpello per ricoprire la suddetta funzione di presidente. In base al testo previgente, il presidente della corte di giustizia tributaria non poteva essere nominato tra i soggetti che avrebbero raggiunto il limite massimo di età entro i quattro anni successivi alla nomina. </w:t>
      </w:r>
      <w:r w:rsidRPr="00FF1369">
        <w:rPr>
          <w:b/>
          <w:bCs/>
        </w:rPr>
        <w:t>La disposizione non comporta nuovi o maggiori oneri di spesa, atteso che i maggiori compensi fissi e variabili spettanti al presidente di corte rispetto alla funzione precedentemente svolta continuano ad avere decorrenza economica dal giorno di effettiva assunzione delle funzioni di presidente nella corte di assegnazione.</w:t>
      </w:r>
    </w:p>
    <w:p w:rsidR="00835F77" w:rsidRPr="00FF1369" w:rsidP="004E5871" w14:paraId="40A70701" w14:textId="55AFA3CC">
      <w:pPr>
        <w:spacing w:after="120"/>
        <w:jc w:val="both"/>
        <w:rPr>
          <w:b/>
          <w:bCs/>
        </w:rPr>
      </w:pPr>
      <w:r w:rsidRPr="004E5871">
        <w:t xml:space="preserve">Il comma 1, </w:t>
      </w:r>
      <w:r w:rsidRPr="004E5871">
        <w:rPr>
          <w:b/>
          <w:bCs/>
          <w:u w:val="single"/>
        </w:rPr>
        <w:t>lettera b)</w:t>
      </w:r>
      <w:r w:rsidRPr="004E5871" w:rsidR="523C83C3">
        <w:t xml:space="preserve"> al fine di efficientare le procedure di reclutamento del concorso per magistrati tributari, integra l’articolo 4, comma 2, del decreto legislativo n. 545/92, prevedendo la possibilità che, con decreto del Ministro dell’economia e delle finanze, le prove scritte possano essere svolte dai candidati utilizzando appositi strumenti informatici.</w:t>
      </w:r>
      <w:r w:rsidRPr="004E5871" w:rsidR="068D099A">
        <w:t xml:space="preserve"> </w:t>
      </w:r>
      <w:r w:rsidRPr="00FF1369" w:rsidR="068D099A">
        <w:rPr>
          <w:b/>
          <w:bCs/>
        </w:rPr>
        <w:t xml:space="preserve">La </w:t>
      </w:r>
      <w:r w:rsidRPr="00FF1369" w:rsidR="00FF1369">
        <w:rPr>
          <w:b/>
          <w:bCs/>
        </w:rPr>
        <w:t>disposizione non</w:t>
      </w:r>
      <w:r w:rsidRPr="00FF1369">
        <w:rPr>
          <w:b/>
          <w:bCs/>
        </w:rPr>
        <w:t xml:space="preserve"> comporta maggiori oneri a carico del bilancio dello Stato atteso che le spese correlate all’utilizzo della strumentazione informativa per lo svolgimento delle prove scritte trovano copertura negli ordinari stanziamenti disponibili a legislazione vigente. </w:t>
      </w:r>
    </w:p>
    <w:p w:rsidR="00835F77" w:rsidRPr="00987C41" w:rsidP="00835F77" w14:paraId="62C48668" w14:textId="2D429416">
      <w:pPr>
        <w:spacing w:after="120"/>
        <w:jc w:val="both"/>
      </w:pPr>
      <w:r w:rsidRPr="00987C41">
        <w:t xml:space="preserve">Il </w:t>
      </w:r>
      <w:r w:rsidRPr="00987C41">
        <w:rPr>
          <w:b/>
        </w:rPr>
        <w:t>comma 1</w:t>
      </w:r>
      <w:r w:rsidRPr="00FF1369">
        <w:rPr>
          <w:b/>
          <w:u w:val="single"/>
        </w:rPr>
        <w:t>, lettera</w:t>
      </w:r>
      <w:r w:rsidRPr="00FF1369">
        <w:rPr>
          <w:b/>
          <w:color w:val="EE0000"/>
          <w:u w:val="single"/>
        </w:rPr>
        <w:t xml:space="preserve"> </w:t>
      </w:r>
      <w:r w:rsidRPr="00FF1369" w:rsidR="073FBDE4">
        <w:rPr>
          <w:b/>
          <w:bCs/>
          <w:u w:val="single"/>
        </w:rPr>
        <w:t>c)</w:t>
      </w:r>
      <w:r w:rsidRPr="7DE273F6" w:rsidR="073FBDE4">
        <w:rPr>
          <w:b/>
          <w:bCs/>
        </w:rPr>
        <w:t xml:space="preserve"> </w:t>
      </w:r>
      <w:r w:rsidR="76D2CB46">
        <w:t>modifica l’</w:t>
      </w:r>
      <w:r w:rsidRPr="7DE273F6" w:rsidR="76D2CB46">
        <w:rPr>
          <w:color w:val="000000" w:themeColor="text1"/>
        </w:rPr>
        <w:t>articolo 4-</w:t>
      </w:r>
      <w:r w:rsidRPr="7DE273F6" w:rsidR="76D2CB46">
        <w:rPr>
          <w:i/>
          <w:iCs/>
          <w:color w:val="000000" w:themeColor="text1"/>
        </w:rPr>
        <w:t>quater</w:t>
      </w:r>
      <w:r w:rsidRPr="7DE273F6" w:rsidR="76D2CB46">
        <w:rPr>
          <w:color w:val="000000" w:themeColor="text1"/>
        </w:rPr>
        <w:t>, comma 2</w:t>
      </w:r>
      <w:r w:rsidR="76D2CB46">
        <w:t xml:space="preserve"> del decreto legislativo n. 545/92 al fine di </w:t>
      </w:r>
      <w:r w:rsidR="3C822015">
        <w:t>prevede</w:t>
      </w:r>
      <w:r w:rsidR="2541ACDF">
        <w:t>re</w:t>
      </w:r>
      <w:r w:rsidRPr="00987C41">
        <w:t xml:space="preserve"> che anche il presidente di una corte di giustizia tributaria di primo grado possa presiedere la commissione di concorso per l’assunzione dei magistrati tributari, in alternativa al presidente di una corte di giustizia tributaria di secondo grado.</w:t>
      </w:r>
      <w:r w:rsidR="4D8441AC">
        <w:t xml:space="preserve"> </w:t>
      </w:r>
      <w:r w:rsidRPr="00FF1369" w:rsidR="4D8441AC">
        <w:rPr>
          <w:b/>
          <w:bCs/>
        </w:rPr>
        <w:t>La disposizione di natura ordinamentale non comporta</w:t>
      </w:r>
      <w:r w:rsidR="00FF1369">
        <w:rPr>
          <w:b/>
          <w:bCs/>
        </w:rPr>
        <w:t>ndo</w:t>
      </w:r>
      <w:r w:rsidRPr="00FF1369" w:rsidR="4D8441AC">
        <w:rPr>
          <w:b/>
          <w:bCs/>
        </w:rPr>
        <w:t xml:space="preserve"> nuovi o maggiori oneri a carico del bilancio dello Stato.</w:t>
      </w:r>
    </w:p>
    <w:p w:rsidR="00835F77" w:rsidRPr="00987C41" w:rsidP="00835F77" w14:paraId="286523D7" w14:textId="6E37EBED">
      <w:pPr>
        <w:spacing w:after="120"/>
        <w:jc w:val="both"/>
      </w:pPr>
      <w:r w:rsidRPr="00987C41">
        <w:t xml:space="preserve">Il </w:t>
      </w:r>
      <w:r w:rsidRPr="00987C41">
        <w:rPr>
          <w:b/>
        </w:rPr>
        <w:t xml:space="preserve">comma 1, </w:t>
      </w:r>
      <w:r w:rsidRPr="004C3F04">
        <w:rPr>
          <w:b/>
          <w:u w:val="single"/>
        </w:rPr>
        <w:t>lettera d</w:t>
      </w:r>
      <w:r w:rsidRPr="004C3F04" w:rsidR="073FBDE4">
        <w:rPr>
          <w:b/>
          <w:bCs/>
          <w:u w:val="single"/>
        </w:rPr>
        <w:t>)</w:t>
      </w:r>
      <w:r w:rsidRPr="1776D51D" w:rsidR="0D62332F">
        <w:rPr>
          <w:b/>
          <w:bCs/>
        </w:rPr>
        <w:t xml:space="preserve"> </w:t>
      </w:r>
      <w:r w:rsidRPr="1776D51D" w:rsidR="0D62332F">
        <w:rPr>
          <w:color w:val="000000" w:themeColor="text1"/>
        </w:rPr>
        <w:t>interviene sul comma 1 dell’articolo 4-quinquies</w:t>
      </w:r>
      <w:r w:rsidRPr="25E026B2" w:rsidR="53753D54">
        <w:rPr>
          <w:color w:val="000000" w:themeColor="text1"/>
        </w:rPr>
        <w:t xml:space="preserve"> </w:t>
      </w:r>
      <w:r w:rsidR="53753D54">
        <w:t>del decreto legislativo n. 545/92</w:t>
      </w:r>
      <w:r w:rsidRPr="1776D51D" w:rsidR="0D62332F">
        <w:rPr>
          <w:color w:val="000000" w:themeColor="text1"/>
        </w:rPr>
        <w:t xml:space="preserve">, stabilendo che il tirocinio dei magistrati tributari, reclutati tramite le relative procedure concorsuali, possa essere svolto – oltre che presso i magistrati tributari - anche presso i giudici tributari che esercitano le funzioni direttive di cui all’articolo 3. </w:t>
      </w:r>
      <w:r w:rsidRPr="004C3F04" w:rsidR="0D62332F">
        <w:rPr>
          <w:b/>
          <w:bCs/>
          <w:color w:val="000000" w:themeColor="text1"/>
        </w:rPr>
        <w:t>La disposizione</w:t>
      </w:r>
      <w:r w:rsidRPr="004C3F04">
        <w:rPr>
          <w:b/>
          <w:bCs/>
        </w:rPr>
        <w:t xml:space="preserve"> non comporta nuovi o maggiori oneri </w:t>
      </w:r>
      <w:r w:rsidRPr="004C3F04" w:rsidR="0D62332F">
        <w:rPr>
          <w:b/>
          <w:bCs/>
        </w:rPr>
        <w:t xml:space="preserve">a carico del bilancio dello Stato, </w:t>
      </w:r>
      <w:r w:rsidRPr="004C3F04" w:rsidR="08016A62">
        <w:rPr>
          <w:b/>
          <w:bCs/>
        </w:rPr>
        <w:t>affere</w:t>
      </w:r>
      <w:r w:rsidRPr="004C3F04" w:rsidR="073FBDE4">
        <w:rPr>
          <w:b/>
          <w:bCs/>
        </w:rPr>
        <w:t>ndo</w:t>
      </w:r>
      <w:r w:rsidRPr="004C3F04">
        <w:rPr>
          <w:b/>
          <w:bCs/>
        </w:rPr>
        <w:t xml:space="preserve"> alle modalità di svolgimento del tirocinio dei nuovi magistrati assunti mediante concorso, posto che i soggetti formatori non percepiscono alcun compenso aggiuntivo per consentire lo svolgimento della suddetta attività</w:t>
      </w:r>
      <w:r w:rsidRPr="00987C41">
        <w:t>.</w:t>
      </w:r>
      <w:r w:rsidR="09861CC8">
        <w:t xml:space="preserve"> </w:t>
      </w:r>
    </w:p>
    <w:p w:rsidR="00BB5031" w:rsidRPr="00987C41" w:rsidP="00987C41" w14:paraId="4D236503" w14:textId="7262DE6D">
      <w:pPr>
        <w:spacing w:after="120"/>
        <w:jc w:val="both"/>
      </w:pPr>
      <w:r w:rsidRPr="00987C41">
        <w:t xml:space="preserve">Il </w:t>
      </w:r>
      <w:r w:rsidRPr="00D66593">
        <w:rPr>
          <w:b/>
          <w:u w:val="single"/>
        </w:rPr>
        <w:t>comma 2</w:t>
      </w:r>
      <w:r w:rsidRPr="00987C41">
        <w:rPr>
          <w:b/>
        </w:rPr>
        <w:t xml:space="preserve"> </w:t>
      </w:r>
      <w:r w:rsidR="7CD7A2A0">
        <w:t>modifica</w:t>
      </w:r>
      <w:r w:rsidRPr="00987C41">
        <w:t xml:space="preserve"> </w:t>
      </w:r>
      <w:r w:rsidR="7E50F3BB">
        <w:t>l’art</w:t>
      </w:r>
      <w:r w:rsidR="1D1FACD3">
        <w:t>icolo</w:t>
      </w:r>
      <w:r w:rsidRPr="00987C41">
        <w:t xml:space="preserve"> 4-bis, comma 1, del </w:t>
      </w:r>
      <w:r w:rsidR="07B05A6C">
        <w:t>decreto legislativo</w:t>
      </w:r>
      <w:r w:rsidR="7E50F3BB">
        <w:t xml:space="preserve"> n.</w:t>
      </w:r>
      <w:r w:rsidRPr="00987C41">
        <w:t xml:space="preserve"> 546/1992, </w:t>
      </w:r>
      <w:r w:rsidR="12955BF4">
        <w:t>prevedendo l’</w:t>
      </w:r>
      <w:r w:rsidR="7CD7A2A0">
        <w:t>aument</w:t>
      </w:r>
      <w:r w:rsidR="79438704">
        <w:t>o</w:t>
      </w:r>
      <w:r w:rsidRPr="00987C41">
        <w:t xml:space="preserve"> da 5.000 euro a 10.000 euro </w:t>
      </w:r>
      <w:r w:rsidR="46209E69">
        <w:t>de</w:t>
      </w:r>
      <w:r w:rsidR="7CD7A2A0">
        <w:t>l</w:t>
      </w:r>
      <w:r w:rsidRPr="00987C41">
        <w:t xml:space="preserve"> valore economico delle controversie di competenza del giudice monocratico nel primo grado di giudizio. </w:t>
      </w:r>
      <w:r w:rsidR="7E50F3BB">
        <w:t>L’art</w:t>
      </w:r>
      <w:r w:rsidR="5D4FC607">
        <w:t>icolo</w:t>
      </w:r>
      <w:r w:rsidRPr="00987C41">
        <w:t xml:space="preserve"> 4, comma, 1, lett. b), della legge di riforma n. 130/2022, modificando le disposizioni sul processo tributario di cui al </w:t>
      </w:r>
      <w:r w:rsidR="09049A3D">
        <w:t>decreto legislativo</w:t>
      </w:r>
      <w:r w:rsidR="7E50F3BB">
        <w:t xml:space="preserve"> n.</w:t>
      </w:r>
      <w:r w:rsidRPr="00987C41">
        <w:t xml:space="preserve"> 546/1992, aveva stabilito la competenza del giudice monocratico per le controversie di primo grado aventi un valore fino a 3.000 euro notificate dal 1° gennaio 2023. Successivamente, con l’art. 40, comma 2, del D.L. n. 13 del 24 febbraio 2023, convertito con modificazioni dalla </w:t>
      </w:r>
      <w:r w:rsidR="25F1A747">
        <w:t>legge</w:t>
      </w:r>
      <w:r w:rsidRPr="00987C41">
        <w:t xml:space="preserve"> n. 41 del 21 aprile 2023, detta soglia di valore è stata aumentata a 5.000 euro, per i ricorsi notificati dal 1° luglio 2023.</w:t>
      </w:r>
    </w:p>
    <w:p w:rsidR="00BB5031" w:rsidRPr="00987C41" w:rsidP="00987C41" w14:paraId="61E6F28A" w14:textId="3DC67463">
      <w:pPr>
        <w:spacing w:after="120"/>
        <w:jc w:val="both"/>
      </w:pPr>
      <w:r w:rsidRPr="00987C41">
        <w:t>Nel tempo trascorso dalla sua entrata in vigore, l’introduzione del giudizio monocratico per la trattazione delle controversie di modico valore ha favorito il raggiungimento delle finalità perseguite dal legislatore, in termini di maggiore efficienza processuale e di minore durata del giudizio di primo grado. Infatti, nell’anno 2024, il tempo medio dei processi decisi dal giudice monocratico per le liti di valore fino a 5.000 euro – che rappresenta quasi il 60% dell’intero contenzioso di primo grado – è stato pari a 168,2 giorni, mentre il tempo medio del giudizio per le controversie aventi un valore superiore a 5.000 euro, decise collegialmente, è stato pari a 194,5 giorni (fonte: “Relazione sul monitoraggio dello stato del contenzioso tributario e sull’attività delle Corti di giustizia tributaria nell’anno 2024”, pubblicata il 30 giugno 2025 dal Dipartimento della giustizia tributaria del Ministero dell’economia e delle finanze). L’analisi dell’andamento del contenzioso tributario di primo grado ha evidenziato, inoltre, che l’introduzione del giudizio monocratico non ha determinato un aumento delle impugnazioni delle decisioni concernenti le liti di valore fino a 5.000 euro, atteso che negli anni 2023 e 2024 il tasso di impugnazione in appello di tali provvedimenti è stato pari rispettivamente al 16% e 17%, rispetto a valori compresi tra il 18% e il 21% registrati nel quinquennio precedente.</w:t>
      </w:r>
    </w:p>
    <w:p w:rsidR="00BB5031" w:rsidRPr="00165ECF" w:rsidP="00987C41" w14:paraId="73F378CA" w14:textId="77777777">
      <w:pPr>
        <w:spacing w:after="120"/>
        <w:jc w:val="both"/>
        <w:rPr>
          <w:b/>
          <w:bCs/>
        </w:rPr>
      </w:pPr>
      <w:r w:rsidRPr="00987C41">
        <w:t xml:space="preserve">Con la disposizione in esame, che ha lo scopo di rendere più efficiente il procedimento giurisdizionale presso le Corti di giustizia tributaria di primo grado e di favorire la riduzione ulteriore dei tempi del giudizio, si estende la competenza del giudice monocratico alle controversie di valore fino a 10.000 euro. Inoltre, il correlato aumento di produttività del corpo giudicante garantirebbe il deposito di un numero complessivo di provvedimenti definitori in linea con quelli registrati nel 2024, consentendo di attenuare gli effetti della diminuzione delle definizioni determinata dalla cessazione ex lege dalle funzioni giurisdizionali per raggiungimento del limite massimo di età, che interesserà circa 200 giudici tributari all’anno fino al 2029 e circa 100 giudici all’anno nei periodi successivi. </w:t>
      </w:r>
      <w:r w:rsidRPr="00165ECF">
        <w:rPr>
          <w:b/>
          <w:bCs/>
        </w:rPr>
        <w:t>Per tale motivo, la disposizione non comporta nuovi o maggiori oneri a carico del bilancio dello Stato.</w:t>
      </w:r>
    </w:p>
    <w:p w:rsidR="00BB5031" w:rsidRPr="00330328" w:rsidP="00987C41" w14:paraId="5E6DC35C" w14:textId="253DB7D3">
      <w:pPr>
        <w:spacing w:after="120"/>
        <w:jc w:val="both"/>
        <w:rPr>
          <w:b/>
          <w:bCs/>
        </w:rPr>
      </w:pPr>
      <w:r w:rsidRPr="00987C41">
        <w:t xml:space="preserve">Il </w:t>
      </w:r>
      <w:r w:rsidRPr="00D66593">
        <w:rPr>
          <w:b/>
          <w:u w:val="single"/>
        </w:rPr>
        <w:t>comma 3</w:t>
      </w:r>
      <w:r w:rsidRPr="00987C41">
        <w:rPr>
          <w:b/>
        </w:rPr>
        <w:t xml:space="preserve"> </w:t>
      </w:r>
      <w:r w:rsidRPr="00987C41">
        <w:t xml:space="preserve">apporta al Testo unico della giustizia tributaria di cui al </w:t>
      </w:r>
      <w:r w:rsidR="33A8F27D">
        <w:t>decreto legislativo</w:t>
      </w:r>
      <w:r>
        <w:t xml:space="preserve"> n.</w:t>
      </w:r>
      <w:r w:rsidRPr="00987C41">
        <w:t xml:space="preserve"> 175/2024 le medesime modificazioni previste dai precedenti commi 1 e 2</w:t>
      </w:r>
      <w:r w:rsidR="6A00F369">
        <w:t>, coordinando i due testi normativi</w:t>
      </w:r>
      <w:r>
        <w:t>.</w:t>
      </w:r>
      <w:r w:rsidRPr="00987C41">
        <w:t xml:space="preserve"> Con riferimento</w:t>
      </w:r>
      <w:r>
        <w:t xml:space="preserve"> </w:t>
      </w:r>
      <w:r w:rsidR="160C07CB">
        <w:t xml:space="preserve">ai profili finanziari si rappresenta che </w:t>
      </w:r>
      <w:r w:rsidRPr="00330328" w:rsidR="160C07CB">
        <w:rPr>
          <w:b/>
          <w:bCs/>
        </w:rPr>
        <w:t xml:space="preserve">dal presente comma non </w:t>
      </w:r>
      <w:r w:rsidRPr="00330328">
        <w:rPr>
          <w:b/>
          <w:bCs/>
        </w:rPr>
        <w:t>der</w:t>
      </w:r>
      <w:r w:rsidRPr="00330328" w:rsidR="6EC3BD51">
        <w:rPr>
          <w:b/>
          <w:bCs/>
        </w:rPr>
        <w:t>ivano</w:t>
      </w:r>
      <w:r w:rsidRPr="00330328">
        <w:rPr>
          <w:b/>
          <w:bCs/>
        </w:rPr>
        <w:t xml:space="preserve"> nuovi o maggiori oneri di spesa, si rinvia </w:t>
      </w:r>
      <w:r w:rsidRPr="00330328" w:rsidR="73778D6B">
        <w:rPr>
          <w:b/>
          <w:bCs/>
        </w:rPr>
        <w:t xml:space="preserve">al riguardo </w:t>
      </w:r>
      <w:r w:rsidRPr="00330328">
        <w:rPr>
          <w:b/>
          <w:bCs/>
        </w:rPr>
        <w:t>alle considerazioni precedentemente svolte in corrispondenza dei suddetti commi 1 e 2.</w:t>
      </w:r>
    </w:p>
    <w:p w:rsidR="00BB5031" w:rsidRPr="00330328" w:rsidP="00987C41" w14:paraId="33EC8281" w14:textId="61232452">
      <w:pPr>
        <w:spacing w:after="120"/>
        <w:jc w:val="both"/>
        <w:rPr>
          <w:b/>
          <w:bCs/>
        </w:rPr>
      </w:pPr>
      <w:r w:rsidRPr="00987C41">
        <w:t xml:space="preserve">Il </w:t>
      </w:r>
      <w:r w:rsidRPr="00D66593">
        <w:rPr>
          <w:b/>
          <w:u w:val="single"/>
        </w:rPr>
        <w:t>comma 4</w:t>
      </w:r>
      <w:r w:rsidRPr="00987C41">
        <w:t xml:space="preserve"> </w:t>
      </w:r>
      <w:r w:rsidRPr="00987C41">
        <w:rPr>
          <w:b/>
        </w:rPr>
        <w:t>non comporta nuovi o maggiori oneri di spesa</w:t>
      </w:r>
      <w:r w:rsidRPr="36A3FC8F" w:rsidR="6BE771B9">
        <w:rPr>
          <w:b/>
          <w:bCs/>
        </w:rPr>
        <w:t xml:space="preserve"> a carico della finanza pubblica</w:t>
      </w:r>
      <w:r w:rsidRPr="36A3FC8F">
        <w:rPr>
          <w:b/>
          <w:bCs/>
        </w:rPr>
        <w:t>,</w:t>
      </w:r>
      <w:r>
        <w:t xml:space="preserve"> </w:t>
      </w:r>
      <w:r w:rsidRPr="00330328">
        <w:rPr>
          <w:b/>
          <w:bCs/>
        </w:rPr>
        <w:t>atteso che</w:t>
      </w:r>
      <w:r w:rsidRPr="00330328" w:rsidR="16B13F03">
        <w:rPr>
          <w:b/>
          <w:bCs/>
        </w:rPr>
        <w:t xml:space="preserve"> la disposizione</w:t>
      </w:r>
      <w:r w:rsidRPr="00330328">
        <w:rPr>
          <w:b/>
          <w:bCs/>
        </w:rPr>
        <w:t xml:space="preserve"> concerne la modifica delle materie oggetto dello svolgimento della prova scritta del concorso pubblico per il reclutamento dei magistrati tributari di cui all’art</w:t>
      </w:r>
      <w:r w:rsidRPr="00330328" w:rsidR="5CF10FA1">
        <w:rPr>
          <w:b/>
          <w:bCs/>
        </w:rPr>
        <w:t>icolo</w:t>
      </w:r>
      <w:r w:rsidRPr="00330328">
        <w:rPr>
          <w:b/>
          <w:bCs/>
        </w:rPr>
        <w:t xml:space="preserve"> 1, comma 10-ter, della legge n. 130/2022.</w:t>
      </w:r>
      <w:r w:rsidRPr="00330328" w:rsidR="2855A323">
        <w:rPr>
          <w:b/>
          <w:bCs/>
        </w:rPr>
        <w:t xml:space="preserve"> </w:t>
      </w:r>
    </w:p>
    <w:p w:rsidR="00BB5031" w:rsidRPr="00987C41" w:rsidP="00987C41" w14:paraId="13575FCA" w14:textId="30A211F4">
      <w:pPr>
        <w:spacing w:after="120"/>
        <w:jc w:val="both"/>
      </w:pPr>
      <w:r w:rsidRPr="00987C41">
        <w:t xml:space="preserve">Il </w:t>
      </w:r>
      <w:r w:rsidRPr="00D66593">
        <w:rPr>
          <w:b/>
          <w:u w:val="single"/>
        </w:rPr>
        <w:t>comma 5</w:t>
      </w:r>
      <w:r w:rsidRPr="00987C41">
        <w:t xml:space="preserve"> attua il necessario adeguamento delle disposizioni contenute nell’articolo 1, comma 358, della legge 24 dicembre 2007, n. 244, ove è previsto che le entrate derivanti dal riversamento al bilancio dello Stato degli avanzi di gestione conseguiti dalle Agenzie fiscali, ad esclusione dell’Agenzia del demanio, tranne quelli destinati all’incentivazione del personale, nonché le entrate derivanti dagli utili conseguiti a decorrere dall’anno 2007 dalle società di cui </w:t>
      </w:r>
      <w:r>
        <w:t>all’art</w:t>
      </w:r>
      <w:r w:rsidR="4E8406CB">
        <w:t>icolo</w:t>
      </w:r>
      <w:r w:rsidRPr="00987C41">
        <w:t xml:space="preserve"> 59, comma 5, del </w:t>
      </w:r>
      <w:r w:rsidR="669EA70B">
        <w:t>decreto legislativo</w:t>
      </w:r>
      <w:r w:rsidRPr="00987C41">
        <w:t xml:space="preserve"> n. 300/1999, sono utilizzate per il potenziamento delle strutture dell’amministrazione finanziaria, con particolare riguardo a progetti volti al miglioramento della qualità della legislazione e alla semplificazione del sistema degli adempimenti per i contribuenti.</w:t>
      </w:r>
    </w:p>
    <w:p w:rsidR="00BB5031" w:rsidRPr="00987C41" w:rsidP="00987C41" w14:paraId="1A028274" w14:textId="689D6341">
      <w:pPr>
        <w:spacing w:after="120"/>
        <w:jc w:val="both"/>
      </w:pPr>
      <w:r w:rsidRPr="00987C41">
        <w:t xml:space="preserve">In particolare, la </w:t>
      </w:r>
      <w:r w:rsidRPr="00987C41" w:rsidR="59EA1BF4">
        <w:t>novella</w:t>
      </w:r>
      <w:r w:rsidRPr="00987C41">
        <w:t xml:space="preserve"> integra la suddetta disposizione prevedendo la destinazione delle entrate in argomento anche al potenziamento dei servizi digitali della giustizia tributaria e del processo tributario telematico, al fine di migliorarne la fruizione per gli organi giudicanti e le parti processuali, nonché, conseguentemente, di incrementare i livelli di efficienza e produttività della funzione giurisdizionale. Inoltre, la norma modifica la denominazione delle strutture destinatarie della riassegnazione delle entrate di cui trattasi, in coerenza con i vigenti provvedimenti di organizzazione del Ministero dell’economia e delle finanze, sostituendo il riferimento al preesistente Dipartimento per le politiche fiscali con il riferimento al Dipartimento delle finanze e al Dipartimento della giustizia tributaria.</w:t>
      </w:r>
    </w:p>
    <w:p w:rsidR="00BB5031" w:rsidRPr="00987C41" w:rsidP="00987C41" w14:paraId="6D536D36" w14:textId="4CA8B7CD">
      <w:pPr>
        <w:spacing w:after="120"/>
        <w:jc w:val="both"/>
      </w:pPr>
      <w:r w:rsidRPr="00330328">
        <w:rPr>
          <w:b/>
          <w:bCs/>
        </w:rPr>
        <w:t xml:space="preserve">La disposizione non comporta nuovi o maggiori oneri </w:t>
      </w:r>
      <w:r w:rsidRPr="00330328" w:rsidR="009A2EB0">
        <w:rPr>
          <w:b/>
          <w:bCs/>
        </w:rPr>
        <w:t>a carico della finanza pubblica</w:t>
      </w:r>
      <w:r w:rsidRPr="00330328">
        <w:rPr>
          <w:b/>
          <w:bCs/>
        </w:rPr>
        <w:t>, atteso che prevede un adeguamento del dettato normativo di cui all’articolo 1, comma 358, della legge 24 dicembre 2007, n. 244, ferma restando l’invarianza delle somme destinate alla riassegnazione ai citati Dipartimenti del Ministero dell’economia e delle finanze per le finalità ivi individuate</w:t>
      </w:r>
      <w:r w:rsidRPr="00987C41">
        <w:t>.</w:t>
      </w:r>
    </w:p>
    <w:p w:rsidR="00BB5031" w:rsidRPr="00987C41" w:rsidP="00987C41" w14:paraId="34919EFD" w14:textId="20071ED7">
      <w:pPr>
        <w:spacing w:after="120"/>
        <w:jc w:val="both"/>
        <w:rPr>
          <w:b/>
        </w:rPr>
      </w:pPr>
      <w:r w:rsidRPr="00987C41">
        <w:t xml:space="preserve">Il </w:t>
      </w:r>
      <w:r w:rsidRPr="00D66593">
        <w:rPr>
          <w:b/>
          <w:u w:val="single"/>
        </w:rPr>
        <w:t>comma 6</w:t>
      </w:r>
      <w:r w:rsidRPr="00987C41">
        <w:t xml:space="preserve"> si limita a disporre</w:t>
      </w:r>
      <w:r w:rsidRPr="1776D51D">
        <w:rPr>
          <w:color w:val="EE0000"/>
        </w:rPr>
        <w:t xml:space="preserve"> </w:t>
      </w:r>
      <w:r w:rsidR="35156AF4">
        <w:t>ch</w:t>
      </w:r>
      <w:r w:rsidR="7CD7A2A0">
        <w:t>e</w:t>
      </w:r>
      <w:r w:rsidR="3C2BEC5E">
        <w:t xml:space="preserve"> </w:t>
      </w:r>
      <w:r w:rsidR="7CD7A2A0">
        <w:t>le</w:t>
      </w:r>
      <w:r w:rsidRPr="00987C41">
        <w:t xml:space="preserve"> disposizioni recate dal comma 2 </w:t>
      </w:r>
      <w:r w:rsidRPr="1776D51D" w:rsidR="2885E344">
        <w:t>si applicano ai ricorsi notificati</w:t>
      </w:r>
      <w:r w:rsidRPr="1776D51D" w:rsidR="7CD7A2A0">
        <w:t xml:space="preserve"> </w:t>
      </w:r>
      <w:r w:rsidR="0A5AABAA">
        <w:t xml:space="preserve">a </w:t>
      </w:r>
      <w:r w:rsidRPr="00D52500" w:rsidR="0A5AABAA">
        <w:t>decorre</w:t>
      </w:r>
      <w:r w:rsidRPr="00D52500" w:rsidR="6B527979">
        <w:t>re</w:t>
      </w:r>
      <w:r w:rsidRPr="00D52500" w:rsidR="0A5AABAA">
        <w:t xml:space="preserve"> dal </w:t>
      </w:r>
      <w:r w:rsidRPr="7352F318" w:rsidR="78AFE4B4">
        <w:rPr>
          <w:b/>
          <w:bCs/>
        </w:rPr>
        <w:t>2</w:t>
      </w:r>
      <w:r w:rsidRPr="7352F318" w:rsidR="1A79CB18">
        <w:rPr>
          <w:b/>
          <w:bCs/>
        </w:rPr>
        <w:t xml:space="preserve"> </w:t>
      </w:r>
      <w:r w:rsidRPr="7352F318" w:rsidR="16D4B95F">
        <w:rPr>
          <w:b/>
          <w:bCs/>
        </w:rPr>
        <w:t>maggio</w:t>
      </w:r>
      <w:r w:rsidRPr="00D52500" w:rsidR="0A5AABAA">
        <w:rPr>
          <w:b/>
          <w:bCs/>
        </w:rPr>
        <w:t xml:space="preserve"> 2026</w:t>
      </w:r>
      <w:r w:rsidRPr="00D52500" w:rsidR="00D52500">
        <w:t>.</w:t>
      </w:r>
      <w:r w:rsidRPr="00D52500" w:rsidR="1F812E97">
        <w:t xml:space="preserve"> La disposizione</w:t>
      </w:r>
      <w:r w:rsidR="7CD7A2A0">
        <w:t xml:space="preserve"> </w:t>
      </w:r>
      <w:r w:rsidR="0D003EF9">
        <w:t>di natura ordinamentale</w:t>
      </w:r>
      <w:r w:rsidRPr="00987C41">
        <w:t xml:space="preserve"> </w:t>
      </w:r>
      <w:r w:rsidRPr="00987C41">
        <w:rPr>
          <w:b/>
        </w:rPr>
        <w:t xml:space="preserve">non </w:t>
      </w:r>
      <w:r w:rsidRPr="1776D51D" w:rsidR="399E2FEB">
        <w:rPr>
          <w:b/>
          <w:bCs/>
        </w:rPr>
        <w:t>comporta</w:t>
      </w:r>
      <w:r w:rsidRPr="00987C41">
        <w:rPr>
          <w:b/>
        </w:rPr>
        <w:t xml:space="preserve"> nuovi o maggiori oneri di spesa</w:t>
      </w:r>
      <w:r w:rsidRPr="00987C41" w:rsidR="4FA6A5A7">
        <w:rPr>
          <w:b/>
        </w:rPr>
        <w:t xml:space="preserve"> a carico della finanza pubblica</w:t>
      </w:r>
      <w:r w:rsidRPr="00987C41">
        <w:rPr>
          <w:b/>
        </w:rPr>
        <w:t xml:space="preserve">. </w:t>
      </w:r>
    </w:p>
    <w:p w:rsidR="00D52500" w:rsidP="00987C41" w14:paraId="138D61D4" w14:textId="77777777">
      <w:pPr>
        <w:pStyle w:val="Heading3"/>
        <w:spacing w:before="0" w:after="120"/>
        <w:rPr>
          <w:rFonts w:eastAsia="Times New Roman" w:cs="Times New Roman"/>
          <w:color w:val="000000" w:themeColor="text1"/>
        </w:rPr>
      </w:pPr>
      <w:bookmarkStart w:id="55" w:name="_Toc215601755"/>
      <w:bookmarkEnd w:id="14"/>
      <w:bookmarkEnd w:id="36"/>
      <w:bookmarkEnd w:id="53"/>
    </w:p>
    <w:p w:rsidR="00614F20" w:rsidRPr="00987C41" w:rsidP="00987C41" w14:paraId="29F4BB83" w14:textId="4B5EEBEB">
      <w:pPr>
        <w:pStyle w:val="Heading3"/>
        <w:spacing w:before="0" w:after="120"/>
        <w:rPr>
          <w:rFonts w:eastAsia="Times New Roman" w:cs="Times New Roman"/>
          <w:color w:val="000000" w:themeColor="text1"/>
        </w:rPr>
      </w:pPr>
      <w:bookmarkStart w:id="56" w:name="_Toc220077561"/>
      <w:r w:rsidRPr="00987C41">
        <w:rPr>
          <w:rFonts w:eastAsia="Times New Roman" w:cs="Times New Roman"/>
          <w:color w:val="000000" w:themeColor="text1"/>
        </w:rPr>
        <w:t>ART. 1</w:t>
      </w:r>
      <w:r w:rsidR="009B0306">
        <w:rPr>
          <w:rFonts w:eastAsia="Times New Roman" w:cs="Times New Roman"/>
          <w:color w:val="000000" w:themeColor="text1"/>
        </w:rPr>
        <w:t>7</w:t>
      </w:r>
      <w:r w:rsidRPr="00987C41">
        <w:rPr>
          <w:rFonts w:eastAsia="Times New Roman" w:cs="Times New Roman"/>
          <w:color w:val="000000" w:themeColor="text1"/>
        </w:rPr>
        <w:t xml:space="preserve">                                                                                                                                                                                                                                          </w:t>
      </w:r>
      <w:r w:rsidRPr="00987C41">
        <w:rPr>
          <w:rFonts w:eastAsia="Times New Roman" w:cs="Times New Roman"/>
          <w:color w:val="000000" w:themeColor="text1"/>
        </w:rPr>
        <w:t xml:space="preserve">   (</w:t>
      </w:r>
      <w:r w:rsidRPr="00987C41">
        <w:rPr>
          <w:rFonts w:eastAsia="Times New Roman" w:cs="Times New Roman"/>
          <w:color w:val="000000" w:themeColor="text1"/>
        </w:rPr>
        <w:t xml:space="preserve">Disposizioni </w:t>
      </w:r>
      <w:r w:rsidRPr="00FA6287" w:rsidR="00FA6287">
        <w:rPr>
          <w:rFonts w:eastAsia="Times New Roman" w:cs="Times New Roman"/>
          <w:color w:val="000000" w:themeColor="text1"/>
        </w:rPr>
        <w:t>per l’attuazione della Riforma 1.4 «</w:t>
      </w:r>
      <w:r w:rsidRPr="00FA6287" w:rsidR="00FA6287">
        <w:rPr>
          <w:rFonts w:eastAsia="Times New Roman" w:cs="Times New Roman"/>
          <w:bCs/>
          <w:color w:val="000000" w:themeColor="text1"/>
        </w:rPr>
        <w:t>Giustizia civile</w:t>
      </w:r>
      <w:r w:rsidRPr="00FA6287" w:rsidR="00FA6287">
        <w:rPr>
          <w:rFonts w:eastAsia="Times New Roman" w:cs="Times New Roman"/>
          <w:color w:val="000000" w:themeColor="text1"/>
        </w:rPr>
        <w:t>» della Missione 1 - Componente 1 del PNRR</w:t>
      </w:r>
      <w:r w:rsidRPr="00987C41">
        <w:rPr>
          <w:rFonts w:eastAsia="Times New Roman" w:cs="Times New Roman"/>
          <w:color w:val="000000" w:themeColor="text1"/>
        </w:rPr>
        <w:t>)</w:t>
      </w:r>
      <w:bookmarkEnd w:id="55"/>
      <w:bookmarkEnd w:id="56"/>
    </w:p>
    <w:p w:rsidR="001457CF" w:rsidRPr="001457CF" w:rsidP="001457CF" w14:paraId="1113C718" w14:textId="77777777">
      <w:pPr>
        <w:spacing w:after="120"/>
        <w:jc w:val="both"/>
      </w:pPr>
      <w:r w:rsidRPr="001457CF">
        <w:t>La disposizione interviene sul decreto-legge n. 117 del 2025, recante “</w:t>
      </w:r>
      <w:r w:rsidRPr="001457CF">
        <w:rPr>
          <w:i/>
        </w:rPr>
        <w:t>Misure urgenti in materia di giustizia</w:t>
      </w:r>
      <w:r w:rsidRPr="001457CF">
        <w:t>”, al fine di incentivare ulteriormente il ricorso ad alcune delle misure ivi previste per assicurare il raggiungimento degli obiettivi di cui alla Riforma 1.4 della Missione 1 - Componente 1 del PNRR relativi ai tempi di definizione del procedimento come definiti dalla milestone M1C1-45 (riduzione del 40 % dei tempi di trattazione di tutti i procedimenti dei contenziosi civili e commerciali rispetto al 31 dicembre 2019) in scadenza al 30 giugno 2026.</w:t>
      </w:r>
    </w:p>
    <w:p w:rsidR="682F8748" w:rsidP="682F8748" w14:paraId="45302D34" w14:textId="4BC48D99">
      <w:pPr>
        <w:spacing w:after="120"/>
        <w:jc w:val="both"/>
        <w:rPr>
          <w:rFonts w:eastAsia="Calibri"/>
          <w:color w:val="000000" w:themeColor="text1"/>
          <w:lang w:eastAsia="en-US"/>
        </w:rPr>
      </w:pPr>
      <w:r w:rsidRPr="682F8748">
        <w:rPr>
          <w:color w:val="000000" w:themeColor="text1"/>
        </w:rPr>
        <w:t xml:space="preserve">In particolare, il </w:t>
      </w:r>
      <w:r w:rsidRPr="682F8748">
        <w:rPr>
          <w:b/>
          <w:bCs/>
          <w:color w:val="000000" w:themeColor="text1"/>
          <w:u w:val="single"/>
        </w:rPr>
        <w:t>comma 1</w:t>
      </w:r>
      <w:r w:rsidRPr="682F8748">
        <w:rPr>
          <w:b/>
          <w:bCs/>
          <w:color w:val="000000" w:themeColor="text1"/>
        </w:rPr>
        <w:t xml:space="preserve"> </w:t>
      </w:r>
      <w:r w:rsidRPr="682F8748">
        <w:rPr>
          <w:color w:val="000000" w:themeColor="text1"/>
        </w:rPr>
        <w:t xml:space="preserve">interviene sull’articolo 3 del </w:t>
      </w:r>
      <w:r w:rsidRPr="682F8748">
        <w:rPr>
          <w:color w:val="000000" w:themeColor="text1"/>
        </w:rPr>
        <w:t>predetto</w:t>
      </w:r>
      <w:r w:rsidRPr="682F8748">
        <w:rPr>
          <w:color w:val="000000" w:themeColor="text1"/>
        </w:rPr>
        <w:t xml:space="preserve"> decreto-legge:</w:t>
      </w:r>
    </w:p>
    <w:p w:rsidR="00DF1D2C" w:rsidRPr="00E440EE" w:rsidP="00987C41" w14:paraId="6A179214" w14:textId="663A54A2">
      <w:pPr>
        <w:spacing w:after="120"/>
        <w:jc w:val="both"/>
        <w:rPr>
          <w:rFonts w:eastAsia="Calibri"/>
          <w:strike/>
          <w:color w:val="00B050"/>
          <w:lang w:eastAsia="en-US"/>
        </w:rPr>
      </w:pPr>
      <w:r w:rsidRPr="00E440EE">
        <w:rPr>
          <w:rFonts w:eastAsia="Calibri"/>
          <w:strike/>
          <w:color w:val="00B050"/>
          <w:lang w:eastAsia="en-US"/>
        </w:rPr>
        <w:t xml:space="preserve">La modifica indicata al </w:t>
      </w:r>
      <w:r w:rsidRPr="00E440EE">
        <w:rPr>
          <w:rFonts w:eastAsia="Calibri"/>
          <w:b/>
          <w:strike/>
          <w:color w:val="00B050"/>
          <w:lang w:eastAsia="en-US"/>
        </w:rPr>
        <w:t xml:space="preserve">comma 1, </w:t>
      </w:r>
      <w:r w:rsidRPr="00E440EE">
        <w:rPr>
          <w:rFonts w:eastAsia="Calibri"/>
          <w:b/>
          <w:strike/>
          <w:color w:val="00B050"/>
          <w:u w:val="single"/>
          <w:lang w:eastAsia="en-US"/>
        </w:rPr>
        <w:t xml:space="preserve">lettera </w:t>
      </w:r>
      <w:r w:rsidRPr="00E440EE" w:rsidR="78CED104">
        <w:rPr>
          <w:rFonts w:eastAsia="Calibri"/>
          <w:b/>
          <w:strike/>
          <w:color w:val="00B050"/>
          <w:u w:val="single"/>
          <w:lang w:eastAsia="en-US"/>
        </w:rPr>
        <w:t>a</w:t>
      </w:r>
      <w:r w:rsidRPr="00E440EE">
        <w:rPr>
          <w:rFonts w:eastAsia="Calibri"/>
          <w:b/>
          <w:strike/>
          <w:color w:val="00B050"/>
          <w:lang w:eastAsia="en-US"/>
        </w:rPr>
        <w:t>)</w:t>
      </w:r>
      <w:r w:rsidRPr="00E440EE">
        <w:rPr>
          <w:rFonts w:eastAsia="Calibri"/>
          <w:strike/>
          <w:color w:val="00B050"/>
          <w:lang w:eastAsia="en-US"/>
        </w:rPr>
        <w:t xml:space="preserve"> prevede la soppressione </w:t>
      </w:r>
      <w:r w:rsidRPr="00E440EE" w:rsidR="511910FC">
        <w:rPr>
          <w:rFonts w:eastAsia="Calibri"/>
          <w:strike/>
          <w:color w:val="00B050"/>
          <w:lang w:eastAsia="en-US"/>
        </w:rPr>
        <w:t>dell’ultimo periodo del comma 3,</w:t>
      </w:r>
      <w:r w:rsidRPr="00E440EE">
        <w:rPr>
          <w:rFonts w:eastAsia="Calibri"/>
          <w:strike/>
          <w:color w:val="00B050"/>
        </w:rPr>
        <w:t xml:space="preserve"> </w:t>
      </w:r>
      <w:r w:rsidRPr="00E440EE" w:rsidR="511910FC">
        <w:rPr>
          <w:strike/>
          <w:color w:val="00B050"/>
        </w:rPr>
        <w:t xml:space="preserve">al fine </w:t>
      </w:r>
      <w:r w:rsidRPr="00E440EE">
        <w:rPr>
          <w:rFonts w:eastAsia="Calibri"/>
          <w:strike/>
          <w:color w:val="00B050"/>
        </w:rPr>
        <w:t xml:space="preserve">di </w:t>
      </w:r>
      <w:r w:rsidRPr="00E440EE" w:rsidR="511910FC">
        <w:rPr>
          <w:strike/>
          <w:color w:val="00B050"/>
        </w:rPr>
        <w:t>consentire anche ai</w:t>
      </w:r>
      <w:r w:rsidRPr="00E440EE">
        <w:rPr>
          <w:rFonts w:eastAsia="Calibri"/>
          <w:strike/>
          <w:color w:val="00B050"/>
        </w:rPr>
        <w:t xml:space="preserve"> magistrati </w:t>
      </w:r>
      <w:r w:rsidRPr="00E440EE" w:rsidR="511910FC">
        <w:rPr>
          <w:strike/>
          <w:color w:val="00B050"/>
        </w:rPr>
        <w:t xml:space="preserve">collocati </w:t>
      </w:r>
      <w:r w:rsidRPr="00E440EE">
        <w:rPr>
          <w:rFonts w:eastAsia="Calibri"/>
          <w:strike/>
          <w:color w:val="00B050"/>
        </w:rPr>
        <w:t xml:space="preserve">fuori ruolo in sedi situate al di fuori del territorio nazionale </w:t>
      </w:r>
      <w:r w:rsidRPr="00E440EE" w:rsidR="511910FC">
        <w:rPr>
          <w:strike/>
          <w:color w:val="00B050"/>
        </w:rPr>
        <w:t>di partecipare all’interpello finalizzato a raccogliere le domande di applicazione a distanza</w:t>
      </w:r>
      <w:r w:rsidRPr="00E440EE" w:rsidR="6CFAE3A6">
        <w:rPr>
          <w:strike/>
          <w:color w:val="00B050"/>
        </w:rPr>
        <w:t>. Tale disposizione</w:t>
      </w:r>
      <w:r w:rsidRPr="00E440EE">
        <w:rPr>
          <w:rFonts w:eastAsia="Calibri"/>
          <w:strike/>
          <w:color w:val="00B050"/>
          <w:lang w:eastAsia="en-US"/>
        </w:rPr>
        <w:t xml:space="preserve"> </w:t>
      </w:r>
      <w:r w:rsidRPr="00E440EE">
        <w:rPr>
          <w:rFonts w:eastAsia="Batang"/>
          <w:strike/>
          <w:color w:val="00B050"/>
        </w:rPr>
        <w:t>ha carattere organizzativo</w:t>
      </w:r>
      <w:r w:rsidRPr="00E440EE">
        <w:rPr>
          <w:rFonts w:eastAsia="Calibri"/>
          <w:strike/>
          <w:color w:val="00B050"/>
          <w:lang w:eastAsia="en-US"/>
        </w:rPr>
        <w:t xml:space="preserve"> </w:t>
      </w:r>
      <w:r w:rsidRPr="00E440EE">
        <w:rPr>
          <w:rFonts w:eastAsia="Batang"/>
          <w:strike/>
          <w:color w:val="00B050"/>
        </w:rPr>
        <w:t>ed è diretta a pianificare il lavoro dell’ufficio giudiziario in vista del conseguimento degli obiettivi PNRR,</w:t>
      </w:r>
      <w:r w:rsidRPr="00E440EE">
        <w:rPr>
          <w:rFonts w:eastAsia="Calibri"/>
          <w:strike/>
          <w:color w:val="00B050"/>
          <w:lang w:eastAsia="en-US"/>
        </w:rPr>
        <w:t xml:space="preserve"> </w:t>
      </w:r>
      <w:r w:rsidRPr="00E440EE">
        <w:rPr>
          <w:rFonts w:eastAsia="Batang"/>
          <w:strike/>
          <w:color w:val="00B050"/>
        </w:rPr>
        <w:t xml:space="preserve">pertanto, </w:t>
      </w:r>
      <w:r w:rsidRPr="00E440EE">
        <w:rPr>
          <w:rFonts w:eastAsia="Batang"/>
          <w:b/>
          <w:strike/>
          <w:color w:val="00B050"/>
        </w:rPr>
        <w:t>non è suscettibile di determinare nuovi o maggiori oneri per la finanza pubblica</w:t>
      </w:r>
      <w:r w:rsidRPr="00E440EE">
        <w:rPr>
          <w:rFonts w:eastAsia="Calibri"/>
          <w:b/>
          <w:strike/>
          <w:color w:val="00B050"/>
          <w:lang w:eastAsia="en-US"/>
        </w:rPr>
        <w:t>.</w:t>
      </w:r>
    </w:p>
    <w:p w:rsidR="00DF1D2C" w:rsidRPr="00987C41" w:rsidP="1EDFB62D" w14:paraId="12C98821" w14:textId="43EF8FD2">
      <w:pPr>
        <w:spacing w:after="120"/>
        <w:jc w:val="both"/>
        <w:rPr>
          <w:rFonts w:eastAsia="Calibri"/>
          <w:lang w:eastAsia="en-US"/>
        </w:rPr>
      </w:pPr>
      <w:r w:rsidRPr="3C098A0F">
        <w:rPr>
          <w:rFonts w:eastAsia="Calibri"/>
          <w:lang w:eastAsia="en-US"/>
        </w:rPr>
        <w:t>L</w:t>
      </w:r>
      <w:r w:rsidRPr="3C098A0F" w:rsidR="6E82425C">
        <w:rPr>
          <w:rFonts w:eastAsia="Calibri"/>
          <w:lang w:eastAsia="en-US"/>
        </w:rPr>
        <w:t>a</w:t>
      </w:r>
      <w:r w:rsidRPr="3C098A0F">
        <w:rPr>
          <w:rFonts w:eastAsia="Calibri"/>
          <w:lang w:eastAsia="en-US"/>
        </w:rPr>
        <w:t xml:space="preserve"> modific</w:t>
      </w:r>
      <w:r w:rsidRPr="3C098A0F" w:rsidR="2223C602">
        <w:rPr>
          <w:rFonts w:eastAsia="Calibri"/>
          <w:lang w:eastAsia="en-US"/>
        </w:rPr>
        <w:t>a</w:t>
      </w:r>
      <w:r w:rsidRPr="3C098A0F">
        <w:rPr>
          <w:rFonts w:eastAsia="Calibri"/>
          <w:lang w:eastAsia="en-US"/>
        </w:rPr>
        <w:t xml:space="preserve"> indicat</w:t>
      </w:r>
      <w:r w:rsidRPr="3C098A0F" w:rsidR="48F4AF94">
        <w:rPr>
          <w:rFonts w:eastAsia="Calibri"/>
          <w:lang w:eastAsia="en-US"/>
        </w:rPr>
        <w:t>a</w:t>
      </w:r>
      <w:r w:rsidRPr="00987C41">
        <w:rPr>
          <w:rFonts w:eastAsia="Calibri"/>
          <w:lang w:eastAsia="en-US"/>
        </w:rPr>
        <w:t xml:space="preserve"> al </w:t>
      </w:r>
      <w:r w:rsidRPr="00987C41">
        <w:rPr>
          <w:rFonts w:eastAsia="Calibri"/>
          <w:b/>
          <w:lang w:eastAsia="en-US"/>
        </w:rPr>
        <w:t xml:space="preserve">comma 1, </w:t>
      </w:r>
      <w:r w:rsidRPr="00D20515">
        <w:rPr>
          <w:rFonts w:eastAsia="Calibri"/>
          <w:b/>
          <w:u w:val="single"/>
          <w:lang w:eastAsia="en-US"/>
        </w:rPr>
        <w:t xml:space="preserve">lettere </w:t>
      </w:r>
      <w:r w:rsidR="00A92CEE">
        <w:rPr>
          <w:rFonts w:eastAsia="Calibri"/>
          <w:b/>
          <w:u w:val="single"/>
          <w:lang w:eastAsia="en-US"/>
        </w:rPr>
        <w:t>a</w:t>
      </w:r>
      <w:r w:rsidRPr="00D20515">
        <w:rPr>
          <w:rFonts w:eastAsia="Calibri"/>
          <w:b/>
          <w:bCs/>
          <w:u w:val="single"/>
          <w:lang w:eastAsia="en-US"/>
        </w:rPr>
        <w:t>)</w:t>
      </w:r>
      <w:r w:rsidRPr="1BEF03FB">
        <w:rPr>
          <w:rFonts w:eastAsia="Calibri"/>
          <w:b/>
          <w:lang w:eastAsia="en-US"/>
        </w:rPr>
        <w:t xml:space="preserve"> </w:t>
      </w:r>
      <w:r w:rsidRPr="1BEF03FB" w:rsidR="41456722">
        <w:rPr>
          <w:color w:val="000000" w:themeColor="text1"/>
        </w:rPr>
        <w:t>integra il comma 6 al fine di prevedere la possibilità per il magistrato applicato da remoto che abbia definito sia i primi cinquanta che i secondi cinquanta procedimenti a lui assegnati, di essere assegnatario, previa manifestazione di disponibilità, di ulteriori cinquanta procedimenti, da definirsi improrogabilmente entro il 30 giugno 2026</w:t>
      </w:r>
      <w:r w:rsidRPr="72F7453E" w:rsidR="5774841C">
        <w:rPr>
          <w:color w:val="000000" w:themeColor="text1"/>
        </w:rPr>
        <w:t>.</w:t>
      </w:r>
    </w:p>
    <w:p w:rsidR="00DF1D2C" w:rsidRPr="00987C41" w:rsidP="00987C41" w14:paraId="254BF8C3" w14:textId="407463C1">
      <w:pPr>
        <w:spacing w:after="120"/>
        <w:jc w:val="both"/>
        <w:rPr>
          <w:rFonts w:eastAsia="Calibri"/>
          <w:lang w:eastAsia="en-US"/>
        </w:rPr>
      </w:pPr>
      <w:r w:rsidRPr="1EDFB62D">
        <w:rPr>
          <w:rFonts w:eastAsia="Calibri"/>
          <w:lang w:eastAsia="en-US"/>
        </w:rPr>
        <w:t xml:space="preserve">La modifica indicata al </w:t>
      </w:r>
      <w:r w:rsidRPr="1EDFB62D">
        <w:rPr>
          <w:rFonts w:eastAsia="Calibri"/>
          <w:b/>
          <w:bCs/>
          <w:lang w:eastAsia="en-US"/>
        </w:rPr>
        <w:t xml:space="preserve">comma 1, </w:t>
      </w:r>
      <w:r w:rsidRPr="00D20515">
        <w:rPr>
          <w:rFonts w:eastAsia="Calibri"/>
          <w:b/>
          <w:bCs/>
          <w:u w:val="single"/>
          <w:lang w:eastAsia="en-US"/>
        </w:rPr>
        <w:t xml:space="preserve">lettere </w:t>
      </w:r>
      <w:r w:rsidR="00DD6D46">
        <w:rPr>
          <w:rFonts w:eastAsia="Calibri"/>
          <w:b/>
          <w:bCs/>
          <w:u w:val="single"/>
          <w:lang w:eastAsia="en-US"/>
        </w:rPr>
        <w:t>b</w:t>
      </w:r>
      <w:r w:rsidRPr="00D20515">
        <w:rPr>
          <w:rFonts w:eastAsia="Calibri"/>
          <w:b/>
          <w:bCs/>
          <w:u w:val="single"/>
          <w:lang w:eastAsia="en-US"/>
        </w:rPr>
        <w:t>)</w:t>
      </w:r>
      <w:r w:rsidRPr="1EDFB62D" w:rsidR="5774841C">
        <w:rPr>
          <w:color w:val="000000" w:themeColor="text1"/>
        </w:rPr>
        <w:t xml:space="preserve"> </w:t>
      </w:r>
      <w:r w:rsidRPr="1EDFB62D" w:rsidR="1FB91C88">
        <w:rPr>
          <w:color w:val="000000" w:themeColor="text1"/>
        </w:rPr>
        <w:t xml:space="preserve">prevede, attraverso la modifica al comma 11, che al magistrato che abbia manifestato la disponibilità di cui al comma 6, come integrato dalla lettera </w:t>
      </w:r>
      <w:r w:rsidRPr="1EDFB62D" w:rsidR="1FB91C88">
        <w:rPr>
          <w:i/>
          <w:iCs/>
          <w:color w:val="000000" w:themeColor="text1"/>
        </w:rPr>
        <w:t>b</w:t>
      </w:r>
      <w:r w:rsidRPr="1EDFB62D" w:rsidR="1FB91C88">
        <w:rPr>
          <w:color w:val="000000" w:themeColor="text1"/>
        </w:rPr>
        <w:t>) della disposizione in commento, venga corrisposta un’ulteriore indennità pari a quella di cui al primo periodo del medesimo comma 11 (ovvero in misura corrispondente al triplo dell'indennità mensile prevista dall'articolo 2, commi 1 e 2, della legge n. 133 del 1998) a condizione che abbia definito, entro il termine dell’applicazione, gli ulteriori cinquanta procedimenti civili a lui assegnati</w:t>
      </w:r>
      <w:r w:rsidRPr="50D047C3" w:rsidR="1FB91C88">
        <w:rPr>
          <w:color w:val="000000" w:themeColor="text1"/>
        </w:rPr>
        <w:t xml:space="preserve">. </w:t>
      </w:r>
      <w:r w:rsidRPr="50D047C3" w:rsidR="5774841C">
        <w:rPr>
          <w:color w:val="000000" w:themeColor="text1"/>
        </w:rPr>
        <w:t>Tale previsione</w:t>
      </w:r>
      <w:r w:rsidRPr="50D047C3" w:rsidR="0D901FB6">
        <w:rPr>
          <w:rFonts w:eastAsia="Calibri"/>
          <w:lang w:eastAsia="en-US"/>
        </w:rPr>
        <w:t xml:space="preserve"> comporta</w:t>
      </w:r>
      <w:r w:rsidRPr="50D047C3">
        <w:rPr>
          <w:rFonts w:eastAsia="Calibri"/>
          <w:lang w:eastAsia="en-US"/>
        </w:rPr>
        <w:t xml:space="preserve"> un maggiore onere per l’anno 2026 di euro 7.636.912. </w:t>
      </w:r>
      <w:r w:rsidRPr="35B56379" w:rsidR="73C1768F">
        <w:rPr>
          <w:rFonts w:eastAsia="Calibri"/>
          <w:lang w:eastAsia="en-US"/>
        </w:rPr>
        <w:t>Pe</w:t>
      </w:r>
      <w:r w:rsidRPr="35B56379">
        <w:rPr>
          <w:rFonts w:eastAsia="Calibri"/>
          <w:lang w:eastAsia="en-US"/>
        </w:rPr>
        <w:t>r</w:t>
      </w:r>
      <w:r w:rsidRPr="00987C41">
        <w:rPr>
          <w:rFonts w:eastAsia="Calibri"/>
          <w:lang w:eastAsia="en-US"/>
        </w:rPr>
        <w:t xml:space="preserve"> quantificare il maggior onere derivante dal riconoscimento, all’ulteriore terzo blocco di cinquanta procedimenti civili definiti, dell’indennità di cui all'articolo 2 della l. </w:t>
      </w:r>
      <w:r w:rsidRPr="00987C41" w:rsidR="002A42C3">
        <w:rPr>
          <w:rFonts w:eastAsia="Calibri"/>
          <w:lang w:eastAsia="en-US"/>
        </w:rPr>
        <w:t xml:space="preserve">n. </w:t>
      </w:r>
      <w:r w:rsidRPr="00987C41">
        <w:rPr>
          <w:rFonts w:eastAsia="Calibri"/>
          <w:lang w:eastAsia="en-US"/>
        </w:rPr>
        <w:t>133</w:t>
      </w:r>
      <w:r w:rsidRPr="00987C41" w:rsidR="002A42C3">
        <w:rPr>
          <w:rFonts w:eastAsia="Calibri"/>
          <w:lang w:eastAsia="en-US"/>
        </w:rPr>
        <w:t xml:space="preserve"> del </w:t>
      </w:r>
      <w:r w:rsidRPr="00987C41">
        <w:rPr>
          <w:rFonts w:eastAsia="Calibri"/>
          <w:lang w:eastAsia="en-US"/>
        </w:rPr>
        <w:t xml:space="preserve">1998, si è utilizzato il prontuario delle competenze dovute al personale della magistratura ordinaria in applicazione del </w:t>
      </w:r>
      <w:r w:rsidRPr="00987C41" w:rsidR="00B64A70">
        <w:rPr>
          <w:rFonts w:eastAsia="Calibri"/>
          <w:lang w:eastAsia="en-US"/>
        </w:rPr>
        <w:t>D.P.C.M.</w:t>
      </w:r>
      <w:r w:rsidRPr="00987C41">
        <w:rPr>
          <w:rFonts w:eastAsia="Calibri"/>
          <w:lang w:eastAsia="en-US"/>
        </w:rPr>
        <w:t xml:space="preserve"> 3 giugno 2024 recante «</w:t>
      </w:r>
      <w:r w:rsidRPr="00987C41">
        <w:rPr>
          <w:rFonts w:eastAsia="Calibri"/>
          <w:i/>
          <w:lang w:eastAsia="en-US"/>
        </w:rPr>
        <w:t>Adeguamento triennale degli stipendi e delle indennità del personale di magistratura ed equiparati</w:t>
      </w:r>
      <w:r w:rsidRPr="00987C41">
        <w:rPr>
          <w:rFonts w:eastAsia="Calibri"/>
          <w:lang w:eastAsia="en-US"/>
        </w:rPr>
        <w:t>», prendendo in considerazione gli importi relativi allo stipendio tabellare di un magistrato ordinario con tre anni di anzianità, qualifica HH03, classe 1^.</w:t>
      </w:r>
    </w:p>
    <w:p w:rsidR="00DF1D2C" w:rsidRPr="00987C41" w:rsidP="00987C41" w14:paraId="6E930F1A" w14:textId="77777777">
      <w:pPr>
        <w:spacing w:after="120"/>
        <w:jc w:val="both"/>
        <w:rPr>
          <w:rFonts w:eastAsia="Calibri"/>
          <w:lang w:eastAsia="en-US"/>
        </w:rPr>
      </w:pPr>
      <w:r w:rsidRPr="00987C41">
        <w:rPr>
          <w:rFonts w:eastAsia="Calibri"/>
          <w:lang w:eastAsia="en-US"/>
        </w:rPr>
        <w:t>Di seguito si riporta il prospetto che riproduce gli oneri complessivi per ogni cinquanta procedimenti civili definiti.</w:t>
      </w:r>
    </w:p>
    <w:p w:rsidR="00BD542A" w:rsidRPr="00987C41" w:rsidP="00987C41" w14:paraId="6E84382B" w14:textId="0E6BA5CF">
      <w:pPr>
        <w:spacing w:after="120"/>
      </w:pPr>
      <w:r w:rsidRPr="00987C41">
        <w:rPr>
          <w:noProof/>
        </w:rPr>
        <w:drawing>
          <wp:inline distT="0" distB="0" distL="0" distR="0">
            <wp:extent cx="6084570" cy="969645"/>
            <wp:effectExtent l="0" t="0" r="0" b="1905"/>
            <wp:docPr id="28204471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44712" name="Picture 3"/>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6084570" cy="969645"/>
                    </a:xfrm>
                    <a:prstGeom prst="rect">
                      <a:avLst/>
                    </a:prstGeom>
                    <a:noFill/>
                  </pic:spPr>
                </pic:pic>
              </a:graphicData>
            </a:graphic>
          </wp:inline>
        </w:drawing>
      </w:r>
    </w:p>
    <w:p w:rsidR="00E86394" w:rsidP="00987C41" w14:paraId="24E6BB98" w14:textId="77777777">
      <w:pPr>
        <w:spacing w:after="120"/>
        <w:jc w:val="both"/>
        <w:rPr>
          <w:rFonts w:eastAsia="Calibri"/>
          <w:lang w:eastAsia="en-US"/>
        </w:rPr>
      </w:pPr>
    </w:p>
    <w:p w:rsidR="004353B4" w:rsidRPr="00987C41" w:rsidP="00987C41" w14:paraId="416418CC" w14:textId="48489E1E">
      <w:pPr>
        <w:spacing w:after="120"/>
        <w:jc w:val="both"/>
        <w:rPr>
          <w:rFonts w:eastAsia="Calibri"/>
          <w:lang w:eastAsia="en-US"/>
        </w:rPr>
      </w:pPr>
      <w:r w:rsidRPr="00987C41">
        <w:rPr>
          <w:rFonts w:eastAsia="Calibri"/>
          <w:lang w:eastAsia="en-US"/>
        </w:rPr>
        <w:t xml:space="preserve">Ipotizzando prudenzialmente che per tutti i magistrati applicati a distanza si applichi la disciplina introdotta dal terzo periodo di cui al comma 11 del DL </w:t>
      </w:r>
      <w:r w:rsidRPr="00987C41" w:rsidR="002A42C3">
        <w:rPr>
          <w:rFonts w:eastAsia="Calibri"/>
          <w:lang w:eastAsia="en-US"/>
        </w:rPr>
        <w:t xml:space="preserve">n. </w:t>
      </w:r>
      <w:r w:rsidRPr="00987C41">
        <w:rPr>
          <w:rFonts w:eastAsia="Calibri"/>
          <w:lang w:eastAsia="en-US"/>
        </w:rPr>
        <w:t>117</w:t>
      </w:r>
      <w:r w:rsidRPr="00987C41" w:rsidR="002A42C3">
        <w:rPr>
          <w:rFonts w:eastAsia="Calibri"/>
          <w:lang w:eastAsia="en-US"/>
        </w:rPr>
        <w:t xml:space="preserve"> del </w:t>
      </w:r>
      <w:r w:rsidRPr="00987C41">
        <w:rPr>
          <w:rFonts w:eastAsia="Calibri"/>
          <w:lang w:eastAsia="en-US"/>
        </w:rPr>
        <w:t>2025 come qui modificato, l’importo del maggior onere è ricostruito nella tabella che segue.</w:t>
      </w:r>
    </w:p>
    <w:p w:rsidR="00292D83" w:rsidRPr="00987C41" w:rsidP="00987C41" w14:paraId="7D0EF08C" w14:textId="5CB00FE8">
      <w:pPr>
        <w:spacing w:after="120"/>
      </w:pPr>
      <w:r w:rsidRPr="00987C41">
        <w:rPr>
          <w:noProof/>
        </w:rPr>
        <w:drawing>
          <wp:inline distT="0" distB="0" distL="0" distR="0">
            <wp:extent cx="6169660" cy="1127760"/>
            <wp:effectExtent l="0" t="0" r="2540" b="0"/>
            <wp:docPr id="119653167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31673" name="Picture 4"/>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6169660" cy="1127760"/>
                    </a:xfrm>
                    <a:prstGeom prst="rect">
                      <a:avLst/>
                    </a:prstGeom>
                    <a:noFill/>
                  </pic:spPr>
                </pic:pic>
              </a:graphicData>
            </a:graphic>
          </wp:inline>
        </w:drawing>
      </w:r>
    </w:p>
    <w:p w:rsidR="00743C3A" w:rsidRPr="00987C41" w:rsidP="00E92CAE" w14:paraId="25F4E420" w14:textId="6D34F1FF">
      <w:pPr>
        <w:spacing w:after="120"/>
        <w:jc w:val="both"/>
      </w:pPr>
      <w:r w:rsidRPr="00987C41">
        <w:t xml:space="preserve">Al </w:t>
      </w:r>
      <w:r w:rsidRPr="00987C41">
        <w:rPr>
          <w:b/>
          <w:u w:val="single"/>
        </w:rPr>
        <w:t>comma 2</w:t>
      </w:r>
      <w:r w:rsidRPr="00987C41">
        <w:t xml:space="preserve"> è indicato </w:t>
      </w:r>
      <w:r>
        <w:t>l’onere complessivo</w:t>
      </w:r>
      <w:r w:rsidRPr="00987C41">
        <w:t xml:space="preserve"> pari ad euro 8.400.604 per l'anno 2026, alla cui copertura si provvede con una quota di pari importo delle risorse di cui alla Missione 1, Componente 1, Investimento 1.8 «Procedure di assunzione per i tribunali civili, penali e amministrativi», del PNRR, mediante versamento, nel corrispondente anno, dai conti correnti di cui all'articolo 1, comma 1038, della legge n. 178</w:t>
      </w:r>
      <w:r w:rsidRPr="00987C41" w:rsidR="002A42C3">
        <w:t xml:space="preserve"> del 2020</w:t>
      </w:r>
      <w:r w:rsidRPr="00987C41">
        <w:t>, all'entrata del bilancio dello Stato, per la successiva riassegnazione ai pertinenti capitoli di spesa dello stato di previsione del Ministero della giustizia.</w:t>
      </w:r>
    </w:p>
    <w:p w:rsidR="00B57512" w:rsidRPr="00987C41" w:rsidP="00E92CAE" w14:paraId="05816B90" w14:textId="37DAED4D">
      <w:pPr>
        <w:spacing w:after="120"/>
        <w:jc w:val="both"/>
        <w:rPr>
          <w:rFonts w:eastAsia="Calibri"/>
          <w:lang w:eastAsia="en-US"/>
        </w:rPr>
      </w:pPr>
      <w:r>
        <w:rPr>
          <w:rFonts w:eastAsia="Calibri"/>
          <w:lang w:eastAsia="en-US"/>
        </w:rPr>
        <w:t xml:space="preserve">Il </w:t>
      </w:r>
      <w:r w:rsidRPr="004418F2">
        <w:rPr>
          <w:rFonts w:eastAsia="Calibri"/>
          <w:b/>
          <w:bCs/>
          <w:u w:val="single"/>
          <w:lang w:eastAsia="en-US"/>
        </w:rPr>
        <w:t>comma 3</w:t>
      </w:r>
      <w:r w:rsidRPr="00987C41">
        <w:rPr>
          <w:rFonts w:eastAsia="Calibri"/>
          <w:b/>
          <w:lang w:eastAsia="en-US"/>
        </w:rPr>
        <w:t xml:space="preserve"> </w:t>
      </w:r>
      <w:r w:rsidRPr="00987C41">
        <w:rPr>
          <w:rFonts w:eastAsia="Calibri"/>
          <w:lang w:eastAsia="en-US"/>
        </w:rPr>
        <w:t>interviene sugli articoli 696 e 696-</w:t>
      </w:r>
      <w:r w:rsidRPr="00987C41">
        <w:rPr>
          <w:rFonts w:eastAsia="Calibri"/>
          <w:i/>
          <w:lang w:eastAsia="en-US"/>
        </w:rPr>
        <w:t>bis</w:t>
      </w:r>
      <w:r w:rsidRPr="00987C41">
        <w:rPr>
          <w:rFonts w:eastAsia="Calibri"/>
          <w:lang w:eastAsia="en-US"/>
        </w:rPr>
        <w:t xml:space="preserve"> del </w:t>
      </w:r>
      <w:r w:rsidRPr="3F185622" w:rsidR="7C35CCE9">
        <w:rPr>
          <w:rFonts w:eastAsia="Calibri"/>
          <w:lang w:eastAsia="en-US"/>
        </w:rPr>
        <w:t>c</w:t>
      </w:r>
      <w:r w:rsidRPr="3F185622">
        <w:rPr>
          <w:rFonts w:eastAsia="Calibri"/>
          <w:lang w:eastAsia="en-US"/>
        </w:rPr>
        <w:t>odice</w:t>
      </w:r>
      <w:r w:rsidRPr="00987C41">
        <w:rPr>
          <w:rFonts w:eastAsia="Calibri"/>
          <w:lang w:eastAsia="en-US"/>
        </w:rPr>
        <w:t xml:space="preserve"> di procedura civile</w:t>
      </w:r>
      <w:r w:rsidRPr="00987C41">
        <w:rPr>
          <w:rFonts w:eastAsia="Calibri"/>
          <w:lang w:eastAsia="en-US"/>
        </w:rPr>
        <w:t xml:space="preserve">, in materia di accertamento tecnico preventivo e consulenza tecnica preventiva ai fini della composizione della lite, disponendo un meccanismo di sospensione e successiva definizione del processo. </w:t>
      </w:r>
    </w:p>
    <w:p w:rsidR="00B57512" w:rsidRPr="00987C41" w:rsidP="00E92CAE" w14:paraId="510818DA" w14:textId="788E6B8B">
      <w:pPr>
        <w:spacing w:after="120"/>
        <w:jc w:val="both"/>
        <w:rPr>
          <w:rFonts w:eastAsia="Calibri"/>
          <w:lang w:eastAsia="en-US"/>
        </w:rPr>
      </w:pPr>
      <w:r w:rsidRPr="00987C41">
        <w:rPr>
          <w:rFonts w:eastAsia="Calibri"/>
          <w:lang w:eastAsia="en-US"/>
        </w:rPr>
        <w:t>In particolare,</w:t>
      </w:r>
      <w:r w:rsidRPr="00987C41" w:rsidR="00FC2E1B">
        <w:rPr>
          <w:rFonts w:eastAsia="Calibri"/>
          <w:lang w:eastAsia="en-US"/>
        </w:rPr>
        <w:t xml:space="preserve"> il </w:t>
      </w:r>
      <w:r w:rsidRPr="006A7478" w:rsidR="00FC2E1B">
        <w:rPr>
          <w:rFonts w:eastAsia="Calibri"/>
          <w:bCs/>
          <w:lang w:eastAsia="en-US"/>
        </w:rPr>
        <w:t xml:space="preserve">comma </w:t>
      </w:r>
      <w:r w:rsidR="006A7478">
        <w:rPr>
          <w:rFonts w:eastAsia="Calibri"/>
          <w:bCs/>
          <w:lang w:eastAsia="en-US"/>
        </w:rPr>
        <w:t>3</w:t>
      </w:r>
      <w:r w:rsidRPr="00987C41" w:rsidR="00FC2E1B">
        <w:rPr>
          <w:rFonts w:eastAsia="Calibri"/>
          <w:lang w:eastAsia="en-US"/>
        </w:rPr>
        <w:t>, al</w:t>
      </w:r>
      <w:r w:rsidRPr="00987C41">
        <w:rPr>
          <w:rFonts w:eastAsia="Calibri"/>
          <w:lang w:eastAsia="en-US"/>
        </w:rPr>
        <w:t xml:space="preserve">la </w:t>
      </w:r>
      <w:r w:rsidRPr="00987C41">
        <w:rPr>
          <w:rFonts w:eastAsia="Calibri"/>
          <w:b/>
          <w:i/>
          <w:lang w:eastAsia="en-US"/>
        </w:rPr>
        <w:t>lettera a)</w:t>
      </w:r>
      <w:r w:rsidRPr="00987C41">
        <w:rPr>
          <w:rFonts w:eastAsia="Calibri"/>
          <w:lang w:eastAsia="en-US"/>
        </w:rPr>
        <w:t xml:space="preserve"> aggiunge all’art. 696 c.p.c.  due nuovi </w:t>
      </w:r>
      <w:r w:rsidRPr="00987C41" w:rsidR="00FC2E1B">
        <w:rPr>
          <w:rFonts w:eastAsia="Calibri"/>
          <w:lang w:eastAsia="en-US"/>
        </w:rPr>
        <w:t>commi</w:t>
      </w:r>
      <w:r w:rsidRPr="00987C41">
        <w:rPr>
          <w:rFonts w:eastAsia="Calibri"/>
          <w:lang w:eastAsia="en-US"/>
        </w:rPr>
        <w:t xml:space="preserve"> con i quali dispone, al </w:t>
      </w:r>
      <w:r w:rsidRPr="00987C41" w:rsidR="00FC2E1B">
        <w:rPr>
          <w:rFonts w:eastAsia="Calibri"/>
          <w:lang w:eastAsia="en-US"/>
        </w:rPr>
        <w:t xml:space="preserve">nuovo </w:t>
      </w:r>
      <w:r w:rsidRPr="00987C41">
        <w:rPr>
          <w:rFonts w:eastAsia="Calibri"/>
          <w:lang w:eastAsia="en-US"/>
        </w:rPr>
        <w:t xml:space="preserve">quarto </w:t>
      </w:r>
      <w:r w:rsidRPr="00987C41" w:rsidR="00FC2E1B">
        <w:rPr>
          <w:rFonts w:eastAsia="Calibri"/>
          <w:lang w:eastAsia="en-US"/>
        </w:rPr>
        <w:t>comma</w:t>
      </w:r>
      <w:r w:rsidRPr="00987C41">
        <w:rPr>
          <w:rFonts w:eastAsia="Calibri"/>
          <w:lang w:eastAsia="en-US"/>
        </w:rPr>
        <w:t>, che il conferimento dell’incarico al consulente o, se successivo, il suo giuramento determina la sospensione del procedimento fino al deposito della consulenza tecnica di ufficio</w:t>
      </w:r>
      <w:r w:rsidR="00EF5BED">
        <w:rPr>
          <w:rFonts w:eastAsia="Calibri"/>
          <w:lang w:eastAsia="en-US"/>
        </w:rPr>
        <w:t xml:space="preserve"> </w:t>
      </w:r>
      <w:r w:rsidRPr="00EF5BED" w:rsidR="00EF5BED">
        <w:rPr>
          <w:rFonts w:eastAsia="Calibri"/>
          <w:b/>
          <w:bCs/>
          <w:color w:val="00B050"/>
          <w:highlight w:val="lightGray"/>
          <w:lang w:eastAsia="en-US"/>
        </w:rPr>
        <w:t>e</w:t>
      </w:r>
      <w:r w:rsidRPr="00EF5BED" w:rsidR="00EF5BED">
        <w:rPr>
          <w:rFonts w:eastAsia="Aptos"/>
          <w:b/>
          <w:bCs/>
          <w:iCs/>
          <w:color w:val="00B050"/>
          <w:kern w:val="2"/>
          <w:highlight w:val="lightGray"/>
          <w:lang w:eastAsia="en-US"/>
          <w14:ligatures w14:val="standardContextual"/>
        </w:rPr>
        <w:t>, comunque, per un periodo non superiore a sei mesi</w:t>
      </w:r>
      <w:r w:rsidRPr="00EF5BED">
        <w:rPr>
          <w:rFonts w:eastAsia="Calibri"/>
          <w:b/>
          <w:bCs/>
          <w:color w:val="00B050"/>
          <w:highlight w:val="lightGray"/>
          <w:lang w:eastAsia="en-US"/>
        </w:rPr>
        <w:t>.</w:t>
      </w:r>
      <w:r w:rsidRPr="00987C41">
        <w:rPr>
          <w:rFonts w:eastAsia="Calibri"/>
          <w:lang w:eastAsia="en-US"/>
        </w:rPr>
        <w:t xml:space="preserve"> Specifica, inoltre, che la sospensione non impedisce l’espletamento della consulenza, consentendo quindi, che non venga preclusa un’eventuale interlocuzione tra il consulente e il giudice nel caso in cui insorgano difficoltà o incidenti nel corso delle attività di espletamento della consulenza.</w:t>
      </w:r>
    </w:p>
    <w:p w:rsidR="00B57512" w:rsidRPr="00987C41" w:rsidP="00E92CAE" w14:paraId="3EAE3D1C" w14:textId="3BEA3609">
      <w:pPr>
        <w:spacing w:after="120"/>
        <w:jc w:val="both"/>
        <w:rPr>
          <w:rFonts w:eastAsia="Calibri"/>
          <w:lang w:eastAsia="en-US"/>
        </w:rPr>
      </w:pPr>
      <w:r w:rsidRPr="00987C41">
        <w:rPr>
          <w:rFonts w:eastAsia="Calibri"/>
          <w:lang w:eastAsia="en-US"/>
        </w:rPr>
        <w:t xml:space="preserve">Il </w:t>
      </w:r>
      <w:r w:rsidRPr="00987C41" w:rsidR="00FC2E1B">
        <w:rPr>
          <w:rFonts w:eastAsia="Calibri"/>
          <w:lang w:eastAsia="en-US"/>
        </w:rPr>
        <w:t xml:space="preserve">nuovo </w:t>
      </w:r>
      <w:r w:rsidRPr="00987C41">
        <w:rPr>
          <w:rFonts w:eastAsia="Calibri"/>
          <w:lang w:eastAsia="en-US"/>
        </w:rPr>
        <w:t xml:space="preserve">quinto </w:t>
      </w:r>
      <w:r w:rsidRPr="00987C41" w:rsidR="00FC2E1B">
        <w:rPr>
          <w:rFonts w:eastAsia="Calibri"/>
          <w:lang w:eastAsia="en-US"/>
        </w:rPr>
        <w:t>comma</w:t>
      </w:r>
      <w:r w:rsidRPr="00987C41">
        <w:rPr>
          <w:rFonts w:eastAsia="Calibri"/>
          <w:lang w:eastAsia="en-US"/>
        </w:rPr>
        <w:t xml:space="preserve"> stabilisce che la definizione del procedimento avviene con il deposito della consulenza tecnica di ufficio e che, successivamente a tale adempimento, il giudice provvede alla liquidazione dell’onorario e delle spese dell’ausiliario. </w:t>
      </w:r>
    </w:p>
    <w:p w:rsidR="00B57512" w:rsidRPr="00987C41" w:rsidP="00E92CAE" w14:paraId="3D6B33D0" w14:textId="77777777">
      <w:pPr>
        <w:spacing w:after="120"/>
        <w:jc w:val="both"/>
        <w:rPr>
          <w:rFonts w:eastAsia="Calibri"/>
          <w:lang w:eastAsia="en-US"/>
        </w:rPr>
      </w:pPr>
      <w:r w:rsidRPr="00987C41">
        <w:rPr>
          <w:rFonts w:eastAsia="Calibri"/>
          <w:lang w:eastAsia="en-US"/>
        </w:rPr>
        <w:t xml:space="preserve">Tale ultima precisazione è resa necessaria per eliminare ogni dubbio interpretativo in ordine alla possibilità per il giudice di procedere alla liquidazione in un momento susseguente alla definizione del procedimento. </w:t>
      </w:r>
    </w:p>
    <w:p w:rsidR="00B57512" w:rsidRPr="00987C41" w:rsidP="00E92CAE" w14:paraId="54AF87D4" w14:textId="0E064864">
      <w:pPr>
        <w:spacing w:after="120"/>
        <w:jc w:val="both"/>
        <w:rPr>
          <w:rFonts w:eastAsia="Calibri"/>
          <w:lang w:eastAsia="en-US"/>
        </w:rPr>
      </w:pPr>
      <w:r w:rsidRPr="00987C41">
        <w:rPr>
          <w:rFonts w:eastAsia="Calibri"/>
          <w:lang w:eastAsia="en-US"/>
        </w:rPr>
        <w:t xml:space="preserve">Con la </w:t>
      </w:r>
      <w:r w:rsidRPr="00987C41">
        <w:rPr>
          <w:rFonts w:eastAsia="Calibri"/>
          <w:b/>
          <w:i/>
          <w:lang w:eastAsia="en-US"/>
        </w:rPr>
        <w:t xml:space="preserve">lettera b) </w:t>
      </w:r>
      <w:r w:rsidRPr="00987C41">
        <w:rPr>
          <w:rFonts w:eastAsia="Calibri"/>
          <w:lang w:eastAsia="en-US"/>
        </w:rPr>
        <w:t xml:space="preserve">vengono aggiunti due nuovi </w:t>
      </w:r>
      <w:r w:rsidRPr="00987C41" w:rsidR="00FC2E1B">
        <w:rPr>
          <w:rFonts w:eastAsia="Calibri"/>
          <w:lang w:eastAsia="en-US"/>
        </w:rPr>
        <w:t>commi</w:t>
      </w:r>
      <w:r w:rsidRPr="00987C41">
        <w:rPr>
          <w:rFonts w:eastAsia="Calibri"/>
          <w:lang w:eastAsia="en-US"/>
        </w:rPr>
        <w:t xml:space="preserve"> all’articolo 696-</w:t>
      </w:r>
      <w:r w:rsidRPr="00987C41">
        <w:rPr>
          <w:rFonts w:eastAsia="Calibri"/>
          <w:i/>
          <w:lang w:eastAsia="en-US"/>
        </w:rPr>
        <w:t>bis</w:t>
      </w:r>
      <w:r w:rsidRPr="00987C41">
        <w:rPr>
          <w:rFonts w:eastAsia="Calibri"/>
          <w:lang w:eastAsia="en-US"/>
        </w:rPr>
        <w:t xml:space="preserve"> c.p.c. In maniera del tutto speculare alle modifiche introdotte dalla precedente </w:t>
      </w:r>
      <w:r w:rsidRPr="00987C41">
        <w:rPr>
          <w:rFonts w:eastAsia="Calibri"/>
          <w:i/>
          <w:lang w:eastAsia="en-US"/>
        </w:rPr>
        <w:t>lettera a),</w:t>
      </w:r>
      <w:r w:rsidRPr="00987C41">
        <w:rPr>
          <w:rFonts w:eastAsia="Calibri"/>
          <w:lang w:eastAsia="en-US"/>
        </w:rPr>
        <w:t xml:space="preserve"> viene disposta, al</w:t>
      </w:r>
      <w:r w:rsidRPr="00987C41" w:rsidR="00FC2E1B">
        <w:rPr>
          <w:rFonts w:eastAsia="Calibri"/>
          <w:lang w:eastAsia="en-US"/>
        </w:rPr>
        <w:t xml:space="preserve"> nuovo</w:t>
      </w:r>
      <w:r w:rsidRPr="00987C41">
        <w:rPr>
          <w:rFonts w:eastAsia="Calibri"/>
          <w:lang w:eastAsia="en-US"/>
        </w:rPr>
        <w:t xml:space="preserve"> settimo </w:t>
      </w:r>
      <w:r w:rsidRPr="00987C41" w:rsidR="00FC2E1B">
        <w:rPr>
          <w:rFonts w:eastAsia="Calibri"/>
          <w:lang w:eastAsia="en-US"/>
        </w:rPr>
        <w:t>comma</w:t>
      </w:r>
      <w:r w:rsidRPr="00987C41">
        <w:rPr>
          <w:rFonts w:eastAsia="Calibri"/>
          <w:lang w:eastAsia="en-US"/>
        </w:rPr>
        <w:t xml:space="preserve"> del citato articolo, la sospensione del procedimento con il conferimento dell’incarico al consulente o, se successivo, con il suo giuramento, fino al deposito del processo verbale di conciliazione o, in caso di mancata conciliazione, della consulenza tecnica d’ufficio</w:t>
      </w:r>
      <w:r w:rsidR="00EF5BED">
        <w:rPr>
          <w:rFonts w:eastAsia="Calibri"/>
          <w:lang w:eastAsia="en-US"/>
        </w:rPr>
        <w:t>.</w:t>
      </w:r>
      <w:r w:rsidRPr="00EF5BED" w:rsidR="00EF5BED">
        <w:rPr>
          <w:rFonts w:eastAsia="Aptos"/>
          <w:bCs/>
          <w:iCs/>
          <w:kern w:val="2"/>
          <w:lang w:eastAsia="en-US"/>
          <w14:ligatures w14:val="standardContextual"/>
        </w:rPr>
        <w:t xml:space="preserve"> </w:t>
      </w:r>
      <w:r w:rsidRPr="001C284F" w:rsidR="00EF5BED">
        <w:rPr>
          <w:rFonts w:eastAsia="Aptos"/>
          <w:bCs/>
          <w:iCs/>
          <w:kern w:val="2"/>
          <w:lang w:eastAsia="en-US"/>
          <w14:ligatures w14:val="standardContextual"/>
        </w:rPr>
        <w:t>Con una modifica analoga a quella dell’articolo 696 c.p.c. si dispone inoltre che la sospensione</w:t>
      </w:r>
      <w:r w:rsidR="00EF5BED">
        <w:rPr>
          <w:rFonts w:eastAsia="Aptos"/>
          <w:bCs/>
          <w:iCs/>
          <w:kern w:val="2"/>
          <w:lang w:eastAsia="en-US"/>
          <w14:ligatures w14:val="standardContextual"/>
        </w:rPr>
        <w:t xml:space="preserve"> – </w:t>
      </w:r>
      <w:r w:rsidRPr="00EF5BED" w:rsidR="00EF5BED">
        <w:rPr>
          <w:rFonts w:eastAsia="Aptos"/>
          <w:b/>
          <w:iCs/>
          <w:color w:val="00B050"/>
          <w:kern w:val="2"/>
          <w:highlight w:val="lightGray"/>
          <w:lang w:eastAsia="en-US"/>
          <w14:ligatures w14:val="standardContextual"/>
        </w:rPr>
        <w:t>che, in ogni caso, non può superare i sei mesi</w:t>
      </w:r>
      <w:r w:rsidRPr="00EF5BED" w:rsidR="00EF5BED">
        <w:rPr>
          <w:rFonts w:eastAsia="Aptos"/>
          <w:bCs/>
          <w:iCs/>
          <w:color w:val="00B050"/>
          <w:kern w:val="2"/>
          <w:lang w:eastAsia="en-US"/>
          <w14:ligatures w14:val="standardContextual"/>
        </w:rPr>
        <w:t xml:space="preserve"> </w:t>
      </w:r>
      <w:r w:rsidR="00EF5BED">
        <w:rPr>
          <w:rFonts w:eastAsia="Aptos"/>
          <w:bCs/>
          <w:iCs/>
          <w:kern w:val="2"/>
          <w:lang w:eastAsia="en-US"/>
          <w14:ligatures w14:val="standardContextual"/>
        </w:rPr>
        <w:t>-</w:t>
      </w:r>
      <w:r w:rsidRPr="001C284F" w:rsidR="00EF5BED">
        <w:rPr>
          <w:rFonts w:eastAsia="Aptos"/>
          <w:bCs/>
          <w:iCs/>
          <w:kern w:val="2"/>
          <w:lang w:eastAsia="en-US"/>
          <w14:ligatures w14:val="standardContextual"/>
        </w:rPr>
        <w:t xml:space="preserve"> non impedisce l’espletamento della </w:t>
      </w:r>
      <w:r w:rsidRPr="001C284F" w:rsidR="00EF5BED">
        <w:rPr>
          <w:rFonts w:eastAsia="Aptos"/>
          <w:bCs/>
          <w:iCs/>
          <w:kern w:val="2"/>
          <w:lang w:eastAsia="en-US"/>
          <w14:ligatures w14:val="standardContextual"/>
        </w:rPr>
        <w:t>consulenza.</w:t>
      </w:r>
      <w:r w:rsidRPr="00987C41">
        <w:rPr>
          <w:rFonts w:eastAsia="Calibri"/>
          <w:lang w:eastAsia="en-US"/>
        </w:rPr>
        <w:t xml:space="preserve"> </w:t>
      </w:r>
    </w:p>
    <w:p w:rsidR="00B57512" w:rsidRPr="00987C41" w:rsidP="00E92CAE" w14:paraId="6CFAC4FA" w14:textId="6678AF01">
      <w:pPr>
        <w:spacing w:after="120"/>
        <w:jc w:val="both"/>
        <w:rPr>
          <w:rFonts w:eastAsia="Calibri"/>
          <w:lang w:eastAsia="en-US"/>
        </w:rPr>
      </w:pPr>
      <w:r w:rsidRPr="00987C41">
        <w:rPr>
          <w:rFonts w:eastAsia="Calibri"/>
          <w:lang w:eastAsia="en-US"/>
        </w:rPr>
        <w:t xml:space="preserve">Infine, </w:t>
      </w:r>
      <w:r w:rsidRPr="00987C41" w:rsidR="00FC2E1B">
        <w:rPr>
          <w:rFonts w:eastAsia="Calibri"/>
          <w:lang w:eastAsia="en-US"/>
        </w:rPr>
        <w:t xml:space="preserve">con </w:t>
      </w:r>
      <w:r w:rsidRPr="00987C41">
        <w:rPr>
          <w:rFonts w:eastAsia="Calibri"/>
          <w:lang w:eastAsia="en-US"/>
        </w:rPr>
        <w:t xml:space="preserve">l’ottavo </w:t>
      </w:r>
      <w:r w:rsidRPr="00987C41" w:rsidR="00FC2E1B">
        <w:rPr>
          <w:rFonts w:eastAsia="Calibri"/>
          <w:lang w:eastAsia="en-US"/>
        </w:rPr>
        <w:t>comma</w:t>
      </w:r>
      <w:r w:rsidRPr="00987C41">
        <w:rPr>
          <w:rFonts w:eastAsia="Calibri"/>
          <w:lang w:eastAsia="en-US"/>
        </w:rPr>
        <w:t xml:space="preserve">, </w:t>
      </w:r>
      <w:r w:rsidRPr="00987C41" w:rsidR="00FC2E1B">
        <w:rPr>
          <w:rFonts w:eastAsia="Calibri"/>
          <w:lang w:eastAsia="en-US"/>
        </w:rPr>
        <w:t xml:space="preserve">si </w:t>
      </w:r>
      <w:r w:rsidRPr="00987C41">
        <w:rPr>
          <w:rFonts w:eastAsia="Calibri"/>
          <w:lang w:eastAsia="en-US"/>
        </w:rPr>
        <w:t>chiarisce che il procedimento è definito con il decreto che attribuisce efficacia esecutiva al processo verbale di conciliazione o con il deposito della consulenza tecnica di ufficio. Ed anche in questo caso, per dissolvere ogni dubbio interpretativo, si prevede esplicitamente che il giudice provveda successivamente alla liquidaz</w:t>
      </w:r>
      <w:r w:rsidR="00D00267">
        <w:rPr>
          <w:rFonts w:eastAsia="Calibri"/>
          <w:lang w:eastAsia="en-US"/>
        </w:rPr>
        <w:t>2</w:t>
      </w:r>
      <w:r w:rsidRPr="00987C41">
        <w:rPr>
          <w:rFonts w:eastAsia="Calibri"/>
          <w:lang w:eastAsia="en-US"/>
        </w:rPr>
        <w:t>ione dell’onorario e delle spese del consulente.</w:t>
      </w:r>
    </w:p>
    <w:p w:rsidR="00B57512" w:rsidRPr="00987C41" w:rsidP="00E92CAE" w14:paraId="6B63996A" w14:textId="394FEFDA">
      <w:pPr>
        <w:spacing w:after="120"/>
        <w:jc w:val="both"/>
        <w:rPr>
          <w:rFonts w:eastAsia="Calibri"/>
          <w:lang w:eastAsia="en-US"/>
        </w:rPr>
      </w:pPr>
      <w:r w:rsidRPr="00987C41">
        <w:rPr>
          <w:rFonts w:eastAsia="Calibri"/>
          <w:lang w:eastAsia="en-US"/>
        </w:rPr>
        <w:t xml:space="preserve">L’introduzione della sospensione, intervenendo su un istituto avente finalità deflattive, trattandosi di un accertamento ante causa, trova la propria giustificazione nella possibilità, per le parti, di addivenire ad una conciliazione nel corso dell’espletamento dell’attività di consulenza tecnica. </w:t>
      </w:r>
    </w:p>
    <w:p w:rsidR="00B57512" w:rsidRPr="00987C41" w:rsidP="00E92CAE" w14:paraId="6701553E" w14:textId="74837D4F">
      <w:pPr>
        <w:spacing w:after="120"/>
        <w:jc w:val="both"/>
        <w:rPr>
          <w:rFonts w:eastAsia="Calibri"/>
          <w:lang w:eastAsia="en-US"/>
        </w:rPr>
      </w:pPr>
      <w:r w:rsidRPr="00987C41">
        <w:rPr>
          <w:rFonts w:eastAsia="Calibri"/>
          <w:lang w:eastAsia="en-US"/>
        </w:rPr>
        <w:t>Tali modifiche normative, conformemente alla disciplina della sospensione introdotta, all’art. 445-</w:t>
      </w:r>
      <w:r w:rsidRPr="00987C41">
        <w:rPr>
          <w:rFonts w:eastAsia="Calibri"/>
          <w:i/>
          <w:lang w:eastAsia="en-US"/>
        </w:rPr>
        <w:t>bis</w:t>
      </w:r>
      <w:r w:rsidRPr="00987C41">
        <w:rPr>
          <w:rFonts w:eastAsia="Calibri"/>
          <w:lang w:eastAsia="en-US"/>
        </w:rPr>
        <w:t xml:space="preserve"> del </w:t>
      </w:r>
      <w:r w:rsidRPr="00987C41" w:rsidR="00387BF0">
        <w:rPr>
          <w:rFonts w:eastAsia="Calibri"/>
          <w:lang w:eastAsia="en-US"/>
        </w:rPr>
        <w:t>Codice di procedura civile</w:t>
      </w:r>
      <w:r w:rsidRPr="00987C41">
        <w:rPr>
          <w:rFonts w:eastAsia="Calibri"/>
          <w:lang w:eastAsia="en-US"/>
        </w:rPr>
        <w:t>, dal decreto – legge n. 117</w:t>
      </w:r>
      <w:r w:rsidRPr="00987C41" w:rsidR="00FC2E1B">
        <w:rPr>
          <w:rFonts w:eastAsia="Calibri"/>
          <w:lang w:eastAsia="en-US"/>
        </w:rPr>
        <w:t xml:space="preserve"> del 2025</w:t>
      </w:r>
      <w:r w:rsidRPr="00987C41">
        <w:rPr>
          <w:rFonts w:eastAsia="Calibri"/>
          <w:lang w:eastAsia="en-US"/>
        </w:rPr>
        <w:t>,</w:t>
      </w:r>
      <w:r w:rsidRPr="00987C41" w:rsidR="00FC2E1B">
        <w:rPr>
          <w:rFonts w:eastAsia="Calibri"/>
          <w:lang w:eastAsia="en-US"/>
        </w:rPr>
        <w:t xml:space="preserve"> </w:t>
      </w:r>
      <w:r w:rsidRPr="00987C41">
        <w:rPr>
          <w:rFonts w:eastAsia="Calibri"/>
          <w:lang w:eastAsia="en-US"/>
        </w:rPr>
        <w:t xml:space="preserve">trovano la propria ragione giustificatrice nel prendere atto dell’assenza di attività giurisdizionale nelle more dell’espletamento della consulenza. Di conseguenza, il considerare tali procedimenti come pendenti durante lo svolgimento dell’attività del consulente, in assenza di attività giudiziaria, determina una incongruenza riguardo alla rappresentazione dei tempi dei processi, incidendo inevitabilmente sulla verifica del raggiungimento degli obiettivi PNRR, compromettendone pertanto il conseguimento. </w:t>
      </w:r>
    </w:p>
    <w:p w:rsidR="00717C2F" w:rsidRPr="00987C41" w:rsidP="00E92CAE" w14:paraId="32C645BF" w14:textId="24CA81FA">
      <w:pPr>
        <w:spacing w:after="160"/>
        <w:jc w:val="both"/>
        <w:rPr>
          <w:rFonts w:eastAsia="Calibri"/>
          <w:lang w:eastAsia="en-US"/>
        </w:rPr>
      </w:pPr>
      <w:r w:rsidRPr="00987C41">
        <w:rPr>
          <w:rFonts w:eastAsia="Calibri"/>
          <w:lang w:eastAsia="en-US"/>
        </w:rPr>
        <w:t xml:space="preserve">Il </w:t>
      </w:r>
      <w:r w:rsidRPr="00987C41">
        <w:rPr>
          <w:rFonts w:eastAsia="Calibri"/>
          <w:b/>
          <w:u w:val="single"/>
          <w:lang w:eastAsia="en-US"/>
        </w:rPr>
        <w:t xml:space="preserve">comma </w:t>
      </w:r>
      <w:r>
        <w:rPr>
          <w:rFonts w:eastAsia="Calibri"/>
          <w:b/>
          <w:u w:val="single"/>
          <w:lang w:eastAsia="en-US"/>
        </w:rPr>
        <w:t>4</w:t>
      </w:r>
      <w:r w:rsidRPr="00987C41" w:rsidR="005E37AB">
        <w:rPr>
          <w:rFonts w:eastAsia="Calibri"/>
          <w:lang w:eastAsia="en-US"/>
        </w:rPr>
        <w:t xml:space="preserve"> </w:t>
      </w:r>
      <w:r w:rsidRPr="64900EDD" w:rsidR="2EE0C540">
        <w:rPr>
          <w:color w:val="000000" w:themeColor="text1"/>
        </w:rPr>
        <w:t>contiene una disposizione transitoria, finalizzata a rendere applicabili le modifiche apportate dal comma 3 anche ai procedimenti pendenti nei quali, alla data di entrata in vigore della modifica, non sia stata ancora depositata la consulenza tecnica o il verbale di conciliazione (atti che portano alla chiusura del procedimento), al fine di allineare anche tali procedimenti alla nuova disciplina.</w:t>
      </w:r>
    </w:p>
    <w:p w:rsidR="00717C2F" w:rsidRPr="00987C41" w:rsidP="00E92CAE" w14:paraId="65F5B839" w14:textId="57BBA11C">
      <w:pPr>
        <w:spacing w:after="120"/>
        <w:jc w:val="both"/>
        <w:rPr>
          <w:rFonts w:eastAsia="Calibri"/>
          <w:lang w:eastAsia="en-US"/>
        </w:rPr>
      </w:pPr>
      <w:r w:rsidRPr="00987C41">
        <w:rPr>
          <w:rFonts w:eastAsia="Calibri"/>
          <w:lang w:eastAsia="en-US"/>
        </w:rPr>
        <w:t xml:space="preserve">Il </w:t>
      </w:r>
      <w:r w:rsidRPr="26F2536F">
        <w:rPr>
          <w:rFonts w:eastAsia="Calibri"/>
          <w:b/>
          <w:u w:val="single"/>
          <w:lang w:eastAsia="en-US"/>
        </w:rPr>
        <w:t>comma 5</w:t>
      </w:r>
      <w:r w:rsidRPr="00987C41" w:rsidR="005E37AB">
        <w:rPr>
          <w:rFonts w:eastAsia="Calibri"/>
          <w:lang w:eastAsia="en-US"/>
        </w:rPr>
        <w:t xml:space="preserve"> </w:t>
      </w:r>
      <w:r w:rsidRPr="00987C41" w:rsidR="00B57512">
        <w:rPr>
          <w:rFonts w:eastAsia="Calibri"/>
          <w:lang w:eastAsia="en-US"/>
        </w:rPr>
        <w:t xml:space="preserve">contiene la </w:t>
      </w:r>
      <w:r w:rsidRPr="26F2536F" w:rsidR="00B57512">
        <w:rPr>
          <w:rFonts w:eastAsia="Calibri"/>
          <w:b/>
          <w:lang w:eastAsia="en-US"/>
        </w:rPr>
        <w:t>clausola di invarianza finanziaria</w:t>
      </w:r>
      <w:r w:rsidRPr="00302856" w:rsidR="00302856">
        <w:rPr>
          <w:rFonts w:eastAsia="Aptos"/>
          <w:color w:val="000000"/>
          <w:kern w:val="2"/>
          <w:lang w:eastAsia="en-US"/>
          <w14:ligatures w14:val="standardContextual"/>
        </w:rPr>
        <w:t xml:space="preserve"> </w:t>
      </w:r>
      <w:r w:rsidRPr="00302856" w:rsidR="00302856">
        <w:rPr>
          <w:rFonts w:eastAsia="Calibri"/>
          <w:lang w:eastAsia="en-US"/>
        </w:rPr>
        <w:t xml:space="preserve">delle disposizioni </w:t>
      </w:r>
      <w:r w:rsidRPr="00302856" w:rsidR="323B2457">
        <w:rPr>
          <w:rFonts w:eastAsia="Calibri"/>
          <w:lang w:eastAsia="en-US"/>
        </w:rPr>
        <w:t>contenute nei precedenti commi</w:t>
      </w:r>
      <w:r w:rsidRPr="00302856" w:rsidR="00302856">
        <w:rPr>
          <w:rFonts w:eastAsia="Calibri"/>
          <w:lang w:eastAsia="en-US"/>
        </w:rPr>
        <w:t xml:space="preserve"> 3</w:t>
      </w:r>
      <w:r w:rsidRPr="00302856" w:rsidR="65EB1166">
        <w:rPr>
          <w:rFonts w:eastAsia="Calibri"/>
          <w:lang w:eastAsia="en-US"/>
        </w:rPr>
        <w:t xml:space="preserve"> e 4</w:t>
      </w:r>
      <w:r w:rsidRPr="00987C41" w:rsidR="00B57512">
        <w:rPr>
          <w:rFonts w:eastAsia="Calibri"/>
          <w:lang w:eastAsia="en-US"/>
        </w:rPr>
        <w:t xml:space="preserve">, atteso che l’attività con la quale il giudice dispone il pagamento dell’onorario e delle spese dell’ausiliario rientrano nell’ambito degli adempimenti d’ufficio che vengono espletati ordinariamente. </w:t>
      </w:r>
    </w:p>
    <w:p w:rsidR="00B57512" w:rsidRPr="00987C41" w:rsidP="00E92CAE" w14:paraId="39300E5B" w14:textId="458F2408">
      <w:pPr>
        <w:spacing w:after="120"/>
        <w:jc w:val="both"/>
        <w:rPr>
          <w:rFonts w:eastAsia="Calibri"/>
          <w:b/>
          <w:bCs/>
          <w:lang w:eastAsia="en-US"/>
        </w:rPr>
      </w:pPr>
      <w:r w:rsidRPr="00987C41">
        <w:rPr>
          <w:rFonts w:eastAsia="Calibri"/>
          <w:b/>
          <w:lang w:eastAsia="en-US"/>
        </w:rPr>
        <w:t xml:space="preserve">Pertanto, dal punto di vista finanziario, </w:t>
      </w:r>
      <w:r w:rsidRPr="6EA851E3" w:rsidR="00302856">
        <w:rPr>
          <w:rFonts w:eastAsia="Calibri"/>
          <w:b/>
          <w:bCs/>
          <w:lang w:eastAsia="en-US"/>
        </w:rPr>
        <w:t>i</w:t>
      </w:r>
      <w:r w:rsidRPr="6EA851E3" w:rsidR="7D845586">
        <w:rPr>
          <w:rFonts w:eastAsia="Calibri"/>
          <w:b/>
          <w:bCs/>
          <w:lang w:eastAsia="en-US"/>
        </w:rPr>
        <w:t xml:space="preserve"> comm</w:t>
      </w:r>
      <w:r w:rsidRPr="6EA851E3" w:rsidR="6462C1B5">
        <w:rPr>
          <w:rFonts w:eastAsia="Calibri"/>
          <w:b/>
          <w:bCs/>
          <w:lang w:eastAsia="en-US"/>
        </w:rPr>
        <w:t>i</w:t>
      </w:r>
      <w:r w:rsidR="00302856">
        <w:rPr>
          <w:rFonts w:eastAsia="Calibri"/>
          <w:b/>
          <w:lang w:eastAsia="en-US"/>
        </w:rPr>
        <w:t xml:space="preserve"> 3</w:t>
      </w:r>
      <w:r w:rsidRPr="00987C41" w:rsidR="00717C2F">
        <w:rPr>
          <w:rFonts w:eastAsia="Calibri"/>
          <w:b/>
          <w:lang w:eastAsia="en-US"/>
        </w:rPr>
        <w:t xml:space="preserve"> </w:t>
      </w:r>
      <w:r w:rsidRPr="6EA851E3" w:rsidR="0253C0D0">
        <w:rPr>
          <w:rFonts w:eastAsia="Calibri"/>
          <w:b/>
          <w:bCs/>
          <w:lang w:eastAsia="en-US"/>
        </w:rPr>
        <w:t>e 4</w:t>
      </w:r>
      <w:r w:rsidRPr="6EA851E3" w:rsidR="010C7600">
        <w:rPr>
          <w:rFonts w:eastAsia="Calibri"/>
          <w:b/>
          <w:bCs/>
          <w:lang w:eastAsia="en-US"/>
        </w:rPr>
        <w:t xml:space="preserve"> </w:t>
      </w:r>
      <w:r w:rsidRPr="00987C41" w:rsidR="00717C2F">
        <w:rPr>
          <w:rFonts w:eastAsia="Calibri"/>
          <w:b/>
          <w:lang w:eastAsia="en-US"/>
        </w:rPr>
        <w:t>in rassegna</w:t>
      </w:r>
      <w:r w:rsidRPr="00987C41">
        <w:rPr>
          <w:rFonts w:eastAsia="Calibri"/>
          <w:b/>
          <w:lang w:eastAsia="en-US"/>
        </w:rPr>
        <w:t xml:space="preserve"> non </w:t>
      </w:r>
      <w:r w:rsidRPr="6EA851E3" w:rsidR="64DE2054">
        <w:rPr>
          <w:rFonts w:eastAsia="Calibri"/>
          <w:b/>
          <w:bCs/>
          <w:lang w:eastAsia="en-US"/>
        </w:rPr>
        <w:t>determina</w:t>
      </w:r>
      <w:r w:rsidRPr="6EA851E3" w:rsidR="6D5451A1">
        <w:rPr>
          <w:rFonts w:eastAsia="Calibri"/>
          <w:b/>
          <w:bCs/>
          <w:lang w:eastAsia="en-US"/>
        </w:rPr>
        <w:t>no</w:t>
      </w:r>
      <w:r w:rsidRPr="00987C41">
        <w:rPr>
          <w:rFonts w:eastAsia="Calibri"/>
          <w:b/>
          <w:lang w:eastAsia="en-US"/>
        </w:rPr>
        <w:t xml:space="preserve"> nuovi o maggiori oneri a carico della finanza pubblica. Agli adempimenti ivi previsti si provvede con le risorse umane, finanziarie e strumentali disponibili a legislazione vigente.</w:t>
      </w:r>
    </w:p>
    <w:p w:rsidR="00B57512" w:rsidRPr="007C0E08" w:rsidP="00E92CAE" w14:paraId="03A382F1" w14:textId="7330E238">
      <w:pPr>
        <w:spacing w:after="120"/>
        <w:jc w:val="both"/>
        <w:rPr>
          <w:rFonts w:eastAsia="Calibri"/>
          <w:color w:val="FF0000"/>
        </w:rPr>
      </w:pPr>
      <w:r w:rsidRPr="007C0E08">
        <w:rPr>
          <w:rFonts w:eastAsia="Calibri"/>
          <w:color w:val="FF0000"/>
          <w:lang w:eastAsia="en-US"/>
        </w:rPr>
        <w:t xml:space="preserve">Il </w:t>
      </w:r>
      <w:r w:rsidRPr="007C0E08">
        <w:rPr>
          <w:rFonts w:eastAsia="Calibri"/>
          <w:b/>
          <w:bCs/>
          <w:color w:val="FF0000"/>
          <w:u w:val="single"/>
          <w:lang w:eastAsia="en-US"/>
        </w:rPr>
        <w:t xml:space="preserve">comma 6 </w:t>
      </w:r>
      <w:r w:rsidRPr="007C0E08">
        <w:rPr>
          <w:color w:val="FF0000"/>
        </w:rPr>
        <w:t xml:space="preserve">introduce modifiche al decreto legislativo 28 marzo 2024, n. 45, che disciplina i criteri e le modalità di conferimento degli incarichi extragiudiziari ai magistrati presso pubbliche amministrazioni. </w:t>
      </w:r>
      <w:r w:rsidRPr="007C0E08" w:rsidR="39DED441">
        <w:rPr>
          <w:color w:val="FF0000"/>
        </w:rPr>
        <w:t>C</w:t>
      </w:r>
      <w:r w:rsidRPr="007C0E08">
        <w:rPr>
          <w:color w:val="FF0000"/>
        </w:rPr>
        <w:t xml:space="preserve">on la </w:t>
      </w:r>
      <w:r w:rsidRPr="007C0E08">
        <w:rPr>
          <w:b/>
          <w:bCs/>
          <w:color w:val="FF0000"/>
          <w:u w:val="single"/>
        </w:rPr>
        <w:t xml:space="preserve">lettera </w:t>
      </w:r>
      <w:r w:rsidRPr="007C0E08">
        <w:rPr>
          <w:b/>
          <w:bCs/>
          <w:i/>
          <w:iCs/>
          <w:color w:val="FF0000"/>
          <w:u w:val="single"/>
        </w:rPr>
        <w:t>a</w:t>
      </w:r>
      <w:r w:rsidRPr="007C0E08">
        <w:rPr>
          <w:b/>
          <w:bCs/>
          <w:color w:val="FF0000"/>
          <w:u w:val="single"/>
        </w:rPr>
        <w:t>)</w:t>
      </w:r>
      <w:r w:rsidRPr="007C0E08">
        <w:rPr>
          <w:color w:val="FF0000"/>
        </w:rPr>
        <w:t>, si sostituisce il comma 1 dell’articolo 4 del decreto legislativo n. 45 del 2024, intervenendo sui requisiti soggettivi per il collocamento fuori ruolo, abbassando l’anzianità da dieci a sei anni e quindi fissando il requisito al momento in cui il magistrato ha già acquisito la prima valutazione di professionalità.</w:t>
      </w:r>
      <w:r w:rsidRPr="007C0E08" w:rsidR="1340E3FA">
        <w:rPr>
          <w:color w:val="FF0000"/>
        </w:rPr>
        <w:t xml:space="preserve"> Tale variazione comporta un ampliamento del numero dei magistrati potenzialmente destinatari degli incarichi, includendo anche i più giovani. L’anticipazione del requisito temporale risponde inoltre all’esigenza di assicurare una maggiore flessibilità nella gestione delle risorse umane e di valorizzare le professionalità dei magistrati in fasi più precoci della loro carriera. </w:t>
      </w:r>
      <w:r w:rsidRPr="007C0E08" w:rsidR="1340E3FA">
        <w:rPr>
          <w:b/>
          <w:color w:val="FF0000"/>
        </w:rPr>
        <w:t>La disposizione ha carattere ordinamentale e non comporta, pertanto</w:t>
      </w:r>
      <w:r w:rsidRPr="007C0E08" w:rsidR="2D2956FF">
        <w:rPr>
          <w:b/>
          <w:bCs/>
          <w:color w:val="FF0000"/>
        </w:rPr>
        <w:t>,</w:t>
      </w:r>
      <w:r w:rsidRPr="007C0E08" w:rsidR="1340E3FA">
        <w:rPr>
          <w:b/>
          <w:color w:val="FF0000"/>
        </w:rPr>
        <w:t xml:space="preserve"> nuovi o maggiori oneri a carico della finanza pubblica</w:t>
      </w:r>
      <w:r w:rsidRPr="007C0E08" w:rsidR="1340E3FA">
        <w:rPr>
          <w:color w:val="FF0000"/>
        </w:rPr>
        <w:t>.</w:t>
      </w:r>
    </w:p>
    <w:p w:rsidR="1340E3FA" w:rsidP="00E92CAE" w14:paraId="6A029C3A" w14:textId="63CBDBC9">
      <w:pPr>
        <w:spacing w:after="160"/>
        <w:jc w:val="both"/>
        <w:rPr>
          <w:rFonts w:eastAsia="Calibri"/>
        </w:rPr>
      </w:pPr>
      <w:r w:rsidRPr="3FF3B8D8">
        <w:rPr>
          <w:color w:val="FF0000"/>
        </w:rPr>
        <w:t xml:space="preserve">La </w:t>
      </w:r>
      <w:r w:rsidRPr="3FF3B8D8">
        <w:rPr>
          <w:b/>
          <w:bCs/>
          <w:color w:val="FF0000"/>
          <w:u w:val="single"/>
        </w:rPr>
        <w:t xml:space="preserve">lettera </w:t>
      </w:r>
      <w:r w:rsidRPr="3FF3B8D8">
        <w:rPr>
          <w:b/>
          <w:bCs/>
          <w:i/>
          <w:iCs/>
          <w:color w:val="FF0000"/>
          <w:u w:val="single"/>
        </w:rPr>
        <w:t>b</w:t>
      </w:r>
      <w:r w:rsidRPr="3FF3B8D8">
        <w:rPr>
          <w:b/>
          <w:bCs/>
          <w:color w:val="FF0000"/>
          <w:u w:val="single"/>
        </w:rPr>
        <w:t>)</w:t>
      </w:r>
      <w:r w:rsidRPr="3FF3B8D8">
        <w:rPr>
          <w:color w:val="FF0000"/>
        </w:rPr>
        <w:t xml:space="preserve"> modifica l’articolo 15 del decreto legislativo n. 45 del 2024, che contiene la disciplina transitoria relativa agli incarichi conferiti ai magistrati.  Si interviene sul comma 3 per scindere dalle sue previsioni la disciplina specifica adottata per alcuni incarichi apicali svolti per la pubblica amministrazione. Si introduce poi un comma 3-</w:t>
      </w:r>
      <w:r w:rsidRPr="3FF3B8D8">
        <w:rPr>
          <w:i/>
          <w:iCs/>
          <w:color w:val="FF0000"/>
        </w:rPr>
        <w:t>bis</w:t>
      </w:r>
      <w:r w:rsidRPr="3FF3B8D8">
        <w:rPr>
          <w:color w:val="FF0000"/>
        </w:rPr>
        <w:t xml:space="preserve"> che, con disposizione in deroga a quanto previsto dai commi 1, 2 e 3 dello stesso articolo, razionalizza l’esenzione dal cumulo dei periodi precedenti in cui il magistrato ha ricoperto incarichi extragiudiziar</w:t>
      </w:r>
      <w:r w:rsidRPr="00EF5BED">
        <w:rPr>
          <w:color w:val="FF0000"/>
        </w:rPr>
        <w:t>i</w:t>
      </w:r>
      <w:r w:rsidRPr="00EF5BED" w:rsidR="00EF5BED">
        <w:rPr>
          <w:color w:val="00B050"/>
        </w:rPr>
        <w:t>,</w:t>
      </w:r>
      <w:r w:rsidR="00EF5BED">
        <w:rPr>
          <w:strike/>
          <w:color w:val="00B050"/>
        </w:rPr>
        <w:t xml:space="preserve"> </w:t>
      </w:r>
      <w:r w:rsidRPr="00EF5BED">
        <w:rPr>
          <w:b/>
          <w:bCs/>
          <w:color w:val="00B050"/>
          <w:highlight w:val="lightGray"/>
        </w:rPr>
        <w:t>applicandola non solo ai magistrati collocati fuori ruolo, presso le istituzioni indicate dalla stessa norma, dopo l’entrata in vigore delle nuove disposizioni ma – in linea con quanto dispone l’articolo 4, comma 4, dello stesso decreto legislativo n. 45 del 2024 – anche ai magistrati che già erano collocati fuori ruolo alla stessa data ed a coloro che ricoprono ruoli apicali presso i</w:t>
      </w:r>
      <w:r w:rsidRPr="00EF5BED" w:rsidR="00EF5BED">
        <w:rPr>
          <w:b/>
          <w:bCs/>
          <w:color w:val="00B050"/>
          <w:highlight w:val="lightGray"/>
        </w:rPr>
        <w:t>l</w:t>
      </w:r>
      <w:r w:rsidRPr="00EF5BED">
        <w:rPr>
          <w:b/>
          <w:bCs/>
          <w:color w:val="00B050"/>
          <w:highlight w:val="lightGray"/>
        </w:rPr>
        <w:t xml:space="preserve"> Minister</w:t>
      </w:r>
      <w:r w:rsidRPr="00EF5BED" w:rsidR="00EF5BED">
        <w:rPr>
          <w:b/>
          <w:bCs/>
          <w:color w:val="00B050"/>
          <w:highlight w:val="lightGray"/>
        </w:rPr>
        <w:t>o della giustizia</w:t>
      </w:r>
      <w:r w:rsidRPr="00EF5BED">
        <w:rPr>
          <w:b/>
          <w:bCs/>
          <w:color w:val="00B050"/>
          <w:highlight w:val="lightGray"/>
        </w:rPr>
        <w:t>. Ciò al fine di evitare la dispersione di professionalità di elevato livello che si acquisiscono in un lungo arco temporale</w:t>
      </w:r>
      <w:r w:rsidRPr="00EF5BED">
        <w:rPr>
          <w:b/>
          <w:bCs/>
          <w:color w:val="FF0000"/>
        </w:rPr>
        <w:t>.</w:t>
      </w:r>
      <w:r w:rsidRPr="3FF3B8D8" w:rsidR="29A5D53C">
        <w:rPr>
          <w:b/>
          <w:bCs/>
          <w:color w:val="FF0000"/>
        </w:rPr>
        <w:t xml:space="preserve"> La disposizione ha carattere ordinamentale e non comporta, pertanto, nuovi o maggiori oneri a carico della finanza pubblica</w:t>
      </w:r>
      <w:r w:rsidRPr="3FF3B8D8" w:rsidR="29A5D53C">
        <w:rPr>
          <w:color w:val="000000" w:themeColor="text1"/>
        </w:rPr>
        <w:t>.</w:t>
      </w:r>
    </w:p>
    <w:p w:rsidR="1CE80440" w:rsidRPr="007C0E08" w:rsidP="7A6D4A07" w14:paraId="0CCD142B" w14:textId="02C047F4">
      <w:pPr>
        <w:spacing w:after="160" w:line="259" w:lineRule="auto"/>
        <w:jc w:val="both"/>
        <w:rPr>
          <w:color w:val="00B050"/>
          <w:highlight w:val="lightGray"/>
        </w:rPr>
      </w:pPr>
      <w:r w:rsidRPr="7A6D4A07">
        <w:rPr>
          <w:color w:val="00B050"/>
          <w:highlight w:val="lightGray"/>
        </w:rPr>
        <w:t>La</w:t>
      </w:r>
      <w:r w:rsidRPr="7A6D4A07">
        <w:rPr>
          <w:b/>
          <w:bCs/>
          <w:color w:val="00B050"/>
          <w:highlight w:val="lightGray"/>
        </w:rPr>
        <w:t xml:space="preserve"> </w:t>
      </w:r>
      <w:r w:rsidRPr="7A6D4A07">
        <w:rPr>
          <w:b/>
          <w:bCs/>
          <w:color w:val="00B050"/>
          <w:highlight w:val="lightGray"/>
          <w:u w:val="single"/>
        </w:rPr>
        <w:t xml:space="preserve">lettera </w:t>
      </w:r>
      <w:r w:rsidRPr="7A6D4A07">
        <w:rPr>
          <w:b/>
          <w:bCs/>
          <w:i/>
          <w:iCs/>
          <w:color w:val="00B050"/>
          <w:highlight w:val="lightGray"/>
          <w:u w:val="single"/>
        </w:rPr>
        <w:t>c</w:t>
      </w:r>
      <w:r w:rsidRPr="7A6D4A07">
        <w:rPr>
          <w:b/>
          <w:bCs/>
          <w:color w:val="00B050"/>
          <w:highlight w:val="lightGray"/>
        </w:rPr>
        <w:t xml:space="preserve">) </w:t>
      </w:r>
      <w:r w:rsidRPr="7A6D4A07">
        <w:rPr>
          <w:color w:val="00B050"/>
          <w:highlight w:val="lightGray"/>
        </w:rPr>
        <w:t xml:space="preserve">modifica l’articolo 16 del decreto legislativo n. 45 del 2024 che prevede la perdurante applicazione della disciplina contenuta nell’articolo 1, commi da 68 a 72, della legge 6 novembre 2012, n. 190, al fine di coordinare detta disciplina con le modifiche recate all’articolo 15 del decreto legislativo n. 45 del 2024 dalla lettera </w:t>
      </w:r>
      <w:r w:rsidRPr="7A6D4A07">
        <w:rPr>
          <w:i/>
          <w:iCs/>
          <w:color w:val="00B050"/>
          <w:highlight w:val="lightGray"/>
        </w:rPr>
        <w:t>b</w:t>
      </w:r>
      <w:r w:rsidRPr="7A6D4A07">
        <w:rPr>
          <w:color w:val="00B050"/>
          <w:highlight w:val="lightGray"/>
        </w:rPr>
        <w:t>) della disposizione in commento</w:t>
      </w:r>
      <w:r w:rsidRPr="7A6D4A07" w:rsidR="11FE13D1">
        <w:rPr>
          <w:color w:val="00B050"/>
          <w:highlight w:val="lightGray"/>
        </w:rPr>
        <w:t xml:space="preserve">. </w:t>
      </w:r>
      <w:r w:rsidRPr="7A6D4A07" w:rsidR="11FE13D1">
        <w:rPr>
          <w:b/>
          <w:bCs/>
          <w:color w:val="00B050"/>
          <w:highlight w:val="lightGray"/>
        </w:rPr>
        <w:t>La disposizione ha carattere ordinamentale e non comporta, pertanto, nuovi o maggiori oneri a carico della finanza pubblica</w:t>
      </w:r>
      <w:r w:rsidRPr="7A6D4A07" w:rsidR="11FE13D1">
        <w:rPr>
          <w:color w:val="00B050"/>
          <w:highlight w:val="lightGray"/>
        </w:rPr>
        <w:t>.</w:t>
      </w:r>
    </w:p>
    <w:p w:rsidR="1CE80440" w:rsidRPr="007C0E08" w:rsidP="7A6D4A07" w14:paraId="2165C11D" w14:textId="52310A14">
      <w:pPr>
        <w:spacing w:after="160" w:line="259" w:lineRule="auto"/>
        <w:jc w:val="both"/>
        <w:rPr>
          <w:color w:val="00B050"/>
          <w:highlight w:val="lightGray"/>
        </w:rPr>
      </w:pPr>
      <w:r w:rsidRPr="30D9F13A">
        <w:rPr>
          <w:color w:val="00B050"/>
          <w:highlight w:val="lightGray"/>
        </w:rPr>
        <w:t>La</w:t>
      </w:r>
      <w:r w:rsidRPr="5AF191F5">
        <w:rPr>
          <w:b/>
          <w:color w:val="00B050"/>
          <w:highlight w:val="lightGray"/>
        </w:rPr>
        <w:t xml:space="preserve"> </w:t>
      </w:r>
      <w:r w:rsidRPr="5AF191F5">
        <w:rPr>
          <w:b/>
          <w:color w:val="00B050"/>
          <w:highlight w:val="lightGray"/>
          <w:u w:val="single"/>
        </w:rPr>
        <w:t xml:space="preserve">lettera </w:t>
      </w:r>
      <w:r w:rsidRPr="5AF191F5" w:rsidR="17CB7C55">
        <w:rPr>
          <w:b/>
          <w:i/>
          <w:color w:val="00B050"/>
          <w:highlight w:val="lightGray"/>
          <w:u w:val="single"/>
        </w:rPr>
        <w:t>d</w:t>
      </w:r>
      <w:r w:rsidRPr="5AF191F5">
        <w:rPr>
          <w:b/>
          <w:i/>
          <w:color w:val="00B050"/>
          <w:highlight w:val="lightGray"/>
          <w:u w:val="single"/>
        </w:rPr>
        <w:t>)</w:t>
      </w:r>
      <w:r w:rsidRPr="5AF191F5">
        <w:rPr>
          <w:b/>
          <w:color w:val="00B050"/>
          <w:highlight w:val="lightGray"/>
        </w:rPr>
        <w:t xml:space="preserve"> </w:t>
      </w:r>
      <w:r w:rsidRPr="39DA0221">
        <w:rPr>
          <w:color w:val="00B050"/>
          <w:highlight w:val="lightGray"/>
        </w:rPr>
        <w:t>modifica l’articolo 17 che contiene le abrogazioni e le disposizioni di coordinamento derivanti dalla nuova disciplina recata dal decreto legislativo n. 45 del 2024.</w:t>
      </w:r>
    </w:p>
    <w:p w:rsidR="1CE80440" w:rsidRPr="007C0E08" w:rsidP="4EB900D3" w14:paraId="5D0E43D0" w14:textId="1F193B7C">
      <w:pPr>
        <w:jc w:val="both"/>
        <w:rPr>
          <w:b/>
          <w:bCs/>
          <w:color w:val="FF0000"/>
          <w:highlight w:val="lightGray"/>
        </w:rPr>
      </w:pPr>
      <w:r w:rsidRPr="39DA0221">
        <w:rPr>
          <w:color w:val="00B050"/>
          <w:highlight w:val="lightGray"/>
        </w:rPr>
        <w:t>In particolare, si prevede la soppressione del secondo periodo del quinto capoverso dell’articolo 21 della legge 27 aprile 1982, n. 186 in forza del quale la nomina a presidente di sezione del Consiglio di Stato e quella a presidente di tribunale amministrativo regionale impedisce per un triennio il collocamento fuori ruolo del magistrato. Trattasi di una disposizione che per il suo carattere perentorio inibisce una valutazione caso per caso dell’organo di autogoverno e che per questa ragione è stata più volte derogata in sede deliberativa</w:t>
      </w:r>
      <w:r w:rsidRPr="5AF191F5" w:rsidR="5DC5E343">
        <w:rPr>
          <w:b/>
          <w:color w:val="00B050"/>
          <w:highlight w:val="lightGray"/>
        </w:rPr>
        <w:t>. La disposizione ha carattere ordinamentale e non comporta, pertanto, nuovi o maggiori oneri a carico della finanza pubblica</w:t>
      </w:r>
      <w:r w:rsidRPr="5AF191F5">
        <w:rPr>
          <w:b/>
          <w:color w:val="00B050"/>
          <w:highlight w:val="lightGray"/>
        </w:rPr>
        <w:t>.</w:t>
      </w:r>
    </w:p>
    <w:p w:rsidR="00AA0118" w:rsidP="4EB900D3" w14:paraId="47AA883F" w14:textId="77777777">
      <w:pPr>
        <w:spacing w:after="160"/>
        <w:jc w:val="both"/>
        <w:rPr>
          <w:color w:val="FF0000"/>
        </w:rPr>
      </w:pPr>
    </w:p>
    <w:p w:rsidR="00BF11CA" w:rsidRPr="00D8135C" w:rsidP="4EB900D3" w14:paraId="19BEAD7F" w14:textId="77777777">
      <w:pPr>
        <w:spacing w:after="160"/>
        <w:jc w:val="both"/>
        <w:rPr>
          <w:color w:val="00B050"/>
        </w:rPr>
      </w:pPr>
    </w:p>
    <w:p w:rsidR="00AA0118" w:rsidRPr="00D8135C" w:rsidP="00AA0118" w14:paraId="3AB6850F" w14:textId="77777777">
      <w:pPr>
        <w:pStyle w:val="Heading3"/>
        <w:spacing w:before="0" w:after="120"/>
        <w:rPr>
          <w:rFonts w:eastAsia="Times New Roman" w:cs="Times New Roman"/>
          <w:color w:val="00B050"/>
        </w:rPr>
      </w:pPr>
      <w:r w:rsidRPr="00D8135C">
        <w:rPr>
          <w:rFonts w:eastAsia="Times New Roman" w:cs="Times New Roman"/>
          <w:color w:val="00B050"/>
        </w:rPr>
        <w:t>ART. 18</w:t>
      </w:r>
    </w:p>
    <w:p w:rsidR="00AA0118" w:rsidRPr="00D8135C" w:rsidP="00AA0118" w14:paraId="071B662C" w14:textId="77777777">
      <w:pPr>
        <w:pStyle w:val="Heading3"/>
        <w:spacing w:before="0" w:after="120"/>
        <w:rPr>
          <w:rFonts w:eastAsia="Times New Roman" w:cs="Times New Roman"/>
          <w:color w:val="00B050"/>
        </w:rPr>
      </w:pPr>
      <w:r w:rsidRPr="00D8135C">
        <w:rPr>
          <w:rFonts w:eastAsia="Times New Roman" w:cs="Times New Roman"/>
          <w:color w:val="00B050"/>
        </w:rPr>
        <w:t>(Disposizioni in materia di accertamento giudiziale dell’applicazione degli standard retributivi previsti dai contratti collettivi di lavoro)</w:t>
      </w:r>
    </w:p>
    <w:p w:rsidR="00AA0118" w:rsidRPr="007C0E08" w:rsidP="00AA0118" w14:paraId="097B6091" w14:textId="2363491F">
      <w:pPr>
        <w:spacing w:after="160"/>
        <w:jc w:val="both"/>
        <w:rPr>
          <w:rFonts w:eastAsia="Calibri"/>
          <w:color w:val="FF0000"/>
        </w:rPr>
      </w:pPr>
      <w:r w:rsidRPr="00D8135C">
        <w:rPr>
          <w:color w:val="00B050"/>
        </w:rPr>
        <w:t>L’articolo in commento</w:t>
      </w:r>
      <w:r w:rsidRPr="00D8135C">
        <w:rPr>
          <w:b/>
          <w:bCs/>
          <w:color w:val="00B050"/>
        </w:rPr>
        <w:t xml:space="preserve"> </w:t>
      </w:r>
      <w:r w:rsidRPr="00D8135C">
        <w:rPr>
          <w:color w:val="00B050"/>
        </w:rPr>
        <w:t xml:space="preserve">prevede che con il provvedimento con cui il giudice accerta, in ogni stato e grado del giudizio, la non conformità all’articolo 36 della Costituzione dello standard retributivo stabilito dal contratto collettivo di lavoro per il settore e la zona di svolgimento della prestazione, tenuto conto dei livelli di produttività del lavoro e degli indici del costo della vita, come accertati dall'ISTAT, il datore di lavoro non può essere condannato al pagamento di differenze retributive o contributive per il periodo precedente la data del deposito del ricorso introduttivo del giudizio se ha applicato lo standard retributivo previsto dal contratto collettivo stipulato a norma dell'articolo 51 del decreto legislativo 15 giugno 2015, n. 81, o dai contratti che garantiscono tutele equivalenti ai sensi dell’articolo 11 del codice dei contratti pubblici, di cui al decreto legislativo 31 marzo 2023, n. 36 per il settore e la zona di svolgimento della prestazione. Tale disposizione non trova applicazione se il giudice accerta che il datore di lavoro non applica un contratto collettivo a norma dell'articolo 51 del decreto legislativo 15 giugno 2015, n. 81 o altro contratto equivalente, oppure se il contratto collettivo applicato non si riferisce al settore economico nel quale il lavoratore ha prestato attività per conto dell'impresa. </w:t>
      </w:r>
      <w:r w:rsidRPr="00D8135C">
        <w:rPr>
          <w:b/>
          <w:bCs/>
          <w:color w:val="00B050"/>
        </w:rPr>
        <w:t>La disposizione ha carattere ordinamentale e non comporta, pertanto, nuovi o maggiori oneri a carico della finanza pubblica</w:t>
      </w:r>
      <w:r w:rsidRPr="00D8135C">
        <w:rPr>
          <w:color w:val="00B050"/>
        </w:rPr>
        <w:t>.</w:t>
      </w:r>
    </w:p>
    <w:p w:rsidR="00AA0118" w:rsidRPr="007C0E08" w:rsidP="4EB900D3" w14:paraId="29518EC9" w14:textId="77777777">
      <w:pPr>
        <w:spacing w:after="160"/>
        <w:jc w:val="both"/>
        <w:rPr>
          <w:rFonts w:eastAsia="Calibri"/>
          <w:color w:val="FF0000"/>
        </w:rPr>
      </w:pPr>
    </w:p>
    <w:p w:rsidR="1CE80440" w:rsidP="680DCC44" w14:paraId="0709918E" w14:textId="797F3158">
      <w:pPr>
        <w:spacing w:after="160" w:line="259" w:lineRule="auto"/>
        <w:jc w:val="both"/>
        <w:rPr>
          <w:color w:val="000000" w:themeColor="text1"/>
        </w:rPr>
      </w:pPr>
    </w:p>
    <w:p w:rsidR="004461A7" w:rsidRPr="00987C41" w:rsidP="00E92CAE" w14:paraId="508F796D" w14:textId="28A761FA">
      <w:pPr>
        <w:pStyle w:val="Heading3"/>
        <w:spacing w:before="0" w:after="120"/>
        <w:rPr>
          <w:rFonts w:eastAsia="Times New Roman" w:cs="Times New Roman"/>
          <w:color w:val="000000" w:themeColor="text1"/>
          <w:highlight w:val="yellow"/>
        </w:rPr>
      </w:pPr>
      <w:bookmarkStart w:id="57" w:name="_Toc220077562"/>
      <w:r w:rsidRPr="00987C41">
        <w:rPr>
          <w:rFonts w:eastAsia="Times New Roman" w:cs="Times New Roman"/>
          <w:color w:val="000000" w:themeColor="text1"/>
        </w:rPr>
        <w:t xml:space="preserve">ART. </w:t>
      </w:r>
      <w:r w:rsidRPr="5FC0F45A">
        <w:rPr>
          <w:rFonts w:eastAsia="Times New Roman" w:cs="Times New Roman"/>
          <w:color w:val="000000" w:themeColor="text1"/>
        </w:rPr>
        <w:t>1</w:t>
      </w:r>
      <w:r w:rsidR="00AA4ED2">
        <w:rPr>
          <w:rFonts w:eastAsia="Times New Roman" w:cs="Times New Roman"/>
          <w:color w:val="000000" w:themeColor="text1"/>
        </w:rPr>
        <w:t>9</w:t>
      </w:r>
      <w:r w:rsidRPr="00987C41" w:rsidR="00465FBC">
        <w:rPr>
          <w:rFonts w:eastAsia="Times New Roman" w:cs="Times New Roman"/>
          <w:color w:val="000000" w:themeColor="text1"/>
        </w:rPr>
        <w:t xml:space="preserve">                                                                                                                                                 </w:t>
      </w:r>
      <w:r w:rsidRPr="00987C41">
        <w:rPr>
          <w:rFonts w:eastAsia="Times New Roman" w:cs="Times New Roman"/>
          <w:color w:val="000000" w:themeColor="text1"/>
        </w:rPr>
        <w:t>(</w:t>
      </w:r>
      <w:r w:rsidRPr="00445417" w:rsidR="00090D02">
        <w:t>Misure urgenti per l’attuazione dell</w:t>
      </w:r>
      <w:r w:rsidR="00090D02">
        <w:t>a</w:t>
      </w:r>
      <w:r w:rsidRPr="00445417" w:rsidR="00090D02">
        <w:t xml:space="preserve"> </w:t>
      </w:r>
      <w:r w:rsidR="00090D02">
        <w:t>R</w:t>
      </w:r>
      <w:r w:rsidRPr="00445417" w:rsidR="00090D02">
        <w:t>iform</w:t>
      </w:r>
      <w:r w:rsidR="00090D02">
        <w:t xml:space="preserve">a 1.1 </w:t>
      </w:r>
      <w:r w:rsidRPr="08D578B7" w:rsidR="00090D02">
        <w:rPr>
          <w:rFonts w:eastAsia="Book Antiqua"/>
        </w:rPr>
        <w:t>«</w:t>
      </w:r>
      <w:r w:rsidRPr="004E4501" w:rsidR="00090D02">
        <w:rPr>
          <w:rFonts w:eastAsia="Book Antiqua"/>
          <w:bCs/>
        </w:rPr>
        <w:t>Riforma degli istituti tecnici e professionali</w:t>
      </w:r>
      <w:r w:rsidRPr="08D578B7" w:rsidR="00090D02">
        <w:rPr>
          <w:rFonts w:eastAsia="Book Antiqua"/>
        </w:rPr>
        <w:t>»</w:t>
      </w:r>
      <w:r w:rsidR="00090D02">
        <w:rPr>
          <w:rFonts w:eastAsia="Book Antiqua"/>
        </w:rPr>
        <w:t xml:space="preserve">, </w:t>
      </w:r>
      <w:r w:rsidRPr="37C74100" w:rsidR="4F9D9C65">
        <w:rPr>
          <w:rFonts w:eastAsia="Book Antiqua"/>
        </w:rPr>
        <w:t xml:space="preserve"> della Riforma 1.3 Riorganizzazione del sistema scolastico</w:t>
      </w:r>
      <w:r w:rsidRPr="008566B8" w:rsidR="008566B8">
        <w:rPr>
          <w:rFonts w:eastAsia="Book Antiqua"/>
        </w:rPr>
        <w:t>»</w:t>
      </w:r>
      <w:r w:rsidRPr="37C74100" w:rsidR="73370E94">
        <w:rPr>
          <w:rFonts w:eastAsia="Book Antiqua"/>
        </w:rPr>
        <w:t>,</w:t>
      </w:r>
      <w:r w:rsidR="00090D02">
        <w:rPr>
          <w:rFonts w:eastAsia="Book Antiqua"/>
        </w:rPr>
        <w:t xml:space="preserve"> della Riforma 2.1 </w:t>
      </w:r>
      <w:r w:rsidRPr="08D578B7" w:rsidR="00090D02">
        <w:rPr>
          <w:rFonts w:eastAsia="Book Antiqua"/>
        </w:rPr>
        <w:t>«</w:t>
      </w:r>
      <w:r w:rsidRPr="004E4501" w:rsidR="00090D02">
        <w:rPr>
          <w:rFonts w:eastAsia="Book Antiqua"/>
          <w:bCs/>
        </w:rPr>
        <w:t>R</w:t>
      </w:r>
      <w:r w:rsidR="00090D02">
        <w:rPr>
          <w:rFonts w:eastAsia="Book Antiqua"/>
          <w:bCs/>
        </w:rPr>
        <w:t>eclutamento dei docenti</w:t>
      </w:r>
      <w:r w:rsidRPr="08D578B7" w:rsidR="00090D02">
        <w:rPr>
          <w:rFonts w:eastAsia="Book Antiqua"/>
        </w:rPr>
        <w:t>»</w:t>
      </w:r>
      <w:r w:rsidRPr="00445417" w:rsidR="00090D02">
        <w:t xml:space="preserve"> </w:t>
      </w:r>
      <w:r w:rsidR="00090D02">
        <w:t xml:space="preserve">e della Riforma 2.2 </w:t>
      </w:r>
      <w:r w:rsidRPr="08D578B7" w:rsidR="00090D02">
        <w:rPr>
          <w:rFonts w:eastAsia="Book Antiqua"/>
        </w:rPr>
        <w:t>«</w:t>
      </w:r>
      <w:r w:rsidRPr="00C72FC7" w:rsidR="00090D02">
        <w:rPr>
          <w:bCs/>
        </w:rPr>
        <w:t>Scuola di Alta Formazione e formazione obbligatoria per dirigenti scolastici, docenti e personale tecnico-amministrativo</w:t>
      </w:r>
      <w:r w:rsidRPr="08D578B7" w:rsidR="00090D02">
        <w:rPr>
          <w:rFonts w:eastAsia="Book Antiqua"/>
        </w:rPr>
        <w:t>»</w:t>
      </w:r>
      <w:r w:rsidR="00090D02">
        <w:rPr>
          <w:rFonts w:eastAsia="Book Antiqua"/>
        </w:rPr>
        <w:t xml:space="preserve"> </w:t>
      </w:r>
      <w:r w:rsidRPr="00445417" w:rsidR="00090D02">
        <w:t>previste dalla Missione 4</w:t>
      </w:r>
      <w:r w:rsidR="00090D02">
        <w:t xml:space="preserve"> -</w:t>
      </w:r>
      <w:r w:rsidRPr="00445417" w:rsidR="00090D02">
        <w:t xml:space="preserve"> Componente 1 del PNRR</w:t>
      </w:r>
      <w:r w:rsidRPr="00987C41">
        <w:rPr>
          <w:rFonts w:eastAsia="Times New Roman" w:cs="Times New Roman"/>
          <w:color w:val="000000" w:themeColor="text1"/>
        </w:rPr>
        <w:t>)</w:t>
      </w:r>
      <w:bookmarkEnd w:id="57"/>
    </w:p>
    <w:p w:rsidR="004461A7" w:rsidRPr="007C0E08" w:rsidP="00E92CAE" w14:paraId="76EB0007" w14:textId="1370B0A0">
      <w:pPr>
        <w:shd w:val="clear" w:color="auto" w:fill="FFFFFF" w:themeFill="background1"/>
        <w:spacing w:after="120"/>
        <w:jc w:val="both"/>
        <w:rPr>
          <w:b/>
          <w:bCs/>
          <w:strike/>
          <w:color w:val="FF0000"/>
        </w:rPr>
      </w:pPr>
      <w:r w:rsidRPr="294CD7F8">
        <w:rPr>
          <w:rFonts w:eastAsia="Book Antiqua"/>
        </w:rPr>
        <w:t>L’articolo in commento, al</w:t>
      </w:r>
      <w:r w:rsidRPr="294CD7F8" w:rsidR="17C5A678">
        <w:rPr>
          <w:rFonts w:eastAsia="Book Antiqua"/>
        </w:rPr>
        <w:t xml:space="preserve"> </w:t>
      </w:r>
      <w:r w:rsidRPr="294CD7F8" w:rsidR="17C5A678">
        <w:rPr>
          <w:rFonts w:eastAsia="Book Antiqua"/>
          <w:b/>
          <w:bCs/>
          <w:u w:val="single"/>
        </w:rPr>
        <w:t>comma 1</w:t>
      </w:r>
      <w:r w:rsidRPr="294CD7F8" w:rsidR="6E25C901">
        <w:rPr>
          <w:color w:val="000000" w:themeColor="text1"/>
        </w:rPr>
        <w:t xml:space="preserve"> apporta modifiche al decreto legislativo 13 aprile 2017, n. 59. </w:t>
      </w:r>
      <w:r w:rsidRPr="007C0E08" w:rsidR="6E25C901">
        <w:rPr>
          <w:color w:val="FF0000"/>
        </w:rPr>
        <w:t xml:space="preserve">In particolare, </w:t>
      </w:r>
      <w:r w:rsidRPr="007C0E08" w:rsidR="6E25C901">
        <w:rPr>
          <w:b/>
          <w:bCs/>
          <w:color w:val="FF0000"/>
          <w:u w:val="single"/>
        </w:rPr>
        <w:t xml:space="preserve">la lettera </w:t>
      </w:r>
      <w:r w:rsidRPr="00BF11CA" w:rsidR="6E25C901">
        <w:rPr>
          <w:b/>
          <w:bCs/>
          <w:i/>
          <w:iCs/>
          <w:color w:val="FF0000"/>
          <w:u w:val="single"/>
        </w:rPr>
        <w:t>a</w:t>
      </w:r>
      <w:r w:rsidRPr="007C0E08" w:rsidR="6E25C901">
        <w:rPr>
          <w:b/>
          <w:bCs/>
          <w:color w:val="FF0000"/>
          <w:u w:val="single"/>
        </w:rPr>
        <w:t>)</w:t>
      </w:r>
      <w:r w:rsidRPr="007C0E08" w:rsidR="6E25C901">
        <w:rPr>
          <w:color w:val="FF0000"/>
        </w:rPr>
        <w:t xml:space="preserve"> introduce un periodo aggiuntivo all’art</w:t>
      </w:r>
      <w:r w:rsidRPr="007C0E08" w:rsidR="006AD116">
        <w:rPr>
          <w:color w:val="FF0000"/>
        </w:rPr>
        <w:t>icolo</w:t>
      </w:r>
      <w:r w:rsidRPr="007C0E08" w:rsidR="6E25C901">
        <w:rPr>
          <w:color w:val="FF0000"/>
        </w:rPr>
        <w:t xml:space="preserve"> 13, comma 5, del citato decreto legislativo in materia di mobilità del personale docente</w:t>
      </w:r>
      <w:r w:rsidRPr="007C0E08" w:rsidR="69A1D5E5">
        <w:rPr>
          <w:color w:val="FF0000"/>
        </w:rPr>
        <w:t>, al fine di</w:t>
      </w:r>
      <w:r w:rsidRPr="007C0E08" w:rsidR="6F3C9E6B">
        <w:rPr>
          <w:color w:val="FF0000"/>
        </w:rPr>
        <w:t xml:space="preserve"> demanda</w:t>
      </w:r>
      <w:r w:rsidRPr="007C0E08" w:rsidR="19036265">
        <w:rPr>
          <w:color w:val="FF0000"/>
        </w:rPr>
        <w:t>re</w:t>
      </w:r>
      <w:r w:rsidRPr="007C0E08" w:rsidR="6F3C9E6B">
        <w:rPr>
          <w:color w:val="FF0000"/>
        </w:rPr>
        <w:t xml:space="preserve"> alla contrattazione collettiva integrativa l’individuazione di ulteriori criteri integrativi in tema di mobilità. L’obiettivo è quello di consentire alla CCNI la previsione di criteri per definire le modalità di computo del triennio di permanenza perseguendo, indirettamente, l’ulteriore vantaggio di superare eventuali dubbi interpretativi derivanti dalla stratificazione di norme nel tempo in tema di vincolo triennale.</w:t>
      </w:r>
      <w:r w:rsidRPr="007C0E08" w:rsidR="6F3C9E6B">
        <w:rPr>
          <w:b/>
          <w:bCs/>
          <w:color w:val="FF0000"/>
        </w:rPr>
        <w:t xml:space="preserve"> La disposizione </w:t>
      </w:r>
      <w:r w:rsidRPr="007C0E08" w:rsidR="6EBCDCF8">
        <w:rPr>
          <w:b/>
          <w:bCs/>
          <w:color w:val="FF0000"/>
        </w:rPr>
        <w:t>riveste</w:t>
      </w:r>
      <w:r w:rsidRPr="007C0E08" w:rsidR="6F3C9E6B">
        <w:rPr>
          <w:b/>
          <w:bCs/>
          <w:color w:val="FF0000"/>
        </w:rPr>
        <w:t xml:space="preserve"> carattere ordinamentale </w:t>
      </w:r>
      <w:r w:rsidRPr="007C0E08" w:rsidR="4D0721A9">
        <w:rPr>
          <w:b/>
          <w:bCs/>
          <w:color w:val="FF0000"/>
        </w:rPr>
        <w:t>e</w:t>
      </w:r>
      <w:r w:rsidRPr="007C0E08" w:rsidR="6F3C9E6B">
        <w:rPr>
          <w:b/>
          <w:bCs/>
          <w:color w:val="FF0000"/>
        </w:rPr>
        <w:t xml:space="preserve"> non comporta</w:t>
      </w:r>
      <w:r w:rsidRPr="007C0E08" w:rsidR="7241DBC2">
        <w:rPr>
          <w:b/>
          <w:bCs/>
          <w:color w:val="FF0000"/>
        </w:rPr>
        <w:t>, pertanto,</w:t>
      </w:r>
      <w:r w:rsidRPr="007C0E08" w:rsidR="6F3C9E6B">
        <w:rPr>
          <w:b/>
          <w:bCs/>
          <w:color w:val="FF0000"/>
        </w:rPr>
        <w:t xml:space="preserve"> nuovi o maggiori oneri a carico della finanza pubblica.</w:t>
      </w:r>
    </w:p>
    <w:p w:rsidR="4FBC4724" w:rsidRPr="00987C41" w:rsidP="00E92CAE" w14:paraId="37D1AA7E" w14:textId="4DC32DB3">
      <w:pPr>
        <w:spacing w:after="120"/>
        <w:jc w:val="both"/>
        <w:rPr>
          <w:rFonts w:eastAsia="Book Antiqua"/>
          <w:b/>
        </w:rPr>
      </w:pPr>
      <w:r w:rsidRPr="00E0298F">
        <w:rPr>
          <w:rFonts w:eastAsia="Calibri"/>
          <w:b/>
          <w:bCs/>
          <w:kern w:val="2"/>
          <w:u w:val="single"/>
        </w:rPr>
        <w:t>L</w:t>
      </w:r>
      <w:r w:rsidRPr="00E0298F" w:rsidR="002F36E1">
        <w:rPr>
          <w:rFonts w:eastAsia="Calibri"/>
          <w:b/>
          <w:bCs/>
          <w:kern w:val="2"/>
          <w:u w:val="single"/>
        </w:rPr>
        <w:t>a</w:t>
      </w:r>
      <w:r w:rsidRPr="00E0298F" w:rsidR="57634405">
        <w:rPr>
          <w:rFonts w:eastAsia="Calibri"/>
          <w:b/>
          <w:bCs/>
          <w:kern w:val="2"/>
          <w:u w:val="single"/>
        </w:rPr>
        <w:t xml:space="preserve"> lettera </w:t>
      </w:r>
      <w:r w:rsidRPr="00BF11CA" w:rsidR="57634405">
        <w:rPr>
          <w:rFonts w:eastAsia="Calibri"/>
          <w:b/>
          <w:bCs/>
          <w:i/>
          <w:iCs/>
          <w:kern w:val="2"/>
          <w:u w:val="single"/>
        </w:rPr>
        <w:t>b</w:t>
      </w:r>
      <w:r w:rsidRPr="00E0298F" w:rsidR="57634405">
        <w:rPr>
          <w:rFonts w:eastAsia="Calibri"/>
          <w:b/>
          <w:bCs/>
          <w:kern w:val="2"/>
          <w:u w:val="single"/>
        </w:rPr>
        <w:t>)</w:t>
      </w:r>
      <w:r w:rsidRPr="00987C41" w:rsidR="002F36E1">
        <w:rPr>
          <w:rFonts w:eastAsia="Calibri"/>
          <w:kern w:val="2"/>
        </w:rPr>
        <w:t xml:space="preserve"> reca </w:t>
      </w:r>
      <w:r w:rsidRPr="00987C41" w:rsidR="004A0304">
        <w:rPr>
          <w:rFonts w:eastAsia="Calibri"/>
          <w:kern w:val="2"/>
        </w:rPr>
        <w:t>modifiche all’articolo 16-</w:t>
      </w:r>
      <w:r w:rsidRPr="00987C41" w:rsidR="004A0304">
        <w:rPr>
          <w:rFonts w:eastAsia="Calibri"/>
          <w:i/>
          <w:kern w:val="2"/>
        </w:rPr>
        <w:t>ter</w:t>
      </w:r>
      <w:r w:rsidRPr="00987C41" w:rsidR="004A0304">
        <w:rPr>
          <w:rFonts w:eastAsia="Calibri"/>
          <w:kern w:val="2"/>
        </w:rPr>
        <w:t xml:space="preserve"> del decreto legislativo 13 aprile 2017, n. 59, al fine di semplificare il quadro normativo relativo agli accreditamenti degli enti di formazione. L’intervento senza apportare modifiche al sistema delineato dal PNRR, si limita a razionalizzare il meccanismo uniformando l’accreditamento della formazione incentivata, prevista dal PNRR, a quello della formazione continua, già vigente.</w:t>
      </w:r>
      <w:r w:rsidRPr="00987C41" w:rsidR="009B076C">
        <w:rPr>
          <w:rFonts w:eastAsia="Calibri"/>
          <w:kern w:val="2"/>
        </w:rPr>
        <w:t xml:space="preserve"> </w:t>
      </w:r>
      <w:r w:rsidRPr="00987C41" w:rsidR="004A0304">
        <w:rPr>
          <w:rFonts w:eastAsia="Calibri"/>
          <w:kern w:val="2"/>
        </w:rPr>
        <w:t xml:space="preserve">In particolare, viene eleminata la clausola di salvezza prevista per gli enti già accreditati dal Ministero che si era resa necessaria per consentire la prima applicazione della misura e che adesso, non essendo più necessaria, determina un irrigidimento del sistema di accreditamento degli enti. </w:t>
      </w:r>
      <w:r w:rsidRPr="00987C41" w:rsidR="1F77FFA2">
        <w:rPr>
          <w:rFonts w:eastAsia="Calibri"/>
          <w:kern w:val="2"/>
        </w:rPr>
        <w:t>S</w:t>
      </w:r>
      <w:r w:rsidRPr="3DF935D2" w:rsidR="1F77FFA2">
        <w:rPr>
          <w:color w:val="000000" w:themeColor="text1"/>
        </w:rPr>
        <w:t xml:space="preserve">i elimina, inoltre, quale requisito minimo di accreditamento degli enti,  l’esperienza almeno quinquennale nelle attività di formazione dei docenti svolta in almeno tre regioni (punto 2); Si introduce, </w:t>
      </w:r>
      <w:r w:rsidRPr="2F216DCB" w:rsidR="1F77FFA2">
        <w:rPr>
          <w:color w:val="000000" w:themeColor="text1"/>
        </w:rPr>
        <w:t>poi,</w:t>
      </w:r>
      <w:r w:rsidRPr="664C799D" w:rsidR="1F77FFA2">
        <w:rPr>
          <w:color w:val="000000" w:themeColor="text1"/>
        </w:rPr>
        <w:t xml:space="preserve"> il comma 8-bis che dispone che l’accreditamento degli enti di formazione e la qualificazione delle associazioni professionali e disciplinari ai fini della formazione continua in servizio del personale scolastico è disposto con la direttiva del Ministro dell’istruzione di cui al comma 8 (punto 3)</w:t>
      </w:r>
      <w:r w:rsidRPr="664C799D" w:rsidR="1F77FFA2">
        <w:t xml:space="preserve"> </w:t>
      </w:r>
      <w:r w:rsidRPr="00987C41" w:rsidR="004A0304">
        <w:rPr>
          <w:rFonts w:eastAsia="Calibri"/>
          <w:kern w:val="2"/>
        </w:rPr>
        <w:t>Alla luce delle modifiche proposte, si sostituisce la rubrica dell’articolo 16-</w:t>
      </w:r>
      <w:r w:rsidRPr="3DF935D2" w:rsidR="004A0304">
        <w:rPr>
          <w:rFonts w:eastAsia="Calibri"/>
          <w:i/>
          <w:iCs/>
          <w:kern w:val="2"/>
        </w:rPr>
        <w:t>ter</w:t>
      </w:r>
      <w:r w:rsidRPr="00987C41" w:rsidR="004A0304">
        <w:rPr>
          <w:rFonts w:eastAsia="Calibri"/>
          <w:kern w:val="2"/>
        </w:rPr>
        <w:t xml:space="preserve"> del decreto legislativo n. 59 del 2017, al fine di inserirvi anche il riferimento alla formazione continua</w:t>
      </w:r>
      <w:r w:rsidRPr="00987C41" w:rsidR="7028A557">
        <w:rPr>
          <w:rFonts w:eastAsia="Calibri"/>
          <w:kern w:val="2"/>
        </w:rPr>
        <w:t xml:space="preserve"> (punto 4)</w:t>
      </w:r>
      <w:r w:rsidRPr="00987C41" w:rsidR="004A0304">
        <w:rPr>
          <w:rFonts w:eastAsia="Calibri"/>
          <w:kern w:val="2"/>
        </w:rPr>
        <w:t xml:space="preserve">. </w:t>
      </w:r>
      <w:r w:rsidRPr="00851E12">
        <w:rPr>
          <w:rFonts w:eastAsia="Book Antiqua"/>
          <w:b/>
          <w:bCs/>
        </w:rPr>
        <w:t>L</w:t>
      </w:r>
      <w:r w:rsidRPr="00851E12" w:rsidR="00851E12">
        <w:rPr>
          <w:rFonts w:eastAsia="Book Antiqua"/>
          <w:b/>
          <w:bCs/>
        </w:rPr>
        <w:t>a</w:t>
      </w:r>
      <w:r w:rsidRPr="00851E12">
        <w:rPr>
          <w:rFonts w:eastAsia="Book Antiqua"/>
          <w:b/>
          <w:bCs/>
        </w:rPr>
        <w:t xml:space="preserve"> </w:t>
      </w:r>
      <w:r w:rsidRPr="00851E12" w:rsidR="0C0596D8">
        <w:rPr>
          <w:rFonts w:eastAsia="Book Antiqua"/>
          <w:b/>
          <w:bCs/>
        </w:rPr>
        <w:t>disposizion</w:t>
      </w:r>
      <w:r w:rsidRPr="00851E12" w:rsidR="00851E12">
        <w:rPr>
          <w:rFonts w:eastAsia="Book Antiqua"/>
          <w:b/>
          <w:bCs/>
        </w:rPr>
        <w:t>e</w:t>
      </w:r>
      <w:r w:rsidRPr="00851E12" w:rsidR="1CEA719C">
        <w:rPr>
          <w:rFonts w:eastAsia="Book Antiqua"/>
          <w:b/>
          <w:bCs/>
        </w:rPr>
        <w:t xml:space="preserve"> </w:t>
      </w:r>
      <w:r w:rsidRPr="00851E12">
        <w:rPr>
          <w:rFonts w:eastAsia="Book Antiqua"/>
          <w:b/>
          <w:bCs/>
        </w:rPr>
        <w:t>limita</w:t>
      </w:r>
      <w:r w:rsidRPr="00851E12" w:rsidR="3B002160">
        <w:rPr>
          <w:rFonts w:eastAsia="Book Antiqua"/>
          <w:b/>
          <w:bCs/>
        </w:rPr>
        <w:t>ndosi</w:t>
      </w:r>
      <w:r w:rsidRPr="00851E12">
        <w:rPr>
          <w:rFonts w:eastAsia="Book Antiqua"/>
          <w:b/>
          <w:bCs/>
        </w:rPr>
        <w:t xml:space="preserve"> a semplificare il quadro normativo relativo agli accreditamenti degli enti di formazione, </w:t>
      </w:r>
      <w:r w:rsidRPr="00851E12" w:rsidR="6C459CA1">
        <w:rPr>
          <w:rFonts w:eastAsia="Book Antiqua"/>
          <w:b/>
          <w:bCs/>
        </w:rPr>
        <w:t xml:space="preserve">ha natura ordinamentale </w:t>
      </w:r>
      <w:r w:rsidRPr="00851E12" w:rsidR="0510A40E">
        <w:rPr>
          <w:rFonts w:eastAsia="Book Antiqua"/>
          <w:b/>
          <w:bCs/>
        </w:rPr>
        <w:t>e</w:t>
      </w:r>
      <w:r w:rsidRPr="00851E12">
        <w:rPr>
          <w:rFonts w:eastAsia="Book Antiqua"/>
          <w:b/>
          <w:bCs/>
        </w:rPr>
        <w:t xml:space="preserve"> non </w:t>
      </w:r>
      <w:r w:rsidRPr="00851E12" w:rsidR="54012FA5">
        <w:rPr>
          <w:rFonts w:eastAsia="Book Antiqua"/>
          <w:b/>
          <w:bCs/>
        </w:rPr>
        <w:t>determin</w:t>
      </w:r>
      <w:r w:rsidRPr="00851E12" w:rsidR="00073F48">
        <w:rPr>
          <w:rFonts w:eastAsia="Book Antiqua"/>
          <w:b/>
          <w:bCs/>
        </w:rPr>
        <w:t>a</w:t>
      </w:r>
      <w:r w:rsidRPr="00851E12" w:rsidR="0510A40E">
        <w:rPr>
          <w:rFonts w:eastAsia="Book Antiqua"/>
          <w:b/>
          <w:bCs/>
        </w:rPr>
        <w:t xml:space="preserve"> </w:t>
      </w:r>
      <w:r w:rsidRPr="00851E12">
        <w:rPr>
          <w:rFonts w:eastAsia="Book Antiqua"/>
          <w:b/>
          <w:bCs/>
        </w:rPr>
        <w:t xml:space="preserve">pertanto nuovi o maggiori oneri </w:t>
      </w:r>
      <w:r w:rsidRPr="00851E12" w:rsidR="6B451407">
        <w:rPr>
          <w:rFonts w:eastAsia="Book Antiqua"/>
          <w:b/>
          <w:bCs/>
        </w:rPr>
        <w:t>a carico del bilancio dello Stato</w:t>
      </w:r>
      <w:r w:rsidRPr="00851E12">
        <w:rPr>
          <w:rFonts w:eastAsia="Book Antiqua"/>
          <w:b/>
          <w:bCs/>
        </w:rPr>
        <w:t>.</w:t>
      </w:r>
    </w:p>
    <w:p w:rsidR="0022005C" w:rsidRPr="00710DEA" w:rsidP="00E92CAE" w14:paraId="6C61895C" w14:textId="23D1BEF3">
      <w:pPr>
        <w:spacing w:after="120"/>
        <w:jc w:val="both"/>
        <w:rPr>
          <w:rFonts w:eastAsia="Book Antiqua"/>
          <w:b/>
          <w:bCs/>
        </w:rPr>
      </w:pPr>
      <w:r w:rsidRPr="00987C41">
        <w:rPr>
          <w:rFonts w:eastAsia="Book Antiqua"/>
          <w:bCs/>
        </w:rPr>
        <w:t>Il</w:t>
      </w:r>
      <w:r w:rsidRPr="00987C41" w:rsidR="30B44C76">
        <w:rPr>
          <w:rFonts w:eastAsia="Book Antiqua"/>
        </w:rPr>
        <w:t xml:space="preserve"> </w:t>
      </w:r>
      <w:r w:rsidRPr="00987C41" w:rsidR="30B44C76">
        <w:rPr>
          <w:rFonts w:eastAsia="Book Antiqua"/>
          <w:b/>
          <w:u w:val="single"/>
        </w:rPr>
        <w:t>c</w:t>
      </w:r>
      <w:r w:rsidRPr="00987C41" w:rsidR="30B44C76">
        <w:rPr>
          <w:rFonts w:eastAsia="Calibri"/>
          <w:b/>
          <w:kern w:val="2"/>
          <w:u w:val="single"/>
        </w:rPr>
        <w:t xml:space="preserve">omma </w:t>
      </w:r>
      <w:r w:rsidRPr="28F3FEA7" w:rsidR="002B7002">
        <w:rPr>
          <w:rFonts w:eastAsia="Calibri"/>
          <w:b/>
          <w:bCs/>
          <w:kern w:val="2"/>
          <w:u w:val="single"/>
        </w:rPr>
        <w:t>2</w:t>
      </w:r>
      <w:r w:rsidRPr="28F3FEA7" w:rsidR="3383A9F4">
        <w:rPr>
          <w:rFonts w:eastAsia="Calibri"/>
          <w:b/>
          <w:bCs/>
          <w:kern w:val="2"/>
          <w:u w:val="single"/>
        </w:rPr>
        <w:t xml:space="preserve"> </w:t>
      </w:r>
      <w:r w:rsidRPr="28F3FEA7" w:rsidR="3383A9F4">
        <w:rPr>
          <w:color w:val="000000" w:themeColor="text1"/>
        </w:rPr>
        <w:t>reca</w:t>
      </w:r>
      <w:r w:rsidRPr="28F3FEA7" w:rsidR="3383A9F4">
        <w:rPr>
          <w:b/>
          <w:bCs/>
          <w:color w:val="000000" w:themeColor="text1"/>
        </w:rPr>
        <w:t xml:space="preserve"> </w:t>
      </w:r>
      <w:r w:rsidRPr="28F3FEA7" w:rsidR="3383A9F4">
        <w:rPr>
          <w:color w:val="000000" w:themeColor="text1"/>
        </w:rPr>
        <w:t xml:space="preserve">modifiche al comma </w:t>
      </w:r>
      <w:r w:rsidRPr="28F3FEA7" w:rsidR="0FEEDFFA">
        <w:rPr>
          <w:rFonts w:eastAsia="Book Antiqua"/>
          <w:color w:val="000000" w:themeColor="text1"/>
        </w:rPr>
        <w:t>3</w:t>
      </w:r>
      <w:r w:rsidRPr="28F3FEA7" w:rsidR="3383A9F4">
        <w:rPr>
          <w:b/>
          <w:bCs/>
          <w:color w:val="000000" w:themeColor="text1"/>
        </w:rPr>
        <w:t>-</w:t>
      </w:r>
      <w:r w:rsidRPr="28F3FEA7" w:rsidR="3383A9F4">
        <w:rPr>
          <w:i/>
          <w:iCs/>
          <w:color w:val="000000" w:themeColor="text1"/>
        </w:rPr>
        <w:t>ter</w:t>
      </w:r>
      <w:r w:rsidRPr="28F3FEA7" w:rsidR="3383A9F4">
        <w:rPr>
          <w:color w:val="000000" w:themeColor="text1"/>
        </w:rPr>
        <w:t xml:space="preserve"> dell’articolo 399 del testo unico in materia di istruzione, </w:t>
      </w:r>
      <w:r w:rsidRPr="28F3FEA7" w:rsidR="2B3CECAD">
        <w:rPr>
          <w:color w:val="000000" w:themeColor="text1"/>
        </w:rPr>
        <w:t>inte</w:t>
      </w:r>
      <w:r w:rsidRPr="28F3FEA7" w:rsidR="044A7801">
        <w:rPr>
          <w:color w:val="000000" w:themeColor="text1"/>
        </w:rPr>
        <w:t>r</w:t>
      </w:r>
      <w:r w:rsidRPr="28F3FEA7" w:rsidR="2B3CECAD">
        <w:rPr>
          <w:color w:val="000000" w:themeColor="text1"/>
        </w:rPr>
        <w:t>venendo</w:t>
      </w:r>
      <w:r w:rsidRPr="28F3FEA7" w:rsidR="3CC158C1">
        <w:rPr>
          <w:color w:val="000000" w:themeColor="text1"/>
        </w:rPr>
        <w:t xml:space="preserve"> sulla </w:t>
      </w:r>
      <w:r w:rsidRPr="28F3FEA7" w:rsidR="0461194A">
        <w:rPr>
          <w:color w:val="000000" w:themeColor="text1"/>
        </w:rPr>
        <w:t>graduato</w:t>
      </w:r>
      <w:r w:rsidRPr="28F3FEA7" w:rsidR="5AFA2E59">
        <w:rPr>
          <w:color w:val="000000" w:themeColor="text1"/>
        </w:rPr>
        <w:t xml:space="preserve">ria dei concorsi per docenti banditi a decorrere dal </w:t>
      </w:r>
      <w:r w:rsidRPr="28F3FEA7" w:rsidR="00710DEA">
        <w:rPr>
          <w:color w:val="000000" w:themeColor="text1"/>
        </w:rPr>
        <w:t>2020</w:t>
      </w:r>
      <w:r w:rsidRPr="7E2A7BFD" w:rsidR="00710DEA">
        <w:rPr>
          <w:color w:val="000000" w:themeColor="text1"/>
        </w:rPr>
        <w:t>, inserite</w:t>
      </w:r>
      <w:r w:rsidRPr="7E2A7BFD" w:rsidR="0D013F33">
        <w:rPr>
          <w:color w:val="000000" w:themeColor="text1"/>
        </w:rPr>
        <w:t xml:space="preserve"> in un apposito elenco regionale costituito annualmente. </w:t>
      </w:r>
      <w:r w:rsidRPr="7E2A7BFD" w:rsidR="00710DEA">
        <w:rPr>
          <w:color w:val="000000" w:themeColor="text1"/>
        </w:rPr>
        <w:t>In particolare,</w:t>
      </w:r>
      <w:r w:rsidRPr="7E2A7BFD" w:rsidR="0D013F33">
        <w:rPr>
          <w:color w:val="000000" w:themeColor="text1"/>
        </w:rPr>
        <w:t xml:space="preserve"> si</w:t>
      </w:r>
      <w:r w:rsidRPr="7E2A7BFD" w:rsidR="5AFA2E59">
        <w:rPr>
          <w:color w:val="000000" w:themeColor="text1"/>
        </w:rPr>
        <w:t xml:space="preserve"> </w:t>
      </w:r>
      <w:r w:rsidRPr="7E2A7BFD" w:rsidR="3383A9F4">
        <w:rPr>
          <w:color w:val="000000" w:themeColor="text1"/>
        </w:rPr>
        <w:t>prevede</w:t>
      </w:r>
      <w:r w:rsidRPr="28F3FEA7" w:rsidR="3383A9F4">
        <w:rPr>
          <w:color w:val="000000" w:themeColor="text1"/>
        </w:rPr>
        <w:t xml:space="preserve"> che l’ordine dei candidati </w:t>
      </w:r>
      <w:r w:rsidRPr="7E2A7BFD" w:rsidR="0745A36E">
        <w:rPr>
          <w:color w:val="000000" w:themeColor="text1"/>
        </w:rPr>
        <w:t>in graduatoria</w:t>
      </w:r>
      <w:r w:rsidRPr="7E2A7BFD" w:rsidR="3383A9F4">
        <w:rPr>
          <w:color w:val="000000" w:themeColor="text1"/>
        </w:rPr>
        <w:t xml:space="preserve"> ne</w:t>
      </w:r>
      <w:r w:rsidRPr="7E2A7BFD" w:rsidR="17720A83">
        <w:rPr>
          <w:color w:val="000000" w:themeColor="text1"/>
        </w:rPr>
        <w:t>gli</w:t>
      </w:r>
      <w:r w:rsidRPr="7E2A7BFD" w:rsidR="3383A9F4">
        <w:rPr>
          <w:color w:val="000000" w:themeColor="text1"/>
        </w:rPr>
        <w:t xml:space="preserve"> </w:t>
      </w:r>
      <w:r w:rsidRPr="28F3FEA7" w:rsidR="3383A9F4">
        <w:rPr>
          <w:color w:val="000000" w:themeColor="text1"/>
        </w:rPr>
        <w:t>istituendi elenchi regionali segua l'ordine del punteggio ottenuto nelle prove scritte e orali dei concorsi. La specifica mira ad escludere dall’ordine del punteggio la valutazione dei titoli.</w:t>
      </w:r>
      <w:r w:rsidRPr="28F3FEA7" w:rsidR="478F704A">
        <w:rPr>
          <w:color w:val="000000" w:themeColor="text1"/>
        </w:rPr>
        <w:t xml:space="preserve"> </w:t>
      </w:r>
      <w:r w:rsidRPr="00710DEA">
        <w:rPr>
          <w:b/>
          <w:bCs/>
        </w:rPr>
        <w:t>La disposizione</w:t>
      </w:r>
      <w:r w:rsidRPr="00710DEA" w:rsidR="008146CD">
        <w:rPr>
          <w:b/>
          <w:bCs/>
          <w:color w:val="000000" w:themeColor="text1"/>
        </w:rPr>
        <w:t xml:space="preserve">, </w:t>
      </w:r>
      <w:r w:rsidRPr="00710DEA" w:rsidR="008146CD">
        <w:rPr>
          <w:rFonts w:eastAsia="Book Antiqua"/>
          <w:b/>
          <w:bCs/>
        </w:rPr>
        <w:t>limitandosi a modificare il criterio relativo all’ordine di inserimento dei candidati nell’elenco regionale</w:t>
      </w:r>
      <w:r w:rsidRPr="00710DEA" w:rsidR="0EEADD38">
        <w:rPr>
          <w:rFonts w:eastAsia="Book Antiqua"/>
          <w:b/>
          <w:bCs/>
        </w:rPr>
        <w:t>,</w:t>
      </w:r>
      <w:r w:rsidRPr="00710DEA" w:rsidR="008146CD">
        <w:rPr>
          <w:rFonts w:eastAsia="Book Antiqua"/>
          <w:b/>
          <w:bCs/>
        </w:rPr>
        <w:t xml:space="preserve"> che opera sulle facoltà assunzionali già autorizzate a legislazione vigente,</w:t>
      </w:r>
      <w:r w:rsidRPr="00710DEA" w:rsidR="008146CD">
        <w:rPr>
          <w:b/>
          <w:bCs/>
        </w:rPr>
        <w:t xml:space="preserve"> </w:t>
      </w:r>
      <w:r w:rsidRPr="00710DEA">
        <w:rPr>
          <w:b/>
          <w:bCs/>
        </w:rPr>
        <w:t>ha carattere ordinamentale e non comporta nuovi o maggiori oneri a carico della finanza pubblica.</w:t>
      </w:r>
      <w:r w:rsidRPr="00710DEA" w:rsidR="66624AFF">
        <w:rPr>
          <w:b/>
          <w:bCs/>
        </w:rPr>
        <w:t xml:space="preserve"> </w:t>
      </w:r>
    </w:p>
    <w:p w:rsidR="3F6BC73B" w:rsidRPr="00987C41" w:rsidP="00E92CAE" w14:paraId="581F156C" w14:textId="44FF322C">
      <w:pPr>
        <w:spacing w:after="120"/>
        <w:jc w:val="both"/>
        <w:rPr>
          <w:rFonts w:eastAsia="Book Antiqua"/>
        </w:rPr>
      </w:pPr>
      <w:r w:rsidRPr="4BF62E39">
        <w:rPr>
          <w:rFonts w:eastAsia="Book Antiqua"/>
        </w:rPr>
        <w:t xml:space="preserve">Il </w:t>
      </w:r>
      <w:r w:rsidRPr="4BF62E39">
        <w:rPr>
          <w:rFonts w:eastAsia="Book Antiqua"/>
          <w:b/>
          <w:bCs/>
          <w:u w:val="single"/>
        </w:rPr>
        <w:t xml:space="preserve">comma </w:t>
      </w:r>
      <w:r w:rsidRPr="4BF62E39" w:rsidR="109965CB">
        <w:rPr>
          <w:rFonts w:eastAsia="Book Antiqua"/>
          <w:b/>
          <w:bCs/>
          <w:u w:val="single"/>
        </w:rPr>
        <w:t>3</w:t>
      </w:r>
      <w:r w:rsidRPr="4BF62E39">
        <w:rPr>
          <w:rFonts w:eastAsia="Book Antiqua"/>
          <w:b/>
          <w:bCs/>
        </w:rPr>
        <w:t xml:space="preserve"> </w:t>
      </w:r>
      <w:r w:rsidRPr="4BF62E39">
        <w:rPr>
          <w:rFonts w:eastAsia="Book Antiqua"/>
        </w:rPr>
        <w:t>interviene sul comma 1 dell’articolo 26-</w:t>
      </w:r>
      <w:r w:rsidRPr="00BF11CA">
        <w:rPr>
          <w:rFonts w:eastAsia="Book Antiqua"/>
          <w:i/>
          <w:iCs/>
        </w:rPr>
        <w:t>bis</w:t>
      </w:r>
      <w:r w:rsidRPr="4BF62E39">
        <w:rPr>
          <w:rFonts w:eastAsia="Book Antiqua"/>
        </w:rPr>
        <w:t xml:space="preserve"> del decreto-legge 23 settembre 2022, n. 144, convertito, con modificazioni, dalla legge 17 novembre 2022, n. 175, introdotto dall’articolo 1, comma 1, del decreto-legge 7 aprile 2025, n. 45, convertito, con modificazioni, dalla </w:t>
      </w:r>
      <w:r w:rsidRPr="5D8C61DE" w:rsidR="5AD904D3">
        <w:rPr>
          <w:rFonts w:eastAsia="Book Antiqua"/>
        </w:rPr>
        <w:t>legge</w:t>
      </w:r>
      <w:r w:rsidRPr="4BF62E39">
        <w:rPr>
          <w:rFonts w:eastAsia="Book Antiqua"/>
        </w:rPr>
        <w:t xml:space="preserve"> 5 giugno 2025, n. 79, sostituendo il riferimento </w:t>
      </w:r>
      <w:r w:rsidRPr="4BF62E39" w:rsidR="00B64A70">
        <w:rPr>
          <w:rFonts w:eastAsia="Book Antiqua"/>
        </w:rPr>
        <w:t>all’a.</w:t>
      </w:r>
      <w:r w:rsidRPr="4BF62E39" w:rsidR="002D225C">
        <w:rPr>
          <w:rFonts w:eastAsia="Book Antiqua"/>
        </w:rPr>
        <w:t>s</w:t>
      </w:r>
      <w:r w:rsidRPr="4BF62E39" w:rsidR="00B64A70">
        <w:rPr>
          <w:rFonts w:eastAsia="Book Antiqua"/>
        </w:rPr>
        <w:t>.</w:t>
      </w:r>
      <w:r w:rsidRPr="4BF62E39">
        <w:rPr>
          <w:rFonts w:eastAsia="Book Antiqua"/>
        </w:rPr>
        <w:t xml:space="preserve"> 2023/2024 con quello </w:t>
      </w:r>
      <w:r w:rsidRPr="4BF62E39">
        <w:rPr>
          <w:rFonts w:eastAsia="Book Antiqua"/>
        </w:rPr>
        <w:t>all’a.s.</w:t>
      </w:r>
      <w:r w:rsidRPr="4BF62E39">
        <w:rPr>
          <w:rFonts w:eastAsia="Book Antiqua"/>
        </w:rPr>
        <w:t xml:space="preserve"> 2024/2025, quale anno “soglia” per la definizione del numero massimo di classi attivabili nella scuola secondaria di secondo grado a decorrere dall’anno scolastico 2026/2027. La modifica, di natura meramente formale, corregge un errore materiale derivante dal mancato allineamento tra il riferimento testuale all’anno 2023/2024 e i dati effettivamente acquisiti e utilizzati in sede di elaborazione della norma in parola, relativi all’anno scolastico 2024/2025, più aggiornati e attendibili ai fini di un corretto contingentamento. La correzione risulta necessaria al fine di ingenerare dubbi interpretativi in sede di attuazione della riforma in parola in quanto i dati dell’anno scolastico 2024/2025 rappresentano in modo più realistico la situazione attuale, agevolando l’attuazione della riforma PNRR in argomento, prevista per l’anno scolastico 2026/27. </w:t>
      </w:r>
    </w:p>
    <w:p w:rsidR="3F6BC73B" w:rsidRPr="00710DEA" w:rsidP="00E92CAE" w14:paraId="238565AE" w14:textId="22F39870">
      <w:pPr>
        <w:spacing w:after="120"/>
        <w:jc w:val="both"/>
        <w:rPr>
          <w:rFonts w:eastAsia="Book Antiqua"/>
          <w:b/>
          <w:bCs/>
        </w:rPr>
      </w:pPr>
      <w:r w:rsidRPr="00710DEA">
        <w:rPr>
          <w:rFonts w:eastAsia="Book Antiqua"/>
          <w:b/>
          <w:bCs/>
        </w:rPr>
        <w:t>L</w:t>
      </w:r>
      <w:r w:rsidRPr="00710DEA" w:rsidR="00F1130F">
        <w:rPr>
          <w:rFonts w:eastAsia="Book Antiqua"/>
          <w:b/>
          <w:bCs/>
        </w:rPr>
        <w:t xml:space="preserve">a disposizione </w:t>
      </w:r>
      <w:r w:rsidRPr="00710DEA">
        <w:rPr>
          <w:rFonts w:eastAsia="Book Antiqua"/>
          <w:b/>
          <w:bCs/>
        </w:rPr>
        <w:t xml:space="preserve">non comporta nuovi o maggiori oneri a carico dello Stato, in quanto si limita a recepire i dati già considerati nella relazione tecnica bollinata della disposizione in esame, che assumeva a riferimento proprio l’anno scolastico 2024/2025, anziché l’anno citato nell’attuale testo normativo. </w:t>
      </w:r>
    </w:p>
    <w:p w:rsidR="6A32049B" w:rsidRPr="007C0E08" w:rsidP="00E92CAE" w14:paraId="0216641D" w14:textId="306436D2">
      <w:pPr>
        <w:spacing w:after="120"/>
        <w:jc w:val="both"/>
        <w:rPr>
          <w:rFonts w:eastAsia="Book Antiqua"/>
          <w:b/>
          <w:bCs/>
          <w:color w:val="FF0000"/>
        </w:rPr>
      </w:pPr>
      <w:r w:rsidRPr="007C0E08">
        <w:rPr>
          <w:rFonts w:eastAsia="Book Antiqua"/>
          <w:color w:val="FF0000"/>
        </w:rPr>
        <w:t xml:space="preserve">Il </w:t>
      </w:r>
      <w:r w:rsidRPr="007C0E08">
        <w:rPr>
          <w:rFonts w:eastAsia="Book Antiqua"/>
          <w:b/>
          <w:bCs/>
          <w:color w:val="FF0000"/>
          <w:u w:val="single"/>
        </w:rPr>
        <w:t xml:space="preserve">comma </w:t>
      </w:r>
      <w:r w:rsidRPr="007C0E08" w:rsidR="6937052F">
        <w:rPr>
          <w:rFonts w:eastAsia="Book Antiqua"/>
          <w:b/>
          <w:bCs/>
          <w:color w:val="FF0000"/>
          <w:u w:val="single"/>
        </w:rPr>
        <w:t>4</w:t>
      </w:r>
      <w:r w:rsidRPr="007C0E08" w:rsidR="1EDBDD73">
        <w:rPr>
          <w:rFonts w:eastAsia="Book Antiqua"/>
          <w:b/>
          <w:bCs/>
          <w:color w:val="FF0000"/>
          <w:u w:val="single"/>
        </w:rPr>
        <w:t xml:space="preserve"> </w:t>
      </w:r>
      <w:r w:rsidRPr="007C0E08" w:rsidR="1EDBDD73">
        <w:rPr>
          <w:color w:val="FF0000"/>
        </w:rPr>
        <w:t>prevede l’a</w:t>
      </w:r>
      <w:r w:rsidRPr="007C0E08" w:rsidR="7461A13A">
        <w:rPr>
          <w:color w:val="FF0000"/>
        </w:rPr>
        <w:t>ssegnazi</w:t>
      </w:r>
      <w:r w:rsidRPr="007C0E08" w:rsidR="1EDBDD73">
        <w:rPr>
          <w:color w:val="FF0000"/>
        </w:rPr>
        <w:t xml:space="preserve">one agli </w:t>
      </w:r>
      <w:r w:rsidRPr="007C0E08" w:rsidR="3826CB08">
        <w:rPr>
          <w:color w:val="FF0000"/>
        </w:rPr>
        <w:t>u</w:t>
      </w:r>
      <w:r w:rsidRPr="007C0E08" w:rsidR="1EDBDD73">
        <w:rPr>
          <w:color w:val="FF0000"/>
        </w:rPr>
        <w:t>ffici scolastici regionali di risorse aggiuntive</w:t>
      </w:r>
      <w:r w:rsidRPr="007C0E08" w:rsidR="52DCB995">
        <w:rPr>
          <w:color w:val="FF0000"/>
        </w:rPr>
        <w:t>,</w:t>
      </w:r>
      <w:r w:rsidRPr="007C0E08" w:rsidR="1EDBDD73">
        <w:rPr>
          <w:color w:val="FF0000"/>
        </w:rPr>
        <w:t xml:space="preserve"> nel limite di spesa di 19 milioni di euro per l'anno 2026</w:t>
      </w:r>
      <w:r w:rsidRPr="007C0E08" w:rsidR="32E60DEB">
        <w:rPr>
          <w:color w:val="FF0000"/>
        </w:rPr>
        <w:t>,</w:t>
      </w:r>
      <w:r w:rsidRPr="007C0E08" w:rsidR="1EDBDD73">
        <w:rPr>
          <w:color w:val="FF0000"/>
        </w:rPr>
        <w:t xml:space="preserve"> per l’attivazione di incarichi temporanei fino al 30 giugno 2027 di personale amministrativo, tecnico e ausiliario a tempo determinato</w:t>
      </w:r>
      <w:r w:rsidRPr="007C0E08" w:rsidR="44AB5321">
        <w:rPr>
          <w:color w:val="FF0000"/>
        </w:rPr>
        <w:t>. Accedono al riparto delle risorse esclusivamente gli uffici scolastici regionali delle regioni che hanno adottato, autonomamente, i piani di dimensionamento della rete scolastica per l'anno scolastico 2026/2027</w:t>
      </w:r>
      <w:r w:rsidRPr="007C0E08" w:rsidR="071B9581">
        <w:rPr>
          <w:color w:val="FF0000"/>
        </w:rPr>
        <w:t>,</w:t>
      </w:r>
      <w:r w:rsidRPr="007C0E08" w:rsidR="44AB5321">
        <w:rPr>
          <w:color w:val="FF0000"/>
        </w:rPr>
        <w:t xml:space="preserve"> nel rispetto</w:t>
      </w:r>
      <w:r w:rsidRPr="007C0E08" w:rsidR="1EDBDD73">
        <w:rPr>
          <w:color w:val="FF0000"/>
        </w:rPr>
        <w:t xml:space="preserve"> dei </w:t>
      </w:r>
      <w:r w:rsidRPr="007C0E08" w:rsidR="44AB5321">
        <w:rPr>
          <w:color w:val="FF0000"/>
        </w:rPr>
        <w:t>limiti del contingente organico dei dirigenti scolastici e delle posizioni di lavoro di direttore</w:t>
      </w:r>
      <w:r w:rsidRPr="007C0E08" w:rsidR="1EDBDD73">
        <w:rPr>
          <w:color w:val="FF0000"/>
        </w:rPr>
        <w:t xml:space="preserve"> dei servizi generali e amministrativi</w:t>
      </w:r>
      <w:r w:rsidRPr="007C0E08" w:rsidR="44AB5321">
        <w:rPr>
          <w:color w:val="FF0000"/>
        </w:rPr>
        <w:t xml:space="preserve"> di cui al decreto</w:t>
      </w:r>
      <w:r w:rsidRPr="007C0E08" w:rsidR="1EDBDD73">
        <w:rPr>
          <w:color w:val="FF0000"/>
        </w:rPr>
        <w:t xml:space="preserve"> del </w:t>
      </w:r>
      <w:r w:rsidRPr="007C0E08" w:rsidR="44AB5321">
        <w:rPr>
          <w:color w:val="FF0000"/>
        </w:rPr>
        <w:t>Ministro dell’istruzione e del merito 30 giugno 2023, n. 127, aggiornato dal decreto del Ministro dell’istruzione e del merito 30 giugno 2025, n. 124.</w:t>
      </w:r>
      <w:r w:rsidRPr="007C0E08" w:rsidR="1EDBDD73">
        <w:rPr>
          <w:color w:val="FF0000"/>
        </w:rPr>
        <w:t xml:space="preserve"> </w:t>
      </w:r>
      <w:r w:rsidRPr="007C0E08" w:rsidR="1EDBDD73">
        <w:rPr>
          <w:b/>
          <w:bCs/>
          <w:color w:val="FF0000"/>
        </w:rPr>
        <w:t>La copertura dei relativi oneri è disciplinata al successivo comma 6.</w:t>
      </w:r>
    </w:p>
    <w:p w:rsidR="6A32049B" w:rsidRPr="007C0E08" w:rsidP="00E92CAE" w14:paraId="322CD1ED" w14:textId="22F4CC8B">
      <w:pPr>
        <w:spacing w:after="120"/>
        <w:jc w:val="both"/>
        <w:rPr>
          <w:rFonts w:eastAsia="Book Antiqua"/>
          <w:b/>
          <w:bCs/>
          <w:color w:val="FF0000"/>
        </w:rPr>
      </w:pPr>
      <w:r w:rsidRPr="007C0E08">
        <w:rPr>
          <w:rFonts w:eastAsia="Book Antiqua"/>
          <w:color w:val="FF0000"/>
        </w:rPr>
        <w:t xml:space="preserve">Il </w:t>
      </w:r>
      <w:r w:rsidRPr="007C0E08">
        <w:rPr>
          <w:rFonts w:eastAsia="Book Antiqua"/>
          <w:b/>
          <w:bCs/>
          <w:color w:val="FF0000"/>
          <w:u w:val="single"/>
        </w:rPr>
        <w:t>comma 5</w:t>
      </w:r>
      <w:r w:rsidRPr="007C0E08" w:rsidR="77DDB143">
        <w:rPr>
          <w:color w:val="FF0000"/>
        </w:rPr>
        <w:t xml:space="preserve"> prevede, a beneficio delle istituzioni scolastiche delle regioni che hanno adottato i piani di dimensionamento della rete scolastica, per l'anno scolastico 2026/2027, nei limiti del contingente organico dei dirigenti scolastici e delle posizioni di lavoro di direttore dei servizi generali e amministrativi assegnato dal decreto del Ministro dell’istruzione e del merito del 30 giugno 2023, n. 127, aggiornato dal decreto del Ministro dell’istruzione e del merito, del 30 giugno 2025, n. 124, l’attribuzione di ulteriori posizioni di esonero o di semiesonero dall'insegnamento di cui al comma 83-quater, dell’articolo 1 della legge 13 luglio 2015, n. 107, nel limite di spesa di </w:t>
      </w:r>
      <w:r w:rsidRPr="007C0E08" w:rsidR="6BCDA3DD">
        <w:rPr>
          <w:color w:val="FF0000"/>
        </w:rPr>
        <w:t>9</w:t>
      </w:r>
      <w:r w:rsidRPr="007C0E08" w:rsidR="77DDB143">
        <w:rPr>
          <w:color w:val="FF0000"/>
        </w:rPr>
        <w:t xml:space="preserve"> milioni di euro per l’anno scolastico 2026-2027. </w:t>
      </w:r>
      <w:r w:rsidRPr="007C0E08" w:rsidR="77DDB143">
        <w:rPr>
          <w:b/>
          <w:bCs/>
          <w:color w:val="FF0000"/>
        </w:rPr>
        <w:t>La copertura dei relativi oneri è disciplinata al successivo comma 6.</w:t>
      </w:r>
    </w:p>
    <w:p w:rsidR="6A32049B" w:rsidRPr="007C0E08" w:rsidP="00E92CAE" w14:paraId="7D5B7822" w14:textId="69206D94">
      <w:pPr>
        <w:spacing w:after="120"/>
        <w:jc w:val="both"/>
        <w:rPr>
          <w:rFonts w:eastAsia="Book Antiqua"/>
          <w:color w:val="FF0000"/>
        </w:rPr>
      </w:pPr>
      <w:r w:rsidRPr="007C0E08">
        <w:rPr>
          <w:rFonts w:eastAsia="Book Antiqua"/>
          <w:color w:val="FF0000"/>
        </w:rPr>
        <w:t xml:space="preserve">Il </w:t>
      </w:r>
      <w:r w:rsidRPr="007C0E08">
        <w:rPr>
          <w:rFonts w:eastAsia="Book Antiqua"/>
          <w:b/>
          <w:color w:val="FF0000"/>
          <w:u w:val="single"/>
        </w:rPr>
        <w:t xml:space="preserve">comma </w:t>
      </w:r>
      <w:r w:rsidRPr="007C0E08" w:rsidR="4E8FC8CC">
        <w:rPr>
          <w:rFonts w:eastAsia="Book Antiqua"/>
          <w:b/>
          <w:color w:val="FF0000"/>
          <w:u w:val="single"/>
        </w:rPr>
        <w:t>6</w:t>
      </w:r>
      <w:r w:rsidRPr="007C0E08" w:rsidR="2D7CDC97">
        <w:rPr>
          <w:rFonts w:eastAsia="Book Antiqua"/>
          <w:color w:val="FF0000"/>
        </w:rPr>
        <w:t xml:space="preserve"> </w:t>
      </w:r>
      <w:r w:rsidRPr="007C0E08" w:rsidR="4FC45B12">
        <w:rPr>
          <w:rFonts w:eastAsia="Book Antiqua"/>
          <w:color w:val="FF0000"/>
        </w:rPr>
        <w:t>reca la copertura degli oneri previsti ai commi 4 e 5. Quanto all’</w:t>
      </w:r>
      <w:r w:rsidRPr="007C0E08" w:rsidR="4374D75B">
        <w:rPr>
          <w:rFonts w:eastAsia="Book Antiqua"/>
          <w:color w:val="FF0000"/>
        </w:rPr>
        <w:t xml:space="preserve">attuazione del comma 4, si </w:t>
      </w:r>
      <w:r w:rsidRPr="007C0E08" w:rsidR="3C42F295">
        <w:rPr>
          <w:color w:val="FF0000"/>
        </w:rPr>
        <w:t xml:space="preserve">autorizza la spesa di </w:t>
      </w:r>
      <w:r w:rsidRPr="007C0E08" w:rsidR="6E4C8251">
        <w:rPr>
          <w:color w:val="FF0000"/>
        </w:rPr>
        <w:t>1</w:t>
      </w:r>
      <w:r w:rsidRPr="007C0E08" w:rsidR="6F83062B">
        <w:rPr>
          <w:color w:val="FF0000"/>
        </w:rPr>
        <w:t>9</w:t>
      </w:r>
      <w:r w:rsidRPr="007C0E08" w:rsidR="3C42F295">
        <w:rPr>
          <w:color w:val="FF0000"/>
        </w:rPr>
        <w:t xml:space="preserve"> milioni di euro da assegnare nell’anno 2026, p</w:t>
      </w:r>
      <w:r w:rsidRPr="007C0E08" w:rsidR="2D7CDC97">
        <w:rPr>
          <w:color w:val="FF0000"/>
        </w:rPr>
        <w:t xml:space="preserve">er </w:t>
      </w:r>
      <w:r w:rsidRPr="007C0E08" w:rsidR="2D7CDC97">
        <w:rPr>
          <w:rFonts w:eastAsia="Book Antiqua"/>
          <w:color w:val="FF0000"/>
        </w:rPr>
        <w:t xml:space="preserve">l’attribuzione delle ulteriori risorse agli Uffici scolastici regionali, </w:t>
      </w:r>
      <w:r w:rsidRPr="007C0E08" w:rsidR="5530F2A2">
        <w:rPr>
          <w:color w:val="FF0000"/>
        </w:rPr>
        <w:t>finalizzate</w:t>
      </w:r>
      <w:r w:rsidRPr="007C0E08" w:rsidR="2D7CDC97">
        <w:rPr>
          <w:rFonts w:eastAsia="Book Antiqua"/>
          <w:color w:val="FF0000"/>
        </w:rPr>
        <w:t xml:space="preserve"> all’attivazione di incarichi temporanei di personale amministrativo, tecnico e ausiliario a tempo determinato fino al 30 giugno 2027, tenendo conto del numero di accorpamenti di istituzioni scolastiche effettuati ai sensi dell'articolo 19, commi 5-quater e 5-quinquies, del decreto-legge 6 luglio 2011, n. 98, convertito, con modificazioni, dalla legge 15 luglio 2011, n. </w:t>
      </w:r>
      <w:r w:rsidRPr="007C0E08" w:rsidR="2D7CDC97">
        <w:rPr>
          <w:color w:val="FF0000"/>
        </w:rPr>
        <w:t>111.</w:t>
      </w:r>
      <w:r w:rsidRPr="007C0E08" w:rsidR="2D7CDC97">
        <w:rPr>
          <w:rFonts w:eastAsia="Book Antiqua"/>
          <w:color w:val="FF0000"/>
        </w:rPr>
        <w:t xml:space="preserve"> Ai relativi oneri si provvede quanto a euro 13 milioni mediante corrispondente riduzione dello stanziamento di cui all’articolo 16-ter, comma 10, lettera a) del decreto legislativo 13 aprile 2017, n. 59, e quanto a euro 6 milioni mediante corrispondente riduzione dello stanziamento di cui all’articolo 1, comma 331, lettera b) della legge 30 dicembre 2023, n. 213. </w:t>
      </w:r>
    </w:p>
    <w:p w:rsidR="6A32049B" w:rsidRPr="007C0E08" w:rsidP="00E92CAE" w14:paraId="635AF9D6" w14:textId="2F621B37">
      <w:pPr>
        <w:spacing w:after="120"/>
        <w:jc w:val="both"/>
        <w:rPr>
          <w:color w:val="FF0000"/>
        </w:rPr>
      </w:pPr>
      <w:r w:rsidRPr="007C0E08">
        <w:rPr>
          <w:rFonts w:eastAsia="Book Antiqua"/>
          <w:color w:val="FF0000"/>
        </w:rPr>
        <w:t>Per la misura in esame si stima, per il personale amministrativo, tecnico e ausiliario, un costo medio mensile lordo Stato pari a 2.243 euro, uguale a un valore medio annuo lordo Stato di 29.164 euro, riferito alla classe di anzianità di servizio 0-8 e ai tre differenti profili professionali.</w:t>
      </w:r>
    </w:p>
    <w:p w:rsidR="6A32049B" w:rsidRPr="007C0E08" w:rsidP="00E92CAE" w14:paraId="3413C561" w14:textId="462DA669">
      <w:pPr>
        <w:spacing w:after="120"/>
        <w:jc w:val="both"/>
        <w:rPr>
          <w:color w:val="FF0000"/>
        </w:rPr>
      </w:pPr>
      <w:r w:rsidRPr="007C0E08">
        <w:rPr>
          <w:rFonts w:eastAsia="Book Antiqua"/>
          <w:color w:val="FF0000"/>
        </w:rPr>
        <w:t>Tale stima è operata sulla base della seguente tabella recante gli oneri lordo Stato relativi al personale ATA:</w:t>
      </w:r>
    </w:p>
    <w:p w:rsidR="6A32049B" w:rsidRPr="007C0E08" w:rsidP="4BF62E39" w14:paraId="5AE72629" w14:textId="5611FD96">
      <w:pPr>
        <w:jc w:val="both"/>
        <w:rPr>
          <w:color w:val="FF0000"/>
        </w:rPr>
      </w:pPr>
    </w:p>
    <w:p w:rsidR="6A32049B" w:rsidRPr="007C0E08" w:rsidP="4BF62E39" w14:paraId="475EE744" w14:textId="56498C7C">
      <w:pPr>
        <w:jc w:val="both"/>
        <w:rPr>
          <w:rFonts w:eastAsia="Book Antiqua"/>
          <w:color w:val="FF0000"/>
        </w:rPr>
      </w:pPr>
      <w:r w:rsidRPr="007C0E08">
        <w:rPr>
          <w:noProof/>
          <w:color w:val="FF0000"/>
        </w:rPr>
        <w:drawing>
          <wp:inline distT="0" distB="0" distL="0" distR="0">
            <wp:extent cx="6113642" cy="1375575"/>
            <wp:effectExtent l="0" t="0" r="1905" b="0"/>
            <wp:docPr id="17990254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25422" name="Picture 1799025422"/>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6121065" cy="1377245"/>
                    </a:xfrm>
                    <a:prstGeom prst="rect">
                      <a:avLst/>
                    </a:prstGeom>
                  </pic:spPr>
                </pic:pic>
              </a:graphicData>
            </a:graphic>
          </wp:inline>
        </w:drawing>
      </w:r>
    </w:p>
    <w:p w:rsidR="003C01BC" w:rsidRPr="007C0E08" w:rsidP="003C01BC" w14:paraId="21A05F05" w14:textId="77777777">
      <w:pPr>
        <w:spacing w:after="160" w:line="276" w:lineRule="auto"/>
        <w:jc w:val="both"/>
        <w:rPr>
          <w:color w:val="FF0000"/>
        </w:rPr>
      </w:pPr>
    </w:p>
    <w:p w:rsidR="6A32049B" w:rsidRPr="007C0E08" w:rsidP="00BF11CA" w14:paraId="2CC1B9B7" w14:textId="38B20CC3">
      <w:pPr>
        <w:spacing w:after="120"/>
        <w:jc w:val="both"/>
        <w:rPr>
          <w:color w:val="FF0000"/>
        </w:rPr>
      </w:pPr>
      <w:r w:rsidRPr="007C0E08">
        <w:rPr>
          <w:rFonts w:eastAsia="Book Antiqua"/>
          <w:color w:val="FF0000"/>
        </w:rPr>
        <w:t>A fronte, pertanto, di un valore medio annuo lordo Stato di 29.164 euro riferito alla classe di anzianità di servizio 0-8 dei differenti profili professionali del personale ATA e considerato il limite di spesa pari a 19 milioni di euro, si stima di poter conferire ai sensi della disposizione circa 720 incarichi temporanei di personale amministrativo, tecnico e ausiliario.</w:t>
      </w:r>
    </w:p>
    <w:p w:rsidR="6A32049B" w:rsidRPr="007C0E08" w:rsidP="00BF11CA" w14:paraId="0C46C4CD" w14:textId="63749B2A">
      <w:pPr>
        <w:spacing w:after="120"/>
        <w:jc w:val="both"/>
        <w:rPr>
          <w:color w:val="FF0000"/>
        </w:rPr>
      </w:pPr>
      <w:r w:rsidRPr="007C0E08">
        <w:rPr>
          <w:rFonts w:eastAsia="Book Antiqua"/>
          <w:color w:val="FF0000"/>
        </w:rPr>
        <w:t>Si evidenzia come una quota parte stimata intorno al 15% delle risorse disponibili dell’autorizzazione di spesa di 19 milioni della misura in argomento potrà essere destinata alla copertura di eventuali incarichi di supplenza breve e saltuaria che si renderanno necessari per la sostituzione del personale ATA destinatario degli incarichi temporanei fino al 30 giugno 2027.</w:t>
      </w:r>
    </w:p>
    <w:p w:rsidR="6A32049B" w:rsidRPr="007C0E08" w:rsidP="00BF11CA" w14:paraId="025EBB90" w14:textId="5DDAB952">
      <w:pPr>
        <w:spacing w:after="120"/>
        <w:jc w:val="both"/>
        <w:rPr>
          <w:color w:val="FF0000"/>
        </w:rPr>
      </w:pPr>
      <w:r w:rsidRPr="007C0E08">
        <w:rPr>
          <w:rFonts w:eastAsia="Book Antiqua"/>
          <w:color w:val="FF0000"/>
        </w:rPr>
        <w:t>Il dettaglio dei calcoli è il seguente:</w:t>
      </w:r>
    </w:p>
    <w:p w:rsidR="6A32049B" w:rsidRPr="007C0E08" w:rsidP="00BF11CA" w14:paraId="468B196D" w14:textId="5EB3050C">
      <w:pPr>
        <w:spacing w:after="120"/>
        <w:jc w:val="both"/>
        <w:rPr>
          <w:color w:val="FF0000"/>
        </w:rPr>
      </w:pPr>
      <w:r w:rsidRPr="007C0E08">
        <w:rPr>
          <w:rFonts w:eastAsia="Book Antiqua"/>
          <w:color w:val="FF0000"/>
        </w:rPr>
        <w:t>risorsa finanziaria complessiva disponibile per il personale ATA = 19.000.000 €</w:t>
      </w:r>
    </w:p>
    <w:p w:rsidR="6A32049B" w:rsidRPr="007C0E08" w:rsidP="00BF11CA" w14:paraId="5187059F" w14:textId="0AC92662">
      <w:pPr>
        <w:spacing w:after="120"/>
        <w:jc w:val="both"/>
        <w:rPr>
          <w:color w:val="FF0000"/>
        </w:rPr>
      </w:pPr>
      <w:r w:rsidRPr="007C0E08">
        <w:rPr>
          <w:rFonts w:eastAsia="Book Antiqua"/>
          <w:color w:val="FF0000"/>
        </w:rPr>
        <w:t>quota accantonata per la copertura delle eventuali sostituzioni:</w:t>
      </w:r>
    </w:p>
    <w:p w:rsidR="6A32049B" w:rsidRPr="007C0E08" w:rsidP="00BF11CA" w14:paraId="526BFA3B" w14:textId="02072DF8">
      <w:pPr>
        <w:spacing w:after="120"/>
        <w:jc w:val="both"/>
        <w:rPr>
          <w:color w:val="FF0000"/>
        </w:rPr>
      </w:pPr>
      <w:r w:rsidRPr="007C0E08">
        <w:rPr>
          <w:rFonts w:eastAsia="Book Antiqua"/>
          <w:color w:val="FF0000"/>
        </w:rPr>
        <w:t>15% di 19.000.000 € = 15 x 19.000.000 € /100 = 2.850.000 €</w:t>
      </w:r>
    </w:p>
    <w:p w:rsidR="6A32049B" w:rsidRPr="007C0E08" w:rsidP="00BF11CA" w14:paraId="371DF1B0" w14:textId="7F70EBE3">
      <w:pPr>
        <w:spacing w:after="120"/>
        <w:jc w:val="both"/>
        <w:rPr>
          <w:color w:val="FF0000"/>
        </w:rPr>
      </w:pPr>
      <w:r w:rsidRPr="007C0E08">
        <w:rPr>
          <w:rFonts w:eastAsia="Book Antiqua"/>
          <w:color w:val="FF0000"/>
        </w:rPr>
        <w:t>risors</w:t>
      </w:r>
      <w:r w:rsidRPr="007C0E08" w:rsidR="1D108704">
        <w:rPr>
          <w:rFonts w:eastAsia="Book Antiqua"/>
          <w:color w:val="FF0000"/>
        </w:rPr>
        <w:t>e</w:t>
      </w:r>
      <w:r w:rsidRPr="007C0E08" w:rsidR="2D7CDC97">
        <w:rPr>
          <w:rFonts w:eastAsia="Book Antiqua"/>
          <w:color w:val="FF0000"/>
        </w:rPr>
        <w:t xml:space="preserve"> per incarichi ATA (al netto della quota per le eventuali supplenze) = 16.150.000 € (= 19.000.000 € - 2.850.000 €)</w:t>
      </w:r>
    </w:p>
    <w:p w:rsidR="6A32049B" w:rsidRPr="007C0E08" w:rsidP="00BF11CA" w14:paraId="1B944920" w14:textId="76E08D2C">
      <w:pPr>
        <w:spacing w:after="120"/>
        <w:jc w:val="both"/>
        <w:rPr>
          <w:color w:val="FF0000"/>
        </w:rPr>
      </w:pPr>
      <w:r w:rsidRPr="007C0E08">
        <w:rPr>
          <w:rFonts w:eastAsia="Book Antiqua"/>
          <w:color w:val="FF0000"/>
        </w:rPr>
        <w:t>Tenuto conto che il costo mensile lordo Stato per un incarico ATA risulta pari a 2.243 €</w:t>
      </w:r>
    </w:p>
    <w:p w:rsidR="6A32049B" w:rsidRPr="007C0E08" w:rsidP="00BF11CA" w14:paraId="5C18EC04" w14:textId="7937D405">
      <w:pPr>
        <w:spacing w:after="120"/>
        <w:jc w:val="both"/>
        <w:rPr>
          <w:color w:val="FF0000"/>
        </w:rPr>
      </w:pPr>
      <w:r w:rsidRPr="007C0E08">
        <w:rPr>
          <w:rFonts w:eastAsia="Book Antiqua"/>
          <w:color w:val="FF0000"/>
        </w:rPr>
        <w:t>il costo per 10 mesi di incarico (da settembre 2026 a giugno 2027) risulta pari a 22.430 €</w:t>
      </w:r>
    </w:p>
    <w:p w:rsidR="6A32049B" w:rsidRPr="007C0E08" w:rsidP="00BF11CA" w14:paraId="26033BA2" w14:textId="25DFC17B">
      <w:pPr>
        <w:spacing w:after="120"/>
        <w:jc w:val="both"/>
        <w:rPr>
          <w:color w:val="FF0000"/>
        </w:rPr>
      </w:pPr>
      <w:r w:rsidRPr="007C0E08">
        <w:rPr>
          <w:rFonts w:eastAsia="Book Antiqua"/>
          <w:color w:val="FF0000"/>
        </w:rPr>
        <w:t>Di conseguenza,</w:t>
      </w:r>
      <w:r w:rsidRPr="007C0E08" w:rsidR="74A05681">
        <w:rPr>
          <w:rFonts w:eastAsia="Book Antiqua"/>
          <w:color w:val="FF0000"/>
        </w:rPr>
        <w:t xml:space="preserve"> </w:t>
      </w:r>
      <w:r w:rsidRPr="007C0E08">
        <w:rPr>
          <w:rFonts w:eastAsia="Book Antiqua"/>
          <w:color w:val="FF0000"/>
        </w:rPr>
        <w:t>il numero complessivo di incarichi risulta pari a 720 (= 16.150.000 € / 22.430 €)</w:t>
      </w:r>
    </w:p>
    <w:p w:rsidR="6A32049B" w:rsidRPr="007C0E08" w:rsidP="00BF11CA" w14:paraId="118A0035" w14:textId="646F2057">
      <w:pPr>
        <w:spacing w:after="120"/>
        <w:jc w:val="both"/>
        <w:rPr>
          <w:color w:val="FF0000"/>
        </w:rPr>
      </w:pPr>
      <w:r w:rsidRPr="007C0E08">
        <w:rPr>
          <w:rFonts w:eastAsia="Book Antiqua"/>
          <w:color w:val="FF0000"/>
        </w:rPr>
        <w:t>Alla copertura degli oneri pari al limite di spesa di 19 milioni di euro per le esigenze dell’anno scolastico 2026/2027 per l’attivazione di incarichi temporanei, si provvede:</w:t>
      </w:r>
    </w:p>
    <w:p w:rsidR="6A32049B" w:rsidRPr="007C0E08" w:rsidP="00BF11CA" w14:paraId="5C58F527" w14:textId="281802CC">
      <w:pPr>
        <w:pStyle w:val="ListParagraph"/>
        <w:numPr>
          <w:ilvl w:val="0"/>
          <w:numId w:val="2"/>
        </w:numPr>
        <w:spacing w:after="120"/>
        <w:contextualSpacing w:val="0"/>
        <w:jc w:val="both"/>
        <w:rPr>
          <w:rFonts w:eastAsia="Book Antiqua"/>
          <w:color w:val="FF0000"/>
        </w:rPr>
      </w:pPr>
      <w:r w:rsidRPr="007C0E08">
        <w:rPr>
          <w:rFonts w:eastAsia="Book Antiqua"/>
          <w:color w:val="FF0000"/>
        </w:rPr>
        <w:t>quanto a 13 milioni di euro mediante corrispondente riduzione dello stanziamento di cui all’articolo 16-</w:t>
      </w:r>
      <w:r w:rsidRPr="007C0E08">
        <w:rPr>
          <w:rFonts w:eastAsia="Book Antiqua"/>
          <w:i/>
          <w:color w:val="FF0000"/>
        </w:rPr>
        <w:t>ter</w:t>
      </w:r>
      <w:r w:rsidRPr="007C0E08">
        <w:rPr>
          <w:rFonts w:eastAsia="Book Antiqua"/>
          <w:color w:val="FF0000"/>
        </w:rPr>
        <w:t>, comma 10, lettera a) del decreto legislativo 13 aprile 2017, n.</w:t>
      </w:r>
      <w:r w:rsidRPr="007C0E08">
        <w:rPr>
          <w:rFonts w:ascii="Book Antiqua" w:eastAsia="Book Antiqua" w:hAnsi="Book Antiqua" w:cs="Book Antiqua"/>
          <w:color w:val="FF0000"/>
        </w:rPr>
        <w:t xml:space="preserve"> </w:t>
      </w:r>
      <w:r w:rsidRPr="007C0E08">
        <w:rPr>
          <w:rFonts w:eastAsia="Book Antiqua"/>
          <w:color w:val="FF0000"/>
        </w:rPr>
        <w:t>59. La formazione incentivata è stata, infatti, attivata dal Ministero dell’istruzione e del merito ma, nelle more della contrattazione collettiva, la formazione è stata effettuata utilizzando la modalità e-learning che ha consentito una riduzione dei costi complessivi e, quindi, un risparmio che può essere utilizzato per il conseguimento degli obiettivi delle riforme del PNRR;</w:t>
      </w:r>
    </w:p>
    <w:p w:rsidR="00BF11CA" w:rsidP="00BF11CA" w14:paraId="247AD672" w14:textId="77777777">
      <w:pPr>
        <w:pStyle w:val="ListParagraph"/>
        <w:numPr>
          <w:ilvl w:val="0"/>
          <w:numId w:val="2"/>
        </w:numPr>
        <w:spacing w:after="120"/>
        <w:contextualSpacing w:val="0"/>
        <w:jc w:val="both"/>
        <w:rPr>
          <w:rFonts w:eastAsia="Book Antiqua"/>
          <w:color w:val="FF0000"/>
        </w:rPr>
      </w:pPr>
      <w:r w:rsidRPr="007C0E08">
        <w:rPr>
          <w:rFonts w:eastAsia="Book Antiqua"/>
          <w:color w:val="FF0000"/>
        </w:rPr>
        <w:t>quanto a 6 milioni di euro mediante corrispondente riduzione dello stanziamento di cui all’articolo 1, comma 331, lettera b), della legge 30 dicembre 2023, n. 213. Anche in questo caso la formazione è stata effettuata utilizzando la modalità e-learning che ha consentito una riduzione dei costi complessivi e le relative risorse possono essere utilizzate per il conseguimento degli obiettivi PNRR.</w:t>
      </w:r>
    </w:p>
    <w:p w:rsidR="1776D51D" w:rsidRPr="00BF11CA" w:rsidP="00BF11CA" w14:paraId="6A973BA1" w14:textId="19F343C0">
      <w:pPr>
        <w:spacing w:after="120"/>
        <w:jc w:val="both"/>
        <w:rPr>
          <w:rFonts w:eastAsia="Book Antiqua"/>
          <w:color w:val="FF0000"/>
        </w:rPr>
      </w:pPr>
      <w:r w:rsidRPr="00BF11CA">
        <w:rPr>
          <w:b/>
          <w:bCs/>
          <w:color w:val="FF0000"/>
        </w:rPr>
        <w:t>Il terzo periodo del comma 4 non determina nuovi o maggiori oneri per la finanza pubblica</w:t>
      </w:r>
      <w:r w:rsidRPr="00BF11CA">
        <w:rPr>
          <w:color w:val="FF0000"/>
        </w:rPr>
        <w:t xml:space="preserve"> poiché la misura opera nei limiti della dotazione organica del personale ATA di cui al decreto del Ministro dell’istruzione e del merito del 3 novembre 2025 n. 211. Tale DM reca la dotazione organica complessiva del personale ATA per regione. Nell’ambito di tale contingente gli uffici scolastici regionali ripartiscono il personale ATA tra le istituzioni scolastiche. La disposizione in argomento si limita a prevedere che, in tale azione di riparto, gli USR debbano tenere conto delle fasce di distribuzione di cui al decreto del Presidente della Repubblica n. 119 del 2009 e al successivo DM n. 181 del 2016, considerando le istituzioni scolastiche nella loro consistenza precedente all’operazione di accorpamento. L’ufficio scolastico regionale provvede alle eventuali</w:t>
      </w:r>
      <w:r w:rsidRPr="00BF11CA">
        <w:rPr>
          <w:rFonts w:ascii="Book Antiqua" w:eastAsia="Book Antiqua" w:hAnsi="Book Antiqua" w:cs="Book Antiqua"/>
          <w:color w:val="FF0000"/>
        </w:rPr>
        <w:t xml:space="preserve"> </w:t>
      </w:r>
      <w:r w:rsidRPr="00BF11CA">
        <w:rPr>
          <w:color w:val="FF0000"/>
        </w:rPr>
        <w:t>compensazioni di personale ATA tra le istituzioni scolastiche nell’ambito del contingente assegnato.</w:t>
      </w:r>
    </w:p>
    <w:p w:rsidR="6A32049B" w:rsidRPr="007C0E08" w:rsidP="00BF11CA" w14:paraId="1BE09383" w14:textId="78ADDB88">
      <w:pPr>
        <w:spacing w:after="120"/>
        <w:jc w:val="both"/>
        <w:rPr>
          <w:color w:val="FF0000"/>
        </w:rPr>
      </w:pPr>
      <w:r w:rsidRPr="007C0E08">
        <w:rPr>
          <w:rFonts w:eastAsia="Book Antiqua"/>
          <w:color w:val="FF0000"/>
        </w:rPr>
        <w:t xml:space="preserve">Agli </w:t>
      </w:r>
      <w:r w:rsidRPr="007C0E08">
        <w:rPr>
          <w:rFonts w:eastAsia="Book Antiqua"/>
          <w:color w:val="FF0000"/>
          <w:u w:val="single"/>
        </w:rPr>
        <w:t xml:space="preserve">oneri derivanti dal comma </w:t>
      </w:r>
      <w:r w:rsidRPr="007C0E08" w:rsidR="63987936">
        <w:rPr>
          <w:color w:val="FF0000"/>
          <w:u w:val="single"/>
        </w:rPr>
        <w:t>5</w:t>
      </w:r>
      <w:r w:rsidRPr="007C0E08">
        <w:rPr>
          <w:rFonts w:eastAsia="Book Antiqua"/>
          <w:color w:val="FF0000"/>
        </w:rPr>
        <w:t xml:space="preserve"> per l’attivazione di ulteriori posizioni di esonero o di semiesonero a favore delle istituzioni scolastiche delle regioni che hanno adottato i piani di dimensionamento della rete scolastica per l'anno scolastico 2026/2027 nei limiti del contingente organico del decreto interministeriale del 30 giugno 2025, n. 124, pari a complessivi </w:t>
      </w:r>
      <w:r w:rsidRPr="007C0E08" w:rsidR="54A3AF35">
        <w:rPr>
          <w:rFonts w:eastAsia="Book Antiqua"/>
          <w:color w:val="FF0000"/>
        </w:rPr>
        <w:t>9</w:t>
      </w:r>
      <w:r w:rsidRPr="007C0E08">
        <w:rPr>
          <w:rFonts w:eastAsia="Book Antiqua"/>
          <w:color w:val="FF0000"/>
        </w:rPr>
        <w:t xml:space="preserve"> milioni di euro per l’anno scolastico 2026-2027, si provvede:</w:t>
      </w:r>
    </w:p>
    <w:p w:rsidR="6A32049B" w:rsidRPr="007C0E08" w:rsidP="00BF11CA" w14:paraId="2AB8D056" w14:textId="37A78EF6">
      <w:pPr>
        <w:spacing w:after="120"/>
        <w:jc w:val="both"/>
        <w:rPr>
          <w:rFonts w:eastAsia="Book Antiqua"/>
          <w:strike/>
          <w:color w:val="FF0000"/>
        </w:rPr>
      </w:pPr>
      <w:r w:rsidRPr="007C0E08">
        <w:rPr>
          <w:rFonts w:eastAsia="Book Antiqua"/>
          <w:color w:val="FF0000"/>
        </w:rPr>
        <w:t>-</w:t>
      </w:r>
      <w:r w:rsidRPr="007C0E08" w:rsidR="2D7CDC97">
        <w:rPr>
          <w:rFonts w:eastAsia="Book Antiqua"/>
          <w:color w:val="FF0000"/>
        </w:rPr>
        <w:t xml:space="preserve">quanto a </w:t>
      </w:r>
      <w:r w:rsidRPr="007C0E08" w:rsidR="2D74D386">
        <w:rPr>
          <w:rFonts w:eastAsia="Book Antiqua"/>
          <w:color w:val="FF0000"/>
        </w:rPr>
        <w:t>7</w:t>
      </w:r>
      <w:r w:rsidRPr="007C0E08" w:rsidR="2D7CDC97">
        <w:rPr>
          <w:rFonts w:eastAsia="Book Antiqua"/>
          <w:color w:val="FF0000"/>
        </w:rPr>
        <w:t xml:space="preserve"> milioni di euro per l’anno 2026 a valere sulle risorse di cui </w:t>
      </w:r>
      <w:r w:rsidRPr="007C0E08" w:rsidR="7F2AA449">
        <w:rPr>
          <w:color w:val="FF0000"/>
        </w:rPr>
        <w:t>all’articolo 1, comma 202, della legge 13 luglio 2015, n. 107. Si tratta di risorse che possono essere utilizzate, in coerenza con la suddetta riforma, per potenziare le scuole oggetto di dimensionamento e consentire di dedicare specifiche figure all’organizzazione delle attività didattiche e formative;</w:t>
      </w:r>
      <w:r w:rsidRPr="007C0E08" w:rsidR="489CEB7A">
        <w:rPr>
          <w:rFonts w:eastAsia="Book Antiqua"/>
          <w:strike/>
          <w:color w:val="FF0000"/>
        </w:rPr>
        <w:t xml:space="preserve"> </w:t>
      </w:r>
    </w:p>
    <w:p w:rsidR="6A32049B" w:rsidRPr="007C0E08" w:rsidP="00E92CAE" w14:paraId="27C4106A" w14:textId="70D901F4">
      <w:pPr>
        <w:jc w:val="both"/>
        <w:rPr>
          <w:rFonts w:eastAsia="Book Antiqua"/>
          <w:color w:val="FF0000"/>
        </w:rPr>
      </w:pPr>
      <w:r w:rsidRPr="007C0E08">
        <w:rPr>
          <w:rFonts w:eastAsia="Book Antiqua"/>
          <w:color w:val="FF0000"/>
        </w:rPr>
        <w:t>-</w:t>
      </w:r>
      <w:r w:rsidRPr="007C0E08" w:rsidR="2D7CDC97">
        <w:rPr>
          <w:rFonts w:eastAsia="Book Antiqua"/>
          <w:color w:val="FF0000"/>
        </w:rPr>
        <w:t>quanto a 2 milioni di euro mediante corrispondente riduzione dello stanziamento di cui all’articolo 1, comma 331, lettera b) della legge 30 dicembre 2023, n. 213. Anche in questo caso la formazione è stata effettuata utilizzando la modalità e-learning che ha consentito una riduzione dei costi complessivi e le relative risorse possono essere utilizzate per il conseguimento degli obiettivi PNRR.</w:t>
      </w:r>
    </w:p>
    <w:p w:rsidR="6A32049B" w:rsidRPr="007C0E08" w:rsidP="00E92CAE" w14:paraId="076EBDD5" w14:textId="591393EB">
      <w:pPr>
        <w:jc w:val="both"/>
        <w:rPr>
          <w:color w:val="FF0000"/>
        </w:rPr>
      </w:pPr>
      <w:r w:rsidRPr="007C0E08">
        <w:rPr>
          <w:rFonts w:eastAsia="Book Antiqua"/>
          <w:color w:val="FF0000"/>
        </w:rPr>
        <w:t xml:space="preserve">Il numero degli esoneri concedibili </w:t>
      </w:r>
      <w:r w:rsidRPr="007C0E08">
        <w:rPr>
          <w:rFonts w:eastAsia="Book Antiqua"/>
          <w:color w:val="FF0000"/>
        </w:rPr>
        <w:t>nell’a.s.</w:t>
      </w:r>
      <w:r w:rsidRPr="007C0E08">
        <w:rPr>
          <w:rFonts w:eastAsia="Book Antiqua"/>
          <w:color w:val="FF0000"/>
        </w:rPr>
        <w:t xml:space="preserve"> 2026-2027 risulta complessivamente pari a circa </w:t>
      </w:r>
      <w:r w:rsidRPr="007C0E08" w:rsidR="489CEB7A">
        <w:rPr>
          <w:rFonts w:eastAsia="Book Antiqua"/>
          <w:color w:val="FF0000"/>
        </w:rPr>
        <w:t>2</w:t>
      </w:r>
      <w:r w:rsidRPr="007C0E08" w:rsidR="78EE26D5">
        <w:rPr>
          <w:rFonts w:eastAsia="Book Antiqua"/>
          <w:color w:val="FF0000"/>
        </w:rPr>
        <w:t>6</w:t>
      </w:r>
      <w:r w:rsidRPr="007C0E08" w:rsidR="489CEB7A">
        <w:rPr>
          <w:rFonts w:eastAsia="Book Antiqua"/>
          <w:color w:val="FF0000"/>
        </w:rPr>
        <w:t>4</w:t>
      </w:r>
      <w:r w:rsidRPr="007C0E08">
        <w:rPr>
          <w:rFonts w:eastAsia="Book Antiqua"/>
          <w:color w:val="FF0000"/>
        </w:rPr>
        <w:t xml:space="preserve"> unità.</w:t>
      </w:r>
    </w:p>
    <w:p w:rsidR="6A32049B" w:rsidRPr="007C0E08" w:rsidP="00E92CAE" w14:paraId="198E515A" w14:textId="117F31A7">
      <w:pPr>
        <w:jc w:val="both"/>
        <w:rPr>
          <w:color w:val="FF0000"/>
        </w:rPr>
      </w:pPr>
      <w:r w:rsidRPr="007C0E08">
        <w:rPr>
          <w:rFonts w:eastAsia="Book Antiqua"/>
          <w:color w:val="FF0000"/>
        </w:rPr>
        <w:t xml:space="preserve">Ai fini della determinazione del numero degli esoneri sono stati assunti i seguenti dati: </w:t>
      </w:r>
    </w:p>
    <w:p w:rsidR="6A32049B" w:rsidRPr="007C0E08" w:rsidP="00E92CAE" w14:paraId="0F6EE3EB" w14:textId="0B5D03B4">
      <w:pPr>
        <w:pStyle w:val="ListParagraph"/>
        <w:numPr>
          <w:ilvl w:val="0"/>
          <w:numId w:val="1"/>
        </w:numPr>
        <w:jc w:val="both"/>
        <w:rPr>
          <w:rFonts w:eastAsia="Book Antiqua"/>
          <w:color w:val="FF0000"/>
        </w:rPr>
      </w:pPr>
      <w:r w:rsidRPr="007C0E08">
        <w:rPr>
          <w:rFonts w:eastAsia="Book Antiqua"/>
          <w:color w:val="FF0000"/>
        </w:rPr>
        <w:t xml:space="preserve">costo mensile medio per il servizio reso da un docente supplente pari a 3.397 €. </w:t>
      </w:r>
    </w:p>
    <w:p w:rsidR="6A32049B" w:rsidRPr="007C0E08" w:rsidP="00E92CAE" w14:paraId="1E385930" w14:textId="4897D1B1">
      <w:pPr>
        <w:ind w:left="720"/>
        <w:jc w:val="both"/>
        <w:rPr>
          <w:color w:val="FF0000"/>
        </w:rPr>
      </w:pPr>
      <w:r w:rsidRPr="007C0E08">
        <w:rPr>
          <w:rFonts w:eastAsia="Book Antiqua"/>
          <w:color w:val="FF0000"/>
        </w:rPr>
        <w:t>Al riguardo si precisa che è stato considerato il trattamento economico stabilito dal CCNL vigente, riferito al docente di scuola secondaria, fascia stipendiale 0 – 8;</w:t>
      </w:r>
    </w:p>
    <w:p w:rsidR="6A32049B" w:rsidRPr="007C0E08" w:rsidP="00E92CAE" w14:paraId="036B1681" w14:textId="6C6014F9">
      <w:pPr>
        <w:pStyle w:val="ListParagraph"/>
        <w:numPr>
          <w:ilvl w:val="0"/>
          <w:numId w:val="1"/>
        </w:numPr>
        <w:jc w:val="both"/>
        <w:rPr>
          <w:rFonts w:eastAsia="Book Antiqua"/>
          <w:color w:val="FF0000"/>
        </w:rPr>
      </w:pPr>
      <w:r w:rsidRPr="007C0E08">
        <w:rPr>
          <w:rFonts w:eastAsia="Book Antiqua"/>
          <w:color w:val="FF0000"/>
        </w:rPr>
        <w:t>oneri a carico dello Stato pari a 44,5%;</w:t>
      </w:r>
    </w:p>
    <w:p w:rsidR="6A32049B" w:rsidRPr="007C0E08" w:rsidP="00E92CAE" w14:paraId="2B2235FF" w14:textId="2859DDF2">
      <w:pPr>
        <w:pStyle w:val="ListParagraph"/>
        <w:numPr>
          <w:ilvl w:val="0"/>
          <w:numId w:val="1"/>
        </w:numPr>
        <w:jc w:val="both"/>
        <w:rPr>
          <w:rFonts w:eastAsia="Book Antiqua"/>
          <w:color w:val="FF0000"/>
        </w:rPr>
      </w:pPr>
      <w:r w:rsidRPr="007C0E08">
        <w:rPr>
          <w:rFonts w:eastAsia="Book Antiqua"/>
          <w:color w:val="FF0000"/>
        </w:rPr>
        <w:t>fattore incrementale pari a 5,40% per tener conto dell’incremento stipendiale riferibile alla contrattazione per il triennio 2025 – 2027.</w:t>
      </w:r>
    </w:p>
    <w:p w:rsidR="6A32049B" w:rsidRPr="007C0E08" w:rsidP="00E92CAE" w14:paraId="1FFE0D2F" w14:textId="5C5FE356">
      <w:pPr>
        <w:spacing w:before="120" w:after="120"/>
        <w:jc w:val="both"/>
        <w:rPr>
          <w:color w:val="FF0000"/>
        </w:rPr>
      </w:pPr>
      <w:r w:rsidRPr="007C0E08">
        <w:rPr>
          <w:rFonts w:eastAsia="Book Antiqua"/>
          <w:color w:val="FF0000"/>
        </w:rPr>
        <w:t xml:space="preserve">Tenuto conto dell’organizzazione scolastica del periodo di supplenza per esercizio finanziario (pari a </w:t>
      </w:r>
      <w:r w:rsidRPr="007C0E08">
        <w:rPr>
          <w:rFonts w:eastAsia="Book Antiqua"/>
          <w:color w:val="FF0000"/>
        </w:rPr>
        <w:t>10</w:t>
      </w:r>
      <w:r w:rsidRPr="007C0E08">
        <w:rPr>
          <w:rFonts w:eastAsia="Book Antiqua"/>
          <w:color w:val="FF0000"/>
        </w:rPr>
        <w:t xml:space="preserve"> mesi);</w:t>
      </w:r>
    </w:p>
    <w:p w:rsidR="6A32049B" w:rsidRPr="007C0E08" w:rsidP="00E92CAE" w14:paraId="3B08F6DC" w14:textId="5157FE4F">
      <w:pPr>
        <w:spacing w:before="120" w:after="120"/>
        <w:jc w:val="both"/>
        <w:rPr>
          <w:color w:val="FF0000"/>
        </w:rPr>
      </w:pPr>
      <w:r w:rsidRPr="007C0E08">
        <w:rPr>
          <w:rFonts w:eastAsia="Book Antiqua"/>
          <w:color w:val="FF0000"/>
        </w:rPr>
        <w:t>tenuto conto della spesa annua per docente per 10 mesi di supplenza, pari a 10 x 3.397 euro = 33.970,00;</w:t>
      </w:r>
    </w:p>
    <w:p w:rsidR="6A32049B" w:rsidRPr="007C0E08" w:rsidP="00E92CAE" w14:paraId="40D9EF7F" w14:textId="36E6F4C7">
      <w:pPr>
        <w:spacing w:before="120" w:after="120"/>
        <w:jc w:val="both"/>
        <w:rPr>
          <w:color w:val="FF0000"/>
        </w:rPr>
      </w:pPr>
      <w:r w:rsidRPr="007C0E08">
        <w:rPr>
          <w:rFonts w:eastAsia="Book Antiqua"/>
          <w:color w:val="FF0000"/>
        </w:rPr>
        <w:t xml:space="preserve">il numero di esoneri risulta pari a: </w:t>
      </w:r>
      <w:r w:rsidRPr="007C0E08" w:rsidR="5669BFAC">
        <w:rPr>
          <w:rFonts w:eastAsia="Book Antiqua"/>
          <w:color w:val="FF0000"/>
        </w:rPr>
        <w:t>9</w:t>
      </w:r>
      <w:r w:rsidRPr="007C0E08">
        <w:rPr>
          <w:rFonts w:eastAsia="Book Antiqua"/>
          <w:color w:val="FF0000"/>
        </w:rPr>
        <w:t xml:space="preserve">.000.000/33.970= </w:t>
      </w:r>
      <w:r w:rsidRPr="007C0E08" w:rsidR="489CEB7A">
        <w:rPr>
          <w:rFonts w:eastAsia="Book Antiqua"/>
          <w:color w:val="FF0000"/>
        </w:rPr>
        <w:t>2</w:t>
      </w:r>
      <w:r w:rsidRPr="007C0E08" w:rsidR="5EAE0C70">
        <w:rPr>
          <w:rFonts w:eastAsia="Book Antiqua"/>
          <w:color w:val="FF0000"/>
        </w:rPr>
        <w:t>6</w:t>
      </w:r>
      <w:r w:rsidRPr="007C0E08" w:rsidR="489CEB7A">
        <w:rPr>
          <w:rFonts w:eastAsia="Book Antiqua"/>
          <w:color w:val="FF0000"/>
        </w:rPr>
        <w:t>4</w:t>
      </w:r>
      <w:r w:rsidRPr="007C0E08">
        <w:rPr>
          <w:rFonts w:eastAsia="Book Antiqua"/>
          <w:color w:val="FF0000"/>
        </w:rPr>
        <w:t>.</w:t>
      </w:r>
    </w:p>
    <w:p w:rsidR="6A32049B" w:rsidRPr="007C0E08" w:rsidP="00E92CAE" w14:paraId="587EE13D" w14:textId="5ACCE64E">
      <w:pPr>
        <w:spacing w:before="120" w:after="120"/>
        <w:jc w:val="both"/>
        <w:rPr>
          <w:color w:val="FF0000"/>
        </w:rPr>
      </w:pPr>
      <w:r w:rsidRPr="007C0E08">
        <w:rPr>
          <w:rFonts w:eastAsia="Book Antiqua"/>
          <w:color w:val="FF0000"/>
        </w:rPr>
        <w:t>I</w:t>
      </w:r>
      <w:r w:rsidRPr="007C0E08" w:rsidR="0679B8ED">
        <w:rPr>
          <w:rFonts w:eastAsia="Book Antiqua"/>
          <w:color w:val="FF0000"/>
        </w:rPr>
        <w:t>l</w:t>
      </w:r>
      <w:r w:rsidRPr="007C0E08" w:rsidR="48E560E2">
        <w:rPr>
          <w:rFonts w:eastAsia="Book Antiqua"/>
          <w:color w:val="FF0000"/>
        </w:rPr>
        <w:t xml:space="preserve"> </w:t>
      </w:r>
      <w:r w:rsidRPr="007C0E08" w:rsidR="2D7CDC97">
        <w:rPr>
          <w:rFonts w:eastAsia="Book Antiqua"/>
          <w:b/>
          <w:color w:val="FF0000"/>
          <w:u w:val="single"/>
        </w:rPr>
        <w:t xml:space="preserve">comma </w:t>
      </w:r>
      <w:r w:rsidRPr="007C0E08" w:rsidR="2746B058">
        <w:rPr>
          <w:b/>
          <w:color w:val="FF0000"/>
          <w:u w:val="single"/>
        </w:rPr>
        <w:t>7</w:t>
      </w:r>
      <w:r w:rsidRPr="007C0E08" w:rsidR="2D7CDC97">
        <w:rPr>
          <w:rFonts w:eastAsia="Book Antiqua"/>
          <w:color w:val="FF0000"/>
        </w:rPr>
        <w:t xml:space="preserve">, </w:t>
      </w:r>
      <w:r w:rsidRPr="007C0E08" w:rsidR="61653806">
        <w:rPr>
          <w:color w:val="FF0000"/>
        </w:rPr>
        <w:t>novella l’articolo 3, comma 1, del decreto-legge 9 settembre 2025, n. 127</w:t>
      </w:r>
      <w:r w:rsidRPr="007C0E08" w:rsidR="41288212">
        <w:rPr>
          <w:color w:val="FF0000"/>
        </w:rPr>
        <w:t xml:space="preserve"> al fine di</w:t>
      </w:r>
      <w:r w:rsidRPr="007C0E08" w:rsidR="61653806">
        <w:rPr>
          <w:color w:val="FF0000"/>
        </w:rPr>
        <w:t xml:space="preserve"> proroga</w:t>
      </w:r>
      <w:r w:rsidRPr="007C0E08" w:rsidR="197EF1F5">
        <w:rPr>
          <w:color w:val="FF0000"/>
        </w:rPr>
        <w:t>re</w:t>
      </w:r>
      <w:r w:rsidRPr="007C0E08" w:rsidR="61653806">
        <w:rPr>
          <w:color w:val="FF0000"/>
        </w:rPr>
        <w:t xml:space="preserve"> di un anno - </w:t>
      </w:r>
      <w:r w:rsidRPr="007C0E08" w:rsidR="61653806">
        <w:rPr>
          <w:color w:val="FF0000"/>
        </w:rPr>
        <w:t>all’a.s.</w:t>
      </w:r>
      <w:r w:rsidRPr="007C0E08" w:rsidR="61653806">
        <w:rPr>
          <w:color w:val="FF0000"/>
        </w:rPr>
        <w:t xml:space="preserve"> 2027/2028 - la decorrenza del nuovo ordinamento professionale (ATA) previsto dalla contrattazione collettiva vigente.</w:t>
      </w:r>
      <w:r w:rsidRPr="007C0E08" w:rsidR="46514149">
        <w:rPr>
          <w:color w:val="FF0000"/>
        </w:rPr>
        <w:t xml:space="preserve"> Tenuto conto di tale nuova decorrenza, la disposizione in commento novella il medesimo articolo 3 al fine di destinare le economie derivanti dall'articolo 1, comma 612, della legge 30 dicembre 2021, n. 234 - calcolate nella misura dello 0,55 per cento del monte salari 2018 - stanziate proprio per la definizione dell’ordinamento professionale ATA, ancora in fase di definizione, alla contrattazione collettiva nazionale del comparto Istruzione e Ricerca - Sezione Scuola, eliminando il riferimento alla contrattazione relativa al triennio 2022/2024.</w:t>
      </w:r>
    </w:p>
    <w:p w:rsidR="6A32049B" w:rsidRPr="007C0E08" w:rsidP="00E92CAE" w14:paraId="7FEC3B95" w14:textId="711943F5">
      <w:pPr>
        <w:spacing w:after="160"/>
        <w:jc w:val="both"/>
        <w:rPr>
          <w:color w:val="FF0000"/>
        </w:rPr>
      </w:pPr>
      <w:r w:rsidRPr="007C0E08">
        <w:rPr>
          <w:rFonts w:eastAsia="Book Antiqua"/>
          <w:color w:val="FF0000"/>
        </w:rPr>
        <w:t>S</w:t>
      </w:r>
      <w:r w:rsidRPr="007C0E08" w:rsidR="48E560E2">
        <w:rPr>
          <w:rFonts w:eastAsia="Book Antiqua"/>
          <w:color w:val="FF0000"/>
        </w:rPr>
        <w:t>otto</w:t>
      </w:r>
      <w:r w:rsidRPr="007C0E08" w:rsidR="2D7CDC97">
        <w:rPr>
          <w:rFonts w:eastAsia="Book Antiqua"/>
          <w:color w:val="FF0000"/>
        </w:rPr>
        <w:t xml:space="preserve"> il profilo finanziario, si evidenzia che l’intervento normativo</w:t>
      </w:r>
      <w:r w:rsidRPr="007C0E08" w:rsidR="1DFC76EC">
        <w:rPr>
          <w:rFonts w:eastAsia="Book Antiqua"/>
          <w:color w:val="FF0000"/>
        </w:rPr>
        <w:t>, limitandosi a prorogare la decorrenza del nuovo ordinamento professionale ATA</w:t>
      </w:r>
      <w:r w:rsidRPr="007C0E08" w:rsidR="48E560E2">
        <w:rPr>
          <w:rFonts w:eastAsia="Book Antiqua"/>
          <w:color w:val="FF0000"/>
        </w:rPr>
        <w:t xml:space="preserve"> </w:t>
      </w:r>
      <w:r w:rsidRPr="007C0E08" w:rsidR="1DFC76EC">
        <w:rPr>
          <w:color w:val="FF0000"/>
        </w:rPr>
        <w:t>all’a.s.</w:t>
      </w:r>
      <w:r w:rsidRPr="007C0E08" w:rsidR="1DFC76EC">
        <w:rPr>
          <w:color w:val="FF0000"/>
        </w:rPr>
        <w:t xml:space="preserve"> 2027/2028,</w:t>
      </w:r>
      <w:r w:rsidRPr="007C0E08" w:rsidR="2D7CDC97">
        <w:rPr>
          <w:rFonts w:eastAsia="Book Antiqua"/>
          <w:color w:val="FF0000"/>
        </w:rPr>
        <w:t xml:space="preserve"> </w:t>
      </w:r>
      <w:r w:rsidRPr="007C0E08" w:rsidR="2D7CDC97">
        <w:rPr>
          <w:rFonts w:eastAsia="Book Antiqua"/>
          <w:color w:val="FF0000"/>
          <w:u w:val="single"/>
        </w:rPr>
        <w:t>non comporta nuovi o maggiori oneri a carico della finanza pubblica</w:t>
      </w:r>
      <w:r w:rsidRPr="007C0E08" w:rsidR="48E560E2">
        <w:rPr>
          <w:rFonts w:eastAsia="Book Antiqua"/>
          <w:color w:val="FF0000"/>
        </w:rPr>
        <w:t xml:space="preserve">. </w:t>
      </w:r>
      <w:r w:rsidRPr="007C0E08" w:rsidR="582317FB">
        <w:rPr>
          <w:rFonts w:eastAsia="Book Antiqua"/>
          <w:color w:val="FF0000"/>
        </w:rPr>
        <w:t>L</w:t>
      </w:r>
      <w:r w:rsidRPr="007C0E08" w:rsidR="48E560E2">
        <w:rPr>
          <w:rFonts w:eastAsia="Book Antiqua"/>
          <w:color w:val="FF0000"/>
        </w:rPr>
        <w:t xml:space="preserve">e economie derivanti </w:t>
      </w:r>
      <w:r w:rsidRPr="007C0E08" w:rsidR="2D7CDC97">
        <w:rPr>
          <w:rFonts w:eastAsia="Book Antiqua"/>
          <w:color w:val="FF0000"/>
        </w:rPr>
        <w:t xml:space="preserve">dalle risorse già stanziate allo scopo e già destinate dall’attuale </w:t>
      </w:r>
      <w:r w:rsidRPr="007C0E08" w:rsidR="48E560E2">
        <w:rPr>
          <w:rFonts w:eastAsia="Book Antiqua"/>
          <w:color w:val="FF0000"/>
        </w:rPr>
        <w:t>art</w:t>
      </w:r>
      <w:r w:rsidRPr="007C0E08" w:rsidR="147CE0A3">
        <w:rPr>
          <w:rFonts w:eastAsia="Book Antiqua"/>
          <w:color w:val="FF0000"/>
        </w:rPr>
        <w:t>icolo</w:t>
      </w:r>
      <w:r w:rsidRPr="007C0E08" w:rsidR="2D7CDC97">
        <w:rPr>
          <w:rFonts w:eastAsia="Book Antiqua"/>
          <w:color w:val="FF0000"/>
        </w:rPr>
        <w:t xml:space="preserve"> 3, comma 1, del decreto-legge n. 127 del 2025 alla contrattazione collettiva, rimangono nella disponibilità della contrattazione collettiva vigente del comparto scuola. Tali economie sono pari a euro 36.900.000,00 (come attestate dalla Corte dei conti, sezioni riunite di controllo, con delibera prot. n. 11/SSRRCO/CCN/2023). </w:t>
      </w:r>
    </w:p>
    <w:p w:rsidR="6A32049B" w:rsidRPr="007C0E08" w:rsidP="00E92CAE" w14:paraId="101ED5B8" w14:textId="4AF14F01">
      <w:pPr>
        <w:spacing w:after="160"/>
        <w:jc w:val="both"/>
        <w:rPr>
          <w:color w:val="FF0000"/>
        </w:rPr>
      </w:pPr>
      <w:r w:rsidRPr="007C0E08">
        <w:rPr>
          <w:color w:val="FF0000"/>
        </w:rPr>
        <w:t>I</w:t>
      </w:r>
      <w:r w:rsidRPr="007C0E08" w:rsidR="2D7CDC97">
        <w:rPr>
          <w:rFonts w:eastAsia="Book Antiqua"/>
          <w:color w:val="FF0000"/>
        </w:rPr>
        <w:t xml:space="preserve"> risparmi si possono quantificare in euro 36.900.000 per l’anno 2026, atteso che la progressione verticale prevista si concluderà solo nel nuovo anno finanziario (2027) e che non è previsto il riconoscimento economico retroattivo della progressione. Per l’annualità 2027, si può ipotizzare un risparmio pari agli 8/12 dell’anno, ovvero euro 24.600.000 considerando che la progressione verticale produrrà i suoi effetti finanziari solo a partire dal 1° settembre 2027. </w:t>
      </w:r>
    </w:p>
    <w:p w:rsidR="6A32049B" w:rsidP="4BF62E39" w14:paraId="1A029803" w14:textId="0704EA3E">
      <w:pPr>
        <w:spacing w:after="160" w:line="276" w:lineRule="auto"/>
        <w:ind w:firstLine="1985"/>
        <w:jc w:val="both"/>
        <w:rPr>
          <w:color w:val="000000" w:themeColor="text1"/>
        </w:rPr>
      </w:pPr>
      <w:r w:rsidRPr="4BF62E39">
        <w:rPr>
          <w:rFonts w:eastAsia="Book Antiqua"/>
          <w:color w:val="000000" w:themeColor="text1"/>
        </w:rPr>
        <w:t>Valori in Mln/€</w:t>
      </w:r>
    </w:p>
    <w:tbl>
      <w:tblPr>
        <w:tblStyle w:val="TableGrid"/>
        <w:tblW w:w="0" w:type="auto"/>
        <w:tblInd w:w="2100" w:type="dxa"/>
        <w:tblLook w:val="04A0"/>
      </w:tblPr>
      <w:tblGrid>
        <w:gridCol w:w="1440"/>
        <w:gridCol w:w="1575"/>
        <w:gridCol w:w="1575"/>
      </w:tblGrid>
      <w:tr w14:paraId="0B2678BE" w14:textId="77777777" w:rsidTr="4BF62E39">
        <w:tblPrEx>
          <w:tblW w:w="0" w:type="auto"/>
          <w:tblInd w:w="2100" w:type="dxa"/>
          <w:tblLook w:val="04A0"/>
        </w:tblPrEx>
        <w:trPr>
          <w:trHeight w:val="300"/>
        </w:trPr>
        <w:tc>
          <w:tcPr>
            <w:tcW w:w="459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rsidR="4BF62E39" w:rsidP="4BF62E39" w14:paraId="038A995F" w14:textId="52E9BDEF">
            <w:pPr>
              <w:spacing w:line="276" w:lineRule="auto"/>
              <w:jc w:val="center"/>
            </w:pPr>
            <w:r w:rsidRPr="4BF62E39">
              <w:rPr>
                <w:rFonts w:ascii="Book Antiqua" w:eastAsia="Book Antiqua" w:hAnsi="Book Antiqua" w:cs="Book Antiqua"/>
                <w:color w:val="000000" w:themeColor="text1"/>
                <w:sz w:val="24"/>
                <w:szCs w:val="24"/>
              </w:rPr>
              <w:t>RISPARMI</w:t>
            </w:r>
          </w:p>
        </w:tc>
      </w:tr>
      <w:tr w14:paraId="698EAACB" w14:textId="77777777" w:rsidTr="4BF62E39">
        <w:tblPrEx>
          <w:tblW w:w="0" w:type="auto"/>
          <w:tblInd w:w="2100" w:type="dxa"/>
          <w:tblLook w:val="04A0"/>
        </w:tblPrEx>
        <w:trPr>
          <w:trHeight w:val="300"/>
        </w:trPr>
        <w:tc>
          <w:tcPr>
            <w:tcW w:w="1440" w:type="dxa"/>
            <w:tcBorders>
              <w:top w:val="single" w:sz="8" w:space="0" w:color="auto"/>
              <w:left w:val="single" w:sz="8" w:space="0" w:color="auto"/>
              <w:bottom w:val="single" w:sz="8" w:space="0" w:color="auto"/>
              <w:right w:val="single" w:sz="8" w:space="0" w:color="auto"/>
            </w:tcBorders>
            <w:tcMar>
              <w:left w:w="108" w:type="dxa"/>
              <w:right w:w="108" w:type="dxa"/>
            </w:tcMar>
          </w:tcPr>
          <w:p w:rsidR="4BF62E39" w:rsidP="4BF62E39" w14:paraId="2C3014C4" w14:textId="633A3526">
            <w:pPr>
              <w:spacing w:line="276" w:lineRule="auto"/>
              <w:jc w:val="center"/>
            </w:pPr>
            <w:r w:rsidRPr="4BF62E39">
              <w:rPr>
                <w:rFonts w:ascii="Book Antiqua" w:eastAsia="Book Antiqua" w:hAnsi="Book Antiqua" w:cs="Book Antiqua"/>
                <w:color w:val="000000" w:themeColor="text1"/>
                <w:sz w:val="24"/>
                <w:szCs w:val="24"/>
              </w:rPr>
              <w:t>2026</w:t>
            </w:r>
          </w:p>
        </w:tc>
        <w:tc>
          <w:tcPr>
            <w:tcW w:w="1575" w:type="dxa"/>
            <w:tcBorders>
              <w:top w:val="nil"/>
              <w:left w:val="single" w:sz="8" w:space="0" w:color="auto"/>
              <w:bottom w:val="single" w:sz="8" w:space="0" w:color="auto"/>
              <w:right w:val="single" w:sz="8" w:space="0" w:color="auto"/>
            </w:tcBorders>
            <w:tcMar>
              <w:left w:w="108" w:type="dxa"/>
              <w:right w:w="108" w:type="dxa"/>
            </w:tcMar>
          </w:tcPr>
          <w:p w:rsidR="4BF62E39" w:rsidP="4BF62E39" w14:paraId="6997BD5D" w14:textId="5D80827C">
            <w:pPr>
              <w:spacing w:line="276" w:lineRule="auto"/>
              <w:jc w:val="center"/>
            </w:pPr>
            <w:r w:rsidRPr="4BF62E39">
              <w:rPr>
                <w:rFonts w:ascii="Book Antiqua" w:eastAsia="Book Antiqua" w:hAnsi="Book Antiqua" w:cs="Book Antiqua"/>
                <w:color w:val="000000" w:themeColor="text1"/>
                <w:sz w:val="24"/>
                <w:szCs w:val="24"/>
              </w:rPr>
              <w:t>2027</w:t>
            </w:r>
          </w:p>
        </w:tc>
        <w:tc>
          <w:tcPr>
            <w:tcW w:w="1575" w:type="dxa"/>
            <w:tcBorders>
              <w:top w:val="nil"/>
              <w:left w:val="single" w:sz="8" w:space="0" w:color="auto"/>
              <w:bottom w:val="single" w:sz="8" w:space="0" w:color="auto"/>
              <w:right w:val="single" w:sz="8" w:space="0" w:color="auto"/>
            </w:tcBorders>
            <w:tcMar>
              <w:left w:w="108" w:type="dxa"/>
              <w:right w:w="108" w:type="dxa"/>
            </w:tcMar>
          </w:tcPr>
          <w:p w:rsidR="4BF62E39" w:rsidP="4BF62E39" w14:paraId="57D51F91" w14:textId="12CE515A">
            <w:pPr>
              <w:spacing w:line="276" w:lineRule="auto"/>
              <w:jc w:val="center"/>
            </w:pPr>
            <w:r w:rsidRPr="4BF62E39">
              <w:rPr>
                <w:rFonts w:ascii="Book Antiqua" w:eastAsia="Book Antiqua" w:hAnsi="Book Antiqua" w:cs="Book Antiqua"/>
                <w:color w:val="000000" w:themeColor="text1"/>
                <w:sz w:val="24"/>
                <w:szCs w:val="24"/>
              </w:rPr>
              <w:t>Totale</w:t>
            </w:r>
          </w:p>
        </w:tc>
      </w:tr>
      <w:tr w14:paraId="5DF05E7E" w14:textId="77777777" w:rsidTr="4BF62E39">
        <w:tblPrEx>
          <w:tblW w:w="0" w:type="auto"/>
          <w:tblInd w:w="2100" w:type="dxa"/>
          <w:tblLook w:val="04A0"/>
        </w:tblPrEx>
        <w:trPr>
          <w:trHeight w:val="300"/>
        </w:trPr>
        <w:tc>
          <w:tcPr>
            <w:tcW w:w="1440" w:type="dxa"/>
            <w:tcBorders>
              <w:top w:val="single" w:sz="8" w:space="0" w:color="auto"/>
              <w:left w:val="single" w:sz="8" w:space="0" w:color="auto"/>
              <w:bottom w:val="single" w:sz="8" w:space="0" w:color="auto"/>
              <w:right w:val="single" w:sz="8" w:space="0" w:color="auto"/>
            </w:tcBorders>
            <w:tcMar>
              <w:left w:w="108" w:type="dxa"/>
              <w:right w:w="108" w:type="dxa"/>
            </w:tcMar>
          </w:tcPr>
          <w:p w:rsidR="4BF62E39" w:rsidP="4BF62E39" w14:paraId="7000D3AB" w14:textId="4105ACA9">
            <w:pPr>
              <w:spacing w:line="276" w:lineRule="auto"/>
              <w:jc w:val="center"/>
            </w:pPr>
            <w:r w:rsidRPr="4BF62E39">
              <w:rPr>
                <w:rFonts w:ascii="Book Antiqua" w:eastAsia="Book Antiqua" w:hAnsi="Book Antiqua" w:cs="Book Antiqua"/>
                <w:color w:val="000000" w:themeColor="text1"/>
                <w:sz w:val="24"/>
                <w:szCs w:val="24"/>
              </w:rPr>
              <w:t>36,9</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tcPr>
          <w:p w:rsidR="4BF62E39" w:rsidP="4BF62E39" w14:paraId="72BC0761" w14:textId="5D57C486">
            <w:pPr>
              <w:spacing w:line="276" w:lineRule="auto"/>
              <w:jc w:val="center"/>
            </w:pPr>
            <w:r w:rsidRPr="4BF62E39">
              <w:rPr>
                <w:rFonts w:ascii="Book Antiqua" w:eastAsia="Book Antiqua" w:hAnsi="Book Antiqua" w:cs="Book Antiqua"/>
                <w:color w:val="000000" w:themeColor="text1"/>
                <w:sz w:val="24"/>
                <w:szCs w:val="24"/>
              </w:rPr>
              <w:t>24,6</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tcPr>
          <w:p w:rsidR="4BF62E39" w:rsidP="4BF62E39" w14:paraId="25EC2717" w14:textId="59CFE519">
            <w:pPr>
              <w:spacing w:line="276" w:lineRule="auto"/>
              <w:jc w:val="center"/>
            </w:pPr>
            <w:r w:rsidRPr="4BF62E39">
              <w:rPr>
                <w:rFonts w:ascii="Book Antiqua" w:eastAsia="Book Antiqua" w:hAnsi="Book Antiqua" w:cs="Book Antiqua"/>
                <w:color w:val="000000" w:themeColor="text1"/>
                <w:sz w:val="24"/>
                <w:szCs w:val="24"/>
              </w:rPr>
              <w:t>61,5</w:t>
            </w:r>
          </w:p>
        </w:tc>
      </w:tr>
    </w:tbl>
    <w:p w:rsidR="6A32049B" w:rsidRPr="00842DD0" w:rsidP="4BF62E39" w14:paraId="1C70AC70" w14:textId="7DC3478D">
      <w:pPr>
        <w:spacing w:after="160" w:line="276" w:lineRule="auto"/>
        <w:jc w:val="both"/>
        <w:rPr>
          <w:rFonts w:eastAsia="Book Antiqua"/>
          <w:color w:val="FF0000"/>
        </w:rPr>
      </w:pPr>
      <w:r w:rsidRPr="00842DD0">
        <w:rPr>
          <w:rFonts w:ascii="Book Antiqua" w:eastAsia="Book Antiqua" w:hAnsi="Book Antiqua" w:cs="Book Antiqua"/>
          <w:color w:val="FF0000"/>
        </w:rPr>
        <w:t xml:space="preserve"> </w:t>
      </w:r>
    </w:p>
    <w:p w:rsidR="3E5FCFF4" w:rsidRPr="00842DD0" w:rsidP="49426E24" w14:paraId="29B08A31" w14:textId="665A7AC4">
      <w:pPr>
        <w:spacing w:before="120" w:after="120"/>
        <w:jc w:val="both"/>
        <w:rPr>
          <w:rFonts w:eastAsia="Book Antiqua"/>
          <w:color w:val="FF0000"/>
        </w:rPr>
      </w:pPr>
      <w:r w:rsidRPr="00842DD0">
        <w:rPr>
          <w:rFonts w:eastAsia="Book Antiqua"/>
          <w:color w:val="FF0000"/>
        </w:rPr>
        <w:t xml:space="preserve">Il </w:t>
      </w:r>
      <w:r w:rsidRPr="00842DD0">
        <w:rPr>
          <w:rFonts w:eastAsia="Book Antiqua"/>
          <w:b/>
          <w:bCs/>
          <w:color w:val="FF0000"/>
          <w:u w:val="single"/>
        </w:rPr>
        <w:t>comma 8</w:t>
      </w:r>
      <w:r w:rsidRPr="00842DD0" w:rsidR="7BCA576F">
        <w:rPr>
          <w:rFonts w:eastAsia="Book Antiqua"/>
          <w:b/>
          <w:bCs/>
          <w:color w:val="FF0000"/>
          <w:u w:val="single"/>
        </w:rPr>
        <w:t xml:space="preserve"> </w:t>
      </w:r>
      <w:r w:rsidRPr="00842DD0" w:rsidR="7BCA576F">
        <w:rPr>
          <w:color w:val="FF0000"/>
        </w:rPr>
        <w:t>ponendosi in continuità con il comma 7, sopprime all’art. 10, comma 3-quinquies, del decreto-legge n. 71 del 2024</w:t>
      </w:r>
      <w:r w:rsidRPr="00842DD0" w:rsidR="7EFDADA0">
        <w:rPr>
          <w:color w:val="FF0000"/>
        </w:rPr>
        <w:t>,</w:t>
      </w:r>
      <w:r w:rsidRPr="00842DD0" w:rsidR="7BCA576F">
        <w:rPr>
          <w:color w:val="FF0000"/>
        </w:rPr>
        <w:t xml:space="preserve"> il riferimento all’anno scolastico (i.e. 2025/2026) entro il quale operare la revisione dei criteri e dei parametri per la definizione delle dotazioni organiche ATA, attualmente in fase di definizione con l’adozione di apposito decreto interministeriale</w:t>
      </w:r>
      <w:r w:rsidRPr="00842DD0" w:rsidR="437E6E6E">
        <w:rPr>
          <w:color w:val="FF0000"/>
        </w:rPr>
        <w:t>;</w:t>
      </w:r>
      <w:r w:rsidRPr="00842DD0" w:rsidR="7BCA576F">
        <w:rPr>
          <w:color w:val="FF0000"/>
        </w:rPr>
        <w:t xml:space="preserve"> elimina altresì il riferimento al CCNL 2019-2021 – quale fonte del nuovo ordinamento professionale ATA – sostituendolo con un richiamo alla contrattazione collettiva vigente.</w:t>
      </w:r>
      <w:r w:rsidRPr="00842DD0" w:rsidR="3A827F76">
        <w:rPr>
          <w:b/>
          <w:bCs/>
          <w:color w:val="FF0000"/>
        </w:rPr>
        <w:t xml:space="preserve"> </w:t>
      </w:r>
      <w:r w:rsidRPr="00842DD0" w:rsidR="3A827F76">
        <w:rPr>
          <w:rFonts w:eastAsia="Book Antiqua"/>
          <w:b/>
          <w:bCs/>
          <w:color w:val="FF0000"/>
        </w:rPr>
        <w:t>La disposizione, di carattere ordinamentale, non comporta nuovi o maggiori oneri a carico dello Stato</w:t>
      </w:r>
      <w:r w:rsidRPr="00842DD0" w:rsidR="36F179B0">
        <w:rPr>
          <w:rFonts w:eastAsia="Book Antiqua"/>
          <w:b/>
          <w:bCs/>
          <w:color w:val="FF0000"/>
        </w:rPr>
        <w:t>.</w:t>
      </w:r>
    </w:p>
    <w:p w:rsidR="3E5FCFF4" w:rsidRPr="00842DD0" w:rsidP="4BF62E39" w14:paraId="2371B55D" w14:textId="28D8C55C">
      <w:pPr>
        <w:spacing w:after="120"/>
        <w:jc w:val="both"/>
        <w:rPr>
          <w:rFonts w:eastAsia="Book Antiqua"/>
          <w:b/>
          <w:bCs/>
          <w:color w:val="FF0000"/>
          <w:highlight w:val="yellow"/>
          <w:u w:val="single"/>
        </w:rPr>
      </w:pPr>
    </w:p>
    <w:p w:rsidR="3E5FCFF4" w:rsidP="4BF62E39" w14:paraId="7861B955" w14:textId="5E1885E3">
      <w:pPr>
        <w:spacing w:after="120"/>
        <w:jc w:val="both"/>
        <w:rPr>
          <w:rFonts w:eastAsia="Book Antiqua"/>
          <w:b/>
          <w:bCs/>
          <w:highlight w:val="yellow"/>
          <w:u w:val="single"/>
        </w:rPr>
      </w:pPr>
    </w:p>
    <w:p w:rsidR="004461A7" w:rsidRPr="00987C41" w:rsidP="00987C41" w14:paraId="2849502F" w14:textId="1DD9C93D">
      <w:pPr>
        <w:pStyle w:val="Heading3"/>
        <w:spacing w:before="0" w:after="120"/>
        <w:rPr>
          <w:rFonts w:eastAsia="Book Antiqua" w:cs="Times New Roman"/>
          <w:color w:val="000000" w:themeColor="text1"/>
        </w:rPr>
      </w:pPr>
      <w:bookmarkStart w:id="58" w:name="_Toc220077563"/>
      <w:r w:rsidRPr="00987C41">
        <w:rPr>
          <w:rFonts w:eastAsia="Times New Roman" w:cs="Times New Roman"/>
          <w:color w:val="000000" w:themeColor="text1"/>
        </w:rPr>
        <w:t xml:space="preserve">ART. </w:t>
      </w:r>
      <w:r w:rsidR="00AA4ED2">
        <w:rPr>
          <w:color w:val="000000" w:themeColor="text1"/>
        </w:rPr>
        <w:t>20</w:t>
      </w:r>
      <w:r w:rsidR="00465FBC">
        <w:rPr>
          <w:color w:val="000000" w:themeColor="text1"/>
        </w:rPr>
        <w:t xml:space="preserve">                                                                                                                                              </w:t>
      </w:r>
      <w:r w:rsidR="00465FBC">
        <w:rPr>
          <w:color w:val="000000" w:themeColor="text1"/>
        </w:rPr>
        <w:t xml:space="preserve">   </w:t>
      </w:r>
      <w:r w:rsidRPr="00987C41">
        <w:rPr>
          <w:rFonts w:eastAsia="Times New Roman" w:cs="Times New Roman"/>
          <w:color w:val="000000" w:themeColor="text1"/>
        </w:rPr>
        <w:t>(</w:t>
      </w:r>
      <w:r w:rsidRPr="00987C41">
        <w:rPr>
          <w:rFonts w:eastAsia="Times New Roman" w:cs="Times New Roman"/>
          <w:color w:val="000000" w:themeColor="text1"/>
        </w:rPr>
        <w:t xml:space="preserve">Misure urgenti per la prosecuzione delle attività di verifica e controllo connesse </w:t>
      </w:r>
      <w:r w:rsidRPr="007D774E" w:rsidR="007D774E">
        <w:rPr>
          <w:rFonts w:eastAsia="Times New Roman" w:cs="Times New Roman"/>
          <w:color w:val="000000" w:themeColor="text1"/>
        </w:rPr>
        <w:t>alla realizzazione degli investimenti della Missione 4 - Componente 1 del PNRR di titolarità del Ministero dell’istruzione e del merito</w:t>
      </w:r>
      <w:r w:rsidRPr="00987C41">
        <w:rPr>
          <w:rFonts w:eastAsia="Book Antiqua" w:cs="Times New Roman"/>
          <w:color w:val="000000" w:themeColor="text1"/>
        </w:rPr>
        <w:t>)</w:t>
      </w:r>
      <w:bookmarkEnd w:id="58"/>
    </w:p>
    <w:p w:rsidR="002A3CA1" w:rsidRPr="00987C41" w:rsidP="00987C41" w14:paraId="3B504610" w14:textId="2C18FCAB">
      <w:pPr>
        <w:spacing w:after="120"/>
        <w:jc w:val="both"/>
        <w:rPr>
          <w:rFonts w:eastAsia="Aptos"/>
          <w:kern w:val="2"/>
        </w:rPr>
      </w:pPr>
      <w:r w:rsidRPr="00987C41">
        <w:rPr>
          <w:rFonts w:eastAsia="Aptos"/>
          <w:kern w:val="2"/>
        </w:rPr>
        <w:t>L’intervento normativo persegue l’obiettivo di assicurare la prosecuzione delle attività di verifica e controllo connesse all’attuazione del PNRR a titolarità del Ministero dell’istruzione e del merito, estendendo le misure di supporto e organizzative fino al termine dell’operatività dell’Unità di missione per il PNRR.</w:t>
      </w:r>
    </w:p>
    <w:p w:rsidR="00E6769F" w:rsidP="00987C41" w14:paraId="3C36DB03" w14:textId="77777777">
      <w:pPr>
        <w:spacing w:after="120"/>
        <w:jc w:val="both"/>
        <w:rPr>
          <w:b/>
          <w:bCs/>
        </w:rPr>
      </w:pPr>
      <w:r w:rsidRPr="00987C41">
        <w:rPr>
          <w:rFonts w:eastAsia="Aptos"/>
          <w:kern w:val="2"/>
        </w:rPr>
        <w:t xml:space="preserve">In particolare, al </w:t>
      </w:r>
      <w:r w:rsidRPr="00153959">
        <w:rPr>
          <w:rFonts w:eastAsia="Aptos"/>
          <w:b/>
          <w:kern w:val="2"/>
          <w:u w:val="single"/>
        </w:rPr>
        <w:t xml:space="preserve">comma 1, lettera </w:t>
      </w:r>
      <w:r w:rsidRPr="006403D1">
        <w:rPr>
          <w:rFonts w:eastAsia="Aptos"/>
          <w:b/>
          <w:i/>
          <w:iCs/>
          <w:kern w:val="2"/>
          <w:u w:val="single"/>
        </w:rPr>
        <w:t>a)</w:t>
      </w:r>
      <w:r w:rsidRPr="00153959">
        <w:rPr>
          <w:rFonts w:eastAsia="Aptos"/>
          <w:b/>
          <w:kern w:val="2"/>
          <w:u w:val="single"/>
        </w:rPr>
        <w:t>, numero 1</w:t>
      </w:r>
      <w:r w:rsidRPr="00987C41">
        <w:rPr>
          <w:rFonts w:eastAsia="Aptos"/>
          <w:kern w:val="2"/>
        </w:rPr>
        <w:t xml:space="preserve"> </w:t>
      </w:r>
      <w:r w:rsidRPr="00987C41" w:rsidR="001463B4">
        <w:rPr>
          <w:rFonts w:eastAsia="Aptos"/>
          <w:kern w:val="2"/>
        </w:rPr>
        <w:t>si estende</w:t>
      </w:r>
      <w:r w:rsidRPr="00987C41">
        <w:rPr>
          <w:rFonts w:eastAsia="Aptos"/>
          <w:kern w:val="2"/>
        </w:rPr>
        <w:t xml:space="preserve"> la misura già prevista dall’articolo 47, comma 1, del decreto-legge 30 aprile 2022, n. 36, convertito, con modificazioni, dalla legge 29 giugno 2022, n. 79, relativa al Gruppo di supporto alle istituzioni scolastiche per la piena attuazione del PNRR. </w:t>
      </w:r>
      <w:r w:rsidRPr="0078247A" w:rsidR="004C0DDB">
        <w:rPr>
          <w:b/>
          <w:bCs/>
        </w:rPr>
        <w:t xml:space="preserve">Il Gruppo di supporto svolge un importante ruolo di accompagnamento delle scuole nelle azioni di attuazione, monitoraggio e rendicontazione del PNRR ai fini del raggiungimento dei relativi </w:t>
      </w:r>
      <w:r w:rsidRPr="0078247A" w:rsidR="004C0DDB">
        <w:rPr>
          <w:b/>
          <w:bCs/>
          <w:i/>
          <w:iCs/>
        </w:rPr>
        <w:t>target</w:t>
      </w:r>
      <w:r w:rsidRPr="0078247A" w:rsidR="004C0DDB">
        <w:rPr>
          <w:b/>
          <w:bCs/>
        </w:rPr>
        <w:t xml:space="preserve"> europei</w:t>
      </w:r>
      <w:r w:rsidR="004C0DDB">
        <w:rPr>
          <w:b/>
          <w:bCs/>
        </w:rPr>
        <w:t xml:space="preserve">. </w:t>
      </w:r>
    </w:p>
    <w:p w:rsidR="002A3CA1" w:rsidRPr="00987C41" w:rsidP="00987C41" w14:paraId="42D2D06F" w14:textId="4362B141">
      <w:pPr>
        <w:spacing w:after="120"/>
        <w:jc w:val="both"/>
        <w:rPr>
          <w:rFonts w:eastAsia="Aptos"/>
          <w:kern w:val="2"/>
        </w:rPr>
      </w:pPr>
      <w:r w:rsidRPr="00987C41">
        <w:rPr>
          <w:rFonts w:eastAsia="Aptos"/>
          <w:kern w:val="2"/>
        </w:rPr>
        <w:t xml:space="preserve">L’estensione del Gruppo di supporto alle scuole per il PNRR comporta maggiori oneri, </w:t>
      </w:r>
      <w:r w:rsidRPr="00E6769F">
        <w:rPr>
          <w:rFonts w:eastAsia="Aptos"/>
          <w:b/>
          <w:bCs/>
          <w:kern w:val="2"/>
        </w:rPr>
        <w:t>come previsto dal comma 1, lettera a),</w:t>
      </w:r>
      <w:r w:rsidRPr="00460F2A">
        <w:rPr>
          <w:rFonts w:eastAsia="Aptos"/>
          <w:bCs/>
          <w:kern w:val="2"/>
        </w:rPr>
        <w:t xml:space="preserve"> </w:t>
      </w:r>
      <w:r w:rsidRPr="00695E0D">
        <w:rPr>
          <w:rFonts w:eastAsia="Aptos"/>
          <w:b/>
          <w:kern w:val="2"/>
          <w:u w:val="single"/>
        </w:rPr>
        <w:t>numero 3</w:t>
      </w:r>
      <w:r w:rsidRPr="00460F2A">
        <w:rPr>
          <w:rFonts w:eastAsia="Aptos"/>
          <w:bCs/>
          <w:kern w:val="2"/>
        </w:rPr>
        <w:t>, pari</w:t>
      </w:r>
      <w:r w:rsidRPr="00987C41">
        <w:rPr>
          <w:rFonts w:eastAsia="Aptos"/>
          <w:kern w:val="2"/>
        </w:rPr>
        <w:t xml:space="preserve"> a euro </w:t>
      </w:r>
      <w:r w:rsidRPr="0078247A" w:rsidR="00554252">
        <w:rPr>
          <w:rFonts w:eastAsia="Aptos"/>
          <w:b/>
        </w:rPr>
        <w:t>2.</w:t>
      </w:r>
      <w:r w:rsidRPr="0078247A" w:rsidR="00554252">
        <w:rPr>
          <w:b/>
          <w:bCs/>
        </w:rPr>
        <w:t>863.835</w:t>
      </w:r>
      <w:r w:rsidR="00554252">
        <w:rPr>
          <w:rFonts w:eastAsia="Aptos"/>
          <w:b/>
        </w:rPr>
        <w:t xml:space="preserve"> </w:t>
      </w:r>
      <w:r w:rsidRPr="00987C41">
        <w:rPr>
          <w:rFonts w:eastAsia="Aptos"/>
          <w:kern w:val="2"/>
        </w:rPr>
        <w:t>per l’anno 2026</w:t>
      </w:r>
      <w:r w:rsidRPr="00B00F1F" w:rsidR="00B00F1F">
        <w:rPr>
          <w:rFonts w:eastAsia="Aptos"/>
          <w:kern w:val="2"/>
        </w:rPr>
        <w:t xml:space="preserve"> </w:t>
      </w:r>
      <w:r w:rsidRPr="00C70AB7" w:rsidR="00C70AB7">
        <w:rPr>
          <w:rFonts w:eastAsia="Aptos"/>
          <w:b/>
          <w:bCs/>
          <w:kern w:val="2"/>
        </w:rPr>
        <w:t xml:space="preserve">e </w:t>
      </w:r>
      <w:r w:rsidRPr="00C70AB7" w:rsidR="00C70AB7">
        <w:rPr>
          <w:rFonts w:eastAsia="Aptos"/>
          <w:b/>
        </w:rPr>
        <w:t>a euro</w:t>
      </w:r>
      <w:r w:rsidRPr="0078247A" w:rsidR="00C70AB7">
        <w:rPr>
          <w:rFonts w:eastAsia="Aptos"/>
        </w:rPr>
        <w:t xml:space="preserve"> </w:t>
      </w:r>
      <w:r w:rsidRPr="0078247A" w:rsidR="00C70AB7">
        <w:rPr>
          <w:b/>
          <w:bCs/>
        </w:rPr>
        <w:t>1.467.737</w:t>
      </w:r>
      <w:r w:rsidR="00C70AB7">
        <w:rPr>
          <w:rFonts w:eastAsia="Aptos"/>
          <w:b/>
        </w:rPr>
        <w:t xml:space="preserve"> per l’anno 2027</w:t>
      </w:r>
      <w:r w:rsidRPr="00987C41">
        <w:rPr>
          <w:rFonts w:eastAsia="Aptos"/>
          <w:kern w:val="2"/>
        </w:rPr>
        <w:t>, cui si provvede mediante corrispondente riduzione, per gli anni 2026</w:t>
      </w:r>
      <w:r w:rsidRPr="00970D1B" w:rsidR="00970D1B">
        <w:rPr>
          <w:rFonts w:eastAsia="Aptos"/>
          <w:kern w:val="2"/>
        </w:rPr>
        <w:t xml:space="preserve"> </w:t>
      </w:r>
      <w:r w:rsidRPr="006C5205" w:rsidR="006C5205">
        <w:rPr>
          <w:rFonts w:eastAsia="Aptos"/>
          <w:b/>
          <w:bCs/>
          <w:kern w:val="2"/>
        </w:rPr>
        <w:t>e</w:t>
      </w:r>
      <w:r w:rsidR="006C5205">
        <w:rPr>
          <w:rFonts w:eastAsia="Aptos"/>
          <w:kern w:val="2"/>
        </w:rPr>
        <w:t xml:space="preserve"> </w:t>
      </w:r>
      <w:r w:rsidRPr="00987C41">
        <w:rPr>
          <w:rFonts w:eastAsia="Aptos"/>
          <w:kern w:val="2"/>
        </w:rPr>
        <w:t>2027, dell’autorizzazione di spesa di cui all’articolo 1, comma 62, secondo periodo, della legge 13 luglio 2015, n. 107. Al riguardo, si precisa che per l’anno 2026, i maggiori oneri sono costituiti dalla differenza rispetto a quanto già stanziato dall’art. 47, comma 6, del decreto-legge n. 36 del 2022 e, quindi, pari a 892.470,00.</w:t>
      </w:r>
    </w:p>
    <w:p w:rsidR="00826D4C" w:rsidRPr="00987C41" w:rsidP="00987C41" w14:paraId="73CFB3DA" w14:textId="184CC864">
      <w:pPr>
        <w:spacing w:after="120"/>
        <w:jc w:val="both"/>
        <w:rPr>
          <w:rFonts w:eastAsia="Aptos"/>
          <w:kern w:val="2"/>
        </w:rPr>
      </w:pPr>
      <w:r w:rsidRPr="00987C41">
        <w:rPr>
          <w:rFonts w:eastAsia="Aptos"/>
          <w:kern w:val="2"/>
        </w:rPr>
        <w:t>Il calcolo è stato effettuato tenendo conto dei parametri stipendiali dei docenti.</w:t>
      </w:r>
      <w:r w:rsidRPr="0078247A">
        <w:rPr>
          <w:noProof/>
        </w:rPr>
        <w:drawing>
          <wp:inline distT="0" distB="0" distL="0" distR="0">
            <wp:extent cx="6120130" cy="946205"/>
            <wp:effectExtent l="0" t="0" r="0" b="6350"/>
            <wp:docPr id="167157252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72526" name="Picture 1"/>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6130163" cy="947756"/>
                    </a:xfrm>
                    <a:prstGeom prst="rect">
                      <a:avLst/>
                    </a:prstGeom>
                    <a:noFill/>
                    <a:ln>
                      <a:noFill/>
                    </a:ln>
                  </pic:spPr>
                </pic:pic>
              </a:graphicData>
            </a:graphic>
          </wp:inline>
        </w:drawing>
      </w:r>
    </w:p>
    <w:p w:rsidR="00826D4C" w:rsidP="00987C41" w14:paraId="272DFA6F" w14:textId="77777777">
      <w:pPr>
        <w:spacing w:after="120"/>
        <w:jc w:val="both"/>
        <w:rPr>
          <w:rFonts w:eastAsia="Aptos"/>
          <w:kern w:val="2"/>
        </w:rPr>
      </w:pPr>
    </w:p>
    <w:p w:rsidR="002A3CA1" w:rsidRPr="00987C41" w:rsidP="00987C41" w14:paraId="73E22913" w14:textId="54B064FE">
      <w:pPr>
        <w:spacing w:after="120"/>
        <w:jc w:val="both"/>
        <w:rPr>
          <w:rFonts w:eastAsia="Aptos"/>
          <w:kern w:val="2"/>
        </w:rPr>
      </w:pPr>
      <w:r w:rsidRPr="00987C41">
        <w:rPr>
          <w:rFonts w:eastAsia="Aptos"/>
          <w:kern w:val="2"/>
        </w:rPr>
        <w:t>Sulla base della tabella sopra riportata con i parametri stipendiali aggiornati</w:t>
      </w:r>
      <w:r w:rsidRPr="005A108D" w:rsidR="005A108D">
        <w:rPr>
          <w:rFonts w:eastAsia="Aptos"/>
          <w:b/>
          <w:bCs/>
        </w:rPr>
        <w:t xml:space="preserve"> </w:t>
      </w:r>
      <w:r w:rsidRPr="0078247A" w:rsidR="005A108D">
        <w:rPr>
          <w:rFonts w:eastAsia="Aptos"/>
          <w:b/>
          <w:bCs/>
        </w:rPr>
        <w:t>con una proiezione anche per i rinnovi contrattuali del triennio del 2025/2027</w:t>
      </w:r>
      <w:r w:rsidRPr="00987C41">
        <w:rPr>
          <w:rFonts w:eastAsia="Aptos"/>
          <w:kern w:val="2"/>
        </w:rPr>
        <w:t xml:space="preserve"> (</w:t>
      </w:r>
      <w:bookmarkStart w:id="59" w:name="_Hlk219723126"/>
      <w:r w:rsidRPr="0078247A" w:rsidR="00D9343A">
        <w:rPr>
          <w:rFonts w:eastAsia="Aptos"/>
          <w:b/>
          <w:bCs/>
        </w:rPr>
        <w:t xml:space="preserve">3.494,61 </w:t>
      </w:r>
      <w:bookmarkEnd w:id="59"/>
      <w:r w:rsidRPr="00987C41">
        <w:rPr>
          <w:rFonts w:eastAsia="Aptos"/>
          <w:kern w:val="2"/>
        </w:rPr>
        <w:t xml:space="preserve">euro </w:t>
      </w:r>
      <w:r w:rsidRPr="00D9343A" w:rsidR="00D9343A">
        <w:rPr>
          <w:rFonts w:eastAsia="Aptos"/>
          <w:b/>
          <w:bCs/>
          <w:kern w:val="2"/>
        </w:rPr>
        <w:t>mensili</w:t>
      </w:r>
      <w:r w:rsidR="00D9343A">
        <w:rPr>
          <w:rFonts w:eastAsia="Aptos"/>
          <w:kern w:val="2"/>
        </w:rPr>
        <w:t xml:space="preserve"> </w:t>
      </w:r>
      <w:r w:rsidRPr="00987C41">
        <w:rPr>
          <w:rFonts w:eastAsia="Aptos"/>
          <w:kern w:val="2"/>
        </w:rPr>
        <w:t>lordo Stato), si è proceduto a calcolare gli importi delle supplenze e a quantificare i relativi oneri per un numero complessivo di 70 tra docenti e assistenti amministrativi.</w:t>
      </w:r>
    </w:p>
    <w:p w:rsidR="002A3CA1" w:rsidRPr="00987C41" w:rsidP="00987C41" w14:paraId="464EB3EA" w14:textId="5E37605F">
      <w:pPr>
        <w:spacing w:after="120"/>
        <w:jc w:val="both"/>
        <w:rPr>
          <w:rFonts w:eastAsia="Aptos"/>
          <w:kern w:val="2"/>
        </w:rPr>
      </w:pPr>
      <w:r w:rsidRPr="00987C41">
        <w:rPr>
          <w:rFonts w:eastAsia="Aptos"/>
          <w:kern w:val="2"/>
        </w:rPr>
        <w:t xml:space="preserve">Si è proceduto a una stima prudenziale e, pertanto, è stato preso in considerazione l’importo mensile dei docenti delle scuole secondarie di secondo grado, più alto rispetto a quello dell’infanzia e del primo ciclo, nella fascia più bassa che spetta ai supplenti, incrementato con gli ultimi adeguamenti contrattuali che individuano il trattamento economico mensile, da prendere come riferimento, in euro </w:t>
      </w:r>
      <w:r w:rsidRPr="0078247A" w:rsidR="00F90591">
        <w:rPr>
          <w:rFonts w:eastAsia="Aptos"/>
          <w:b/>
          <w:bCs/>
        </w:rPr>
        <w:t>3.494,61</w:t>
      </w:r>
      <w:r w:rsidRPr="0078247A" w:rsidR="00F90591">
        <w:rPr>
          <w:rFonts w:eastAsia="Aptos"/>
        </w:rPr>
        <w:t>.</w:t>
      </w:r>
    </w:p>
    <w:p w:rsidR="002A3CA1" w:rsidRPr="00987C41" w:rsidP="00987C41" w14:paraId="5458F525" w14:textId="77777777">
      <w:pPr>
        <w:spacing w:after="120"/>
        <w:jc w:val="both"/>
        <w:rPr>
          <w:rFonts w:eastAsia="Aptos"/>
          <w:kern w:val="2"/>
        </w:rPr>
      </w:pPr>
      <w:r w:rsidRPr="00987C41">
        <w:rPr>
          <w:rFonts w:eastAsia="Aptos"/>
          <w:kern w:val="2"/>
        </w:rPr>
        <w:t>Inoltre, anche per gli assistenti amministrativi si è tenuto conto dell’importo mensile dei docenti delle scuole secondarie di secondo grado, più alto rispetto ai compensi degli assistenti amministrativi.</w:t>
      </w:r>
    </w:p>
    <w:p w:rsidR="002A3CA1" w:rsidRPr="00987C41" w:rsidP="00987C41" w14:paraId="73C15DD0" w14:textId="374C9583">
      <w:pPr>
        <w:spacing w:after="120"/>
        <w:jc w:val="both"/>
        <w:rPr>
          <w:rFonts w:eastAsia="Aptos"/>
          <w:kern w:val="2"/>
        </w:rPr>
      </w:pPr>
      <w:r w:rsidRPr="00987C41">
        <w:rPr>
          <w:rFonts w:eastAsia="Aptos"/>
          <w:kern w:val="2"/>
        </w:rPr>
        <w:t xml:space="preserve">In questo modo, per l’anno 2026, trattandosi di 4 mensilità residue (1° settembre-31 dicembre 2026) a tempo pieno in comando risulta </w:t>
      </w:r>
      <w:r w:rsidRPr="0078247A" w:rsidR="00D17099">
        <w:rPr>
          <w:rFonts w:eastAsia="Aptos"/>
          <w:b/>
          <w:bCs/>
        </w:rPr>
        <w:t xml:space="preserve">3.494,61 </w:t>
      </w:r>
      <w:r w:rsidRPr="00987C41">
        <w:rPr>
          <w:rFonts w:eastAsia="Aptos"/>
          <w:kern w:val="2"/>
        </w:rPr>
        <w:t xml:space="preserve">* 70 * 4 = </w:t>
      </w:r>
      <w:r w:rsidRPr="0078247A" w:rsidR="00DF13C2">
        <w:rPr>
          <w:rFonts w:eastAsia="Aptos"/>
          <w:b/>
          <w:bCs/>
        </w:rPr>
        <w:t xml:space="preserve">978.490,80 </w:t>
      </w:r>
      <w:r w:rsidRPr="00987C41">
        <w:rPr>
          <w:rFonts w:eastAsia="Aptos"/>
          <w:kern w:val="2"/>
        </w:rPr>
        <w:t xml:space="preserve">(da arrotondare a </w:t>
      </w:r>
      <w:r w:rsidRPr="0078247A" w:rsidR="00633AFF">
        <w:rPr>
          <w:rFonts w:eastAsia="Aptos"/>
          <w:b/>
          <w:bCs/>
        </w:rPr>
        <w:t>978.491,00</w:t>
      </w:r>
      <w:r w:rsidRPr="00987C41">
        <w:rPr>
          <w:rFonts w:eastAsia="Aptos"/>
          <w:kern w:val="2"/>
        </w:rPr>
        <w:t>), quale quota ulteriore rispetto allo stanziamento, pari a euro 1.885.344,00, già previsto dall’art. 47, comma 6, del decreto-legge n. 36 del 2022.</w:t>
      </w:r>
    </w:p>
    <w:p w:rsidR="002A3CA1" w:rsidRPr="00987C41" w:rsidP="00987C41" w14:paraId="5C38D871" w14:textId="04602BE9">
      <w:pPr>
        <w:spacing w:after="120"/>
        <w:jc w:val="both"/>
        <w:rPr>
          <w:rFonts w:eastAsia="Aptos"/>
          <w:kern w:val="2"/>
        </w:rPr>
      </w:pPr>
      <w:r w:rsidRPr="00987C41">
        <w:rPr>
          <w:rFonts w:eastAsia="Aptos"/>
          <w:kern w:val="2"/>
        </w:rPr>
        <w:t xml:space="preserve">Per l’anno 2027, trattandosi di </w:t>
      </w:r>
      <w:r w:rsidRPr="00633AFF" w:rsidR="00633AFF">
        <w:rPr>
          <w:rFonts w:eastAsia="Aptos"/>
          <w:b/>
          <w:bCs/>
          <w:kern w:val="2"/>
        </w:rPr>
        <w:t>6</w:t>
      </w:r>
      <w:r w:rsidR="00633AFF">
        <w:rPr>
          <w:rFonts w:eastAsia="Aptos"/>
          <w:kern w:val="2"/>
        </w:rPr>
        <w:t xml:space="preserve"> </w:t>
      </w:r>
      <w:r w:rsidRPr="00987C41">
        <w:rPr>
          <w:rFonts w:eastAsia="Aptos"/>
          <w:kern w:val="2"/>
        </w:rPr>
        <w:t xml:space="preserve">mensilità (1° gennaio-30 giugno 2027) a tempo pieno in comando risulta </w:t>
      </w:r>
      <w:r w:rsidRPr="0078247A" w:rsidR="00537F95">
        <w:rPr>
          <w:rFonts w:eastAsia="Aptos"/>
          <w:b/>
          <w:bCs/>
        </w:rPr>
        <w:t>3.494,61</w:t>
      </w:r>
      <w:r w:rsidRPr="0078247A" w:rsidR="00537F95">
        <w:rPr>
          <w:rFonts w:eastAsia="Aptos"/>
        </w:rPr>
        <w:t xml:space="preserve"> </w:t>
      </w:r>
      <w:r w:rsidRPr="00987C41">
        <w:rPr>
          <w:rFonts w:eastAsia="Aptos"/>
          <w:kern w:val="2"/>
        </w:rPr>
        <w:t xml:space="preserve">* 70 * </w:t>
      </w:r>
      <w:r w:rsidRPr="00537F95" w:rsidR="00537F95">
        <w:rPr>
          <w:rFonts w:eastAsia="Aptos"/>
          <w:b/>
          <w:bCs/>
          <w:kern w:val="2"/>
        </w:rPr>
        <w:t>6</w:t>
      </w:r>
      <w:r w:rsidR="00537F95">
        <w:rPr>
          <w:rFonts w:eastAsia="Aptos"/>
          <w:kern w:val="2"/>
        </w:rPr>
        <w:t xml:space="preserve"> </w:t>
      </w:r>
      <w:r w:rsidRPr="00987C41">
        <w:rPr>
          <w:rFonts w:eastAsia="Aptos"/>
          <w:kern w:val="2"/>
        </w:rPr>
        <w:t xml:space="preserve">= </w:t>
      </w:r>
      <w:r w:rsidRPr="0078247A" w:rsidR="00E111A4">
        <w:rPr>
          <w:rFonts w:eastAsia="Aptos"/>
          <w:b/>
          <w:bCs/>
        </w:rPr>
        <w:t>1.467.736,20 (da arrotondare a 1.467.737,00)</w:t>
      </w:r>
      <w:r w:rsidRPr="00987C41">
        <w:rPr>
          <w:rFonts w:eastAsia="Aptos"/>
          <w:kern w:val="2"/>
        </w:rPr>
        <w:t>.</w:t>
      </w:r>
    </w:p>
    <w:p w:rsidR="002A3CA1" w:rsidRPr="00987C41" w:rsidP="00987C41" w14:paraId="6987F3F6" w14:textId="3A2848A3">
      <w:pPr>
        <w:spacing w:after="120"/>
        <w:jc w:val="both"/>
        <w:rPr>
          <w:rFonts w:eastAsia="Aptos"/>
          <w:kern w:val="2"/>
        </w:rPr>
      </w:pPr>
      <w:r w:rsidRPr="00987C41">
        <w:rPr>
          <w:rFonts w:eastAsia="Aptos"/>
          <w:kern w:val="2"/>
        </w:rPr>
        <w:t>Per la copertura si provvede mediante corrispondente riduzione, per gli anni 2026</w:t>
      </w:r>
      <w:r w:rsidR="00E111A4">
        <w:rPr>
          <w:rFonts w:eastAsia="Aptos"/>
          <w:kern w:val="2"/>
        </w:rPr>
        <w:t xml:space="preserve"> </w:t>
      </w:r>
      <w:r w:rsidRPr="00E111A4" w:rsidR="00E111A4">
        <w:rPr>
          <w:rFonts w:eastAsia="Aptos"/>
          <w:b/>
          <w:bCs/>
          <w:kern w:val="2"/>
        </w:rPr>
        <w:t>e</w:t>
      </w:r>
      <w:r w:rsidR="00E111A4">
        <w:rPr>
          <w:rFonts w:eastAsia="Aptos"/>
          <w:b/>
          <w:bCs/>
          <w:kern w:val="2"/>
        </w:rPr>
        <w:t xml:space="preserve"> </w:t>
      </w:r>
      <w:r w:rsidRPr="00987C41">
        <w:rPr>
          <w:rFonts w:eastAsia="Aptos"/>
          <w:kern w:val="2"/>
        </w:rPr>
        <w:t xml:space="preserve">2027 dell’autorizzazione di spesa di cui all’articolo 1, comma 62, secondo periodo, della legge 13 luglio 2015, n. 107, nella misura di ulteriori euro </w:t>
      </w:r>
      <w:r w:rsidRPr="0078247A" w:rsidR="00780BA2">
        <w:rPr>
          <w:rFonts w:eastAsia="Aptos"/>
          <w:b/>
          <w:bCs/>
        </w:rPr>
        <w:t xml:space="preserve">978.491,00 </w:t>
      </w:r>
      <w:r w:rsidRPr="00987C41">
        <w:rPr>
          <w:rFonts w:eastAsia="Aptos"/>
          <w:kern w:val="2"/>
        </w:rPr>
        <w:t xml:space="preserve">per l’anno 2026 </w:t>
      </w:r>
      <w:r w:rsidRPr="00822D29" w:rsidR="00822D29">
        <w:rPr>
          <w:rFonts w:eastAsia="Aptos"/>
          <w:b/>
          <w:bCs/>
          <w:kern w:val="2"/>
        </w:rPr>
        <w:t>e</w:t>
      </w:r>
      <w:r w:rsidR="00822D29">
        <w:rPr>
          <w:rFonts w:eastAsia="Aptos"/>
          <w:kern w:val="2"/>
        </w:rPr>
        <w:t xml:space="preserve"> </w:t>
      </w:r>
      <w:r w:rsidRPr="00987C41">
        <w:rPr>
          <w:rFonts w:eastAsia="Aptos"/>
          <w:kern w:val="2"/>
        </w:rPr>
        <w:t xml:space="preserve">di euro </w:t>
      </w:r>
      <w:r w:rsidRPr="0078247A" w:rsidR="00610380">
        <w:rPr>
          <w:rFonts w:eastAsia="Aptos"/>
          <w:b/>
          <w:bCs/>
        </w:rPr>
        <w:t xml:space="preserve">1.467.737,00 </w:t>
      </w:r>
      <w:r w:rsidRPr="00987C41">
        <w:rPr>
          <w:rFonts w:eastAsia="Aptos"/>
          <w:kern w:val="2"/>
        </w:rPr>
        <w:t>per l’anno 2027.</w:t>
      </w:r>
    </w:p>
    <w:p w:rsidR="002A3CA1" w:rsidRPr="00987C41" w:rsidP="00987C41" w14:paraId="1FA720AD" w14:textId="77777777">
      <w:pPr>
        <w:spacing w:after="120"/>
        <w:jc w:val="both"/>
        <w:rPr>
          <w:rFonts w:eastAsia="Aptos"/>
          <w:kern w:val="2"/>
        </w:rPr>
      </w:pPr>
      <w:r w:rsidRPr="00987C41">
        <w:rPr>
          <w:rFonts w:eastAsia="Aptos"/>
          <w:kern w:val="2"/>
        </w:rPr>
        <w:t>Tali risorse sono iscritte sul capitolo 4007, piano gestionale 1, del bilancio del Ministero dell’istruzione e del merito.</w:t>
      </w:r>
    </w:p>
    <w:p w:rsidR="002A3CA1" w:rsidRPr="004C0693" w:rsidP="00987C41" w14:paraId="699D4D6F" w14:textId="443CAC57">
      <w:pPr>
        <w:spacing w:after="120"/>
        <w:jc w:val="both"/>
        <w:rPr>
          <w:rFonts w:eastAsia="Aptos"/>
          <w:b/>
          <w:bCs/>
          <w:color w:val="FF0000"/>
          <w:kern w:val="2"/>
        </w:rPr>
      </w:pPr>
      <w:r w:rsidRPr="00987C41">
        <w:rPr>
          <w:rFonts w:eastAsia="Aptos"/>
          <w:bCs/>
          <w:kern w:val="2"/>
        </w:rPr>
        <w:t>Il</w:t>
      </w:r>
      <w:r w:rsidRPr="00987C41">
        <w:rPr>
          <w:rFonts w:eastAsia="Aptos"/>
          <w:b/>
          <w:kern w:val="2"/>
        </w:rPr>
        <w:t xml:space="preserve"> comma 1, lettera a), </w:t>
      </w:r>
      <w:r w:rsidRPr="00695E0D">
        <w:rPr>
          <w:rFonts w:eastAsia="Aptos"/>
          <w:b/>
          <w:kern w:val="2"/>
          <w:u w:val="single"/>
        </w:rPr>
        <w:t>numero 2</w:t>
      </w:r>
      <w:r w:rsidRPr="00987C41">
        <w:rPr>
          <w:rFonts w:eastAsia="Aptos"/>
          <w:kern w:val="2"/>
        </w:rPr>
        <w:t xml:space="preserve"> </w:t>
      </w:r>
      <w:r w:rsidRPr="004C0693" w:rsidR="004C0693">
        <w:rPr>
          <w:rFonts w:eastAsia="Aptos"/>
          <w:b/>
          <w:bCs/>
          <w:kern w:val="2"/>
        </w:rPr>
        <w:t>interviene sul comma 5 del citato articolo 47 del decreto-legge n. 36 del 2022, prevedendo che le risorse già utilizzate per i progetti in essere siano vincolate fino all’anno 2027, al fine di garantire una maggiore flessibilità nell’utilizzo delle risorse nazionali per i progetti in essere e per consentire anche pagamenti successivi alla scadenza del PNRR per la parte a valere sui fondi nazionali per i progetti in essere, oltre che per avere una possibile disponibilità di risorse a fronte di situazioni gravi di mancato completamento degli interventi per garantire il diritto allo studio. La disposizione si limita a prorogare, dunque, la disposizione che destinare risorse già esistenti in bilancio, e nei limiti delle stesse disponibilità, ai progetti in essere del PNRR già autorizzati per qualunque necessità ai fini della conclusione degli interventi. La disposizione, pertanto non comporta nuovi o maggiori oneri a carico della finanza pubblica</w:t>
      </w:r>
      <w:r w:rsidR="004C0693">
        <w:rPr>
          <w:rFonts w:eastAsia="Aptos"/>
          <w:b/>
          <w:bCs/>
          <w:kern w:val="2"/>
        </w:rPr>
        <w:t>.</w:t>
      </w:r>
    </w:p>
    <w:p w:rsidR="002A3CA1" w:rsidRPr="00987C41" w:rsidP="00987C41" w14:paraId="59D8B7E8" w14:textId="29583F9A">
      <w:pPr>
        <w:spacing w:after="120"/>
        <w:jc w:val="both"/>
        <w:rPr>
          <w:rFonts w:eastAsia="Aptos"/>
          <w:kern w:val="2"/>
        </w:rPr>
      </w:pPr>
      <w:r w:rsidRPr="00987C41">
        <w:rPr>
          <w:rFonts w:eastAsia="Aptos"/>
          <w:bCs/>
          <w:kern w:val="2"/>
        </w:rPr>
        <w:t>Al</w:t>
      </w:r>
      <w:r w:rsidRPr="00987C41">
        <w:rPr>
          <w:rFonts w:eastAsia="Aptos"/>
          <w:kern w:val="2"/>
        </w:rPr>
        <w:t xml:space="preserve"> </w:t>
      </w:r>
      <w:r w:rsidRPr="00987C41">
        <w:rPr>
          <w:rFonts w:eastAsia="Aptos"/>
          <w:b/>
          <w:kern w:val="2"/>
        </w:rPr>
        <w:t xml:space="preserve">comma 1, </w:t>
      </w:r>
      <w:r w:rsidRPr="00695E0D">
        <w:rPr>
          <w:rFonts w:eastAsia="Aptos"/>
          <w:b/>
          <w:kern w:val="2"/>
          <w:u w:val="single"/>
        </w:rPr>
        <w:t>lettera b)</w:t>
      </w:r>
      <w:r w:rsidRPr="00695E0D">
        <w:rPr>
          <w:rFonts w:eastAsia="Aptos"/>
          <w:kern w:val="2"/>
          <w:u w:val="single"/>
        </w:rPr>
        <w:t>,</w:t>
      </w:r>
      <w:r w:rsidRPr="00987C41">
        <w:rPr>
          <w:rFonts w:eastAsia="Aptos"/>
          <w:kern w:val="2"/>
        </w:rPr>
        <w:t xml:space="preserve"> si prevede una estensione anche delle équipe formative territoriali per il loro ruolo di supporto alla formazione del personale scolastico nell’ambito del PNRR, fino all’anno scolastico </w:t>
      </w:r>
      <w:r w:rsidRPr="0078247A" w:rsidR="00BF68E3">
        <w:rPr>
          <w:rFonts w:eastAsia="Aptos"/>
          <w:b/>
          <w:bCs/>
        </w:rPr>
        <w:t>2026-2027</w:t>
      </w:r>
      <w:r w:rsidRPr="00987C41">
        <w:rPr>
          <w:rFonts w:eastAsia="Aptos"/>
          <w:kern w:val="2"/>
        </w:rPr>
        <w:t>.</w:t>
      </w:r>
      <w:r w:rsidRPr="00987C41" w:rsidR="00FF70D4">
        <w:rPr>
          <w:rFonts w:eastAsia="Aptos"/>
          <w:kern w:val="2"/>
        </w:rPr>
        <w:t xml:space="preserve"> </w:t>
      </w:r>
      <w:r w:rsidRPr="00987C41">
        <w:rPr>
          <w:rFonts w:eastAsia="Aptos"/>
          <w:kern w:val="2"/>
        </w:rPr>
        <w:t>L</w:t>
      </w:r>
      <w:r w:rsidRPr="00987C41">
        <w:rPr>
          <w:rFonts w:eastAsia="Aptos"/>
          <w:kern w:val="2"/>
        </w:rPr>
        <w:t>’estensione</w:t>
      </w:r>
      <w:r w:rsidRPr="00987C41">
        <w:rPr>
          <w:rFonts w:eastAsia="Aptos"/>
          <w:kern w:val="2"/>
        </w:rPr>
        <w:t xml:space="preserve"> in numero di 120 unità di docenti, di cui 20 in comando presso l’Amministrazione centrale e presso gli Uffici scolastici regionali e 100 in esonero dal servizio, comporta maggiori oneri</w:t>
      </w:r>
      <w:r w:rsidR="001E1099">
        <w:rPr>
          <w:rFonts w:eastAsia="Aptos"/>
          <w:kern w:val="2"/>
        </w:rPr>
        <w:t xml:space="preserve"> </w:t>
      </w:r>
      <w:r w:rsidRPr="00987C41">
        <w:rPr>
          <w:rFonts w:eastAsia="Aptos"/>
          <w:kern w:val="2"/>
        </w:rPr>
        <w:t xml:space="preserve">pari a euro </w:t>
      </w:r>
      <w:r w:rsidRPr="0078247A" w:rsidR="000B3925">
        <w:rPr>
          <w:rFonts w:eastAsia="Aptos"/>
          <w:b/>
          <w:bCs/>
        </w:rPr>
        <w:t xml:space="preserve">1.677.413,00 </w:t>
      </w:r>
      <w:r w:rsidRPr="00987C41">
        <w:rPr>
          <w:rFonts w:eastAsia="Aptos"/>
          <w:kern w:val="2"/>
        </w:rPr>
        <w:t>per l’anno 2026</w:t>
      </w:r>
      <w:r w:rsidRPr="00746F04" w:rsidR="00746F04">
        <w:rPr>
          <w:rFonts w:eastAsia="Aptos"/>
          <w:kern w:val="2"/>
        </w:rPr>
        <w:t xml:space="preserve"> </w:t>
      </w:r>
      <w:r w:rsidRPr="00C561F7" w:rsidR="00C561F7">
        <w:rPr>
          <w:rFonts w:eastAsia="Aptos"/>
          <w:b/>
          <w:bCs/>
          <w:kern w:val="2"/>
        </w:rPr>
        <w:t>e ad</w:t>
      </w:r>
      <w:r w:rsidR="00C561F7">
        <w:rPr>
          <w:rFonts w:eastAsia="Aptos"/>
          <w:kern w:val="2"/>
        </w:rPr>
        <w:t xml:space="preserve"> </w:t>
      </w:r>
      <w:r w:rsidRPr="00987C41">
        <w:rPr>
          <w:rFonts w:eastAsia="Aptos"/>
          <w:kern w:val="2"/>
        </w:rPr>
        <w:t xml:space="preserve">euro </w:t>
      </w:r>
      <w:r w:rsidRPr="0078247A" w:rsidR="001208BD">
        <w:rPr>
          <w:rFonts w:eastAsia="Aptos"/>
          <w:b/>
          <w:bCs/>
        </w:rPr>
        <w:t>2.516.120,00</w:t>
      </w:r>
      <w:r w:rsidRPr="0078247A" w:rsidR="001208BD">
        <w:rPr>
          <w:rFonts w:eastAsia="Aptos"/>
        </w:rPr>
        <w:t xml:space="preserve"> </w:t>
      </w:r>
      <w:r w:rsidRPr="00987C41">
        <w:rPr>
          <w:rFonts w:eastAsia="Aptos"/>
          <w:kern w:val="2"/>
        </w:rPr>
        <w:t>per l’anno 2027, cui si provvede</w:t>
      </w:r>
      <w:r w:rsidR="00B33569">
        <w:rPr>
          <w:rFonts w:eastAsia="Aptos"/>
          <w:kern w:val="2"/>
        </w:rPr>
        <w:t xml:space="preserve">, </w:t>
      </w:r>
      <w:r w:rsidRPr="00987C41" w:rsidR="001E1099">
        <w:rPr>
          <w:rFonts w:eastAsia="Aptos"/>
          <w:kern w:val="2"/>
        </w:rPr>
        <w:t xml:space="preserve">come previsto </w:t>
      </w:r>
      <w:r w:rsidRPr="004E7D8A" w:rsidR="001E1099">
        <w:rPr>
          <w:rFonts w:eastAsia="Aptos"/>
          <w:kern w:val="2"/>
          <w:u w:val="single"/>
        </w:rPr>
        <w:t xml:space="preserve">dal </w:t>
      </w:r>
      <w:r w:rsidRPr="004E7D8A" w:rsidR="001E1099">
        <w:rPr>
          <w:rFonts w:eastAsia="Aptos"/>
          <w:b/>
          <w:kern w:val="2"/>
          <w:u w:val="single"/>
        </w:rPr>
        <w:t>comma 2</w:t>
      </w:r>
      <w:r w:rsidRPr="004E7D8A" w:rsidR="00B33569">
        <w:rPr>
          <w:rFonts w:eastAsia="Aptos"/>
          <w:b/>
          <w:kern w:val="2"/>
          <w:u w:val="single"/>
        </w:rPr>
        <w:t>,</w:t>
      </w:r>
      <w:r w:rsidR="00B33569">
        <w:rPr>
          <w:rFonts w:eastAsia="Aptos"/>
          <w:b/>
          <w:kern w:val="2"/>
        </w:rPr>
        <w:t xml:space="preserve"> </w:t>
      </w:r>
      <w:r w:rsidRPr="00987C41">
        <w:rPr>
          <w:rFonts w:eastAsia="Aptos"/>
          <w:kern w:val="2"/>
        </w:rPr>
        <w:t>mediante corrispondente riduzione, per gli anni 202</w:t>
      </w:r>
      <w:r w:rsidR="004E7D8A">
        <w:rPr>
          <w:rFonts w:eastAsia="Aptos"/>
          <w:kern w:val="2"/>
        </w:rPr>
        <w:t>6</w:t>
      </w:r>
      <w:r w:rsidRPr="00987C41">
        <w:rPr>
          <w:rFonts w:eastAsia="Aptos"/>
          <w:kern w:val="2"/>
        </w:rPr>
        <w:t xml:space="preserve"> </w:t>
      </w:r>
      <w:r w:rsidRPr="001208BD" w:rsidR="001208BD">
        <w:rPr>
          <w:rFonts w:eastAsia="Aptos"/>
          <w:b/>
          <w:bCs/>
          <w:kern w:val="2"/>
        </w:rPr>
        <w:t>e</w:t>
      </w:r>
      <w:r w:rsidR="001208BD">
        <w:rPr>
          <w:rFonts w:eastAsia="Aptos"/>
          <w:kern w:val="2"/>
        </w:rPr>
        <w:t xml:space="preserve"> </w:t>
      </w:r>
      <w:r w:rsidRPr="00987C41">
        <w:rPr>
          <w:rFonts w:eastAsia="Aptos"/>
          <w:kern w:val="2"/>
        </w:rPr>
        <w:t>2027</w:t>
      </w:r>
      <w:r w:rsidRPr="004E7D8A" w:rsidR="004E7D8A">
        <w:rPr>
          <w:rFonts w:eastAsia="Aptos"/>
          <w:kern w:val="2"/>
        </w:rPr>
        <w:t>,</w:t>
      </w:r>
      <w:r w:rsidRPr="004E7D8A">
        <w:rPr>
          <w:rFonts w:eastAsia="Aptos"/>
          <w:kern w:val="2"/>
        </w:rPr>
        <w:t xml:space="preserve"> </w:t>
      </w:r>
      <w:r w:rsidRPr="00987C41">
        <w:rPr>
          <w:rFonts w:eastAsia="Aptos"/>
          <w:kern w:val="2"/>
        </w:rPr>
        <w:t>dell’autorizzazione di spesa di cui all'articolo 1, comma 62, secondo periodo, della legge 13 luglio 2015, n. 107.</w:t>
      </w:r>
    </w:p>
    <w:p w:rsidR="002A3CA1" w:rsidRPr="00987C41" w:rsidP="00987C41" w14:paraId="6A1428B4" w14:textId="77777777">
      <w:pPr>
        <w:spacing w:after="120"/>
        <w:jc w:val="both"/>
        <w:rPr>
          <w:rFonts w:eastAsia="Aptos"/>
          <w:kern w:val="2"/>
        </w:rPr>
      </w:pPr>
      <w:r w:rsidRPr="00987C41">
        <w:rPr>
          <w:rFonts w:eastAsia="Aptos"/>
          <w:kern w:val="2"/>
        </w:rPr>
        <w:t>Il calcolo è stato effettuato tenendo conto dei parametri stipendiali dei docenti.</w:t>
      </w:r>
    </w:p>
    <w:p w:rsidR="002A3CA1" w:rsidRPr="00987C41" w:rsidP="00987C41" w14:paraId="2A7B13A0" w14:textId="77777777">
      <w:pPr>
        <w:spacing w:after="120"/>
        <w:jc w:val="both"/>
        <w:rPr>
          <w:rFonts w:eastAsia="Aptos"/>
          <w:kern w:val="2"/>
        </w:rPr>
      </w:pPr>
    </w:p>
    <w:p w:rsidR="00D577DA" w:rsidP="00987C41" w14:paraId="5684AB1F" w14:textId="3AA5B51B">
      <w:pPr>
        <w:spacing w:after="120"/>
        <w:jc w:val="both"/>
        <w:rPr>
          <w:rFonts w:eastAsia="Aptos"/>
          <w:kern w:val="2"/>
        </w:rPr>
      </w:pPr>
      <w:r w:rsidRPr="0078247A">
        <w:rPr>
          <w:noProof/>
        </w:rPr>
        <w:drawing>
          <wp:inline distT="0" distB="0" distL="0" distR="0">
            <wp:extent cx="6120130" cy="962108"/>
            <wp:effectExtent l="0" t="0" r="0" b="9525"/>
            <wp:docPr id="178108288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82889" name="Picture 1"/>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6135" cy="963052"/>
                    </a:xfrm>
                    <a:prstGeom prst="rect">
                      <a:avLst/>
                    </a:prstGeom>
                    <a:noFill/>
                    <a:ln>
                      <a:noFill/>
                    </a:ln>
                  </pic:spPr>
                </pic:pic>
              </a:graphicData>
            </a:graphic>
          </wp:inline>
        </w:drawing>
      </w:r>
    </w:p>
    <w:p w:rsidR="002A3CA1" w:rsidRPr="00987C41" w:rsidP="00987C41" w14:paraId="4EACA037" w14:textId="7112E18F">
      <w:pPr>
        <w:spacing w:after="120"/>
        <w:jc w:val="both"/>
        <w:rPr>
          <w:rFonts w:eastAsia="Aptos"/>
          <w:kern w:val="2"/>
        </w:rPr>
      </w:pPr>
      <w:r w:rsidRPr="00987C41">
        <w:rPr>
          <w:rFonts w:eastAsia="Aptos"/>
          <w:kern w:val="2"/>
        </w:rPr>
        <w:t xml:space="preserve">Sulla base della tabella sopra riportata con i parametri stipendiali aggiornati </w:t>
      </w:r>
      <w:r w:rsidRPr="0078247A" w:rsidR="002E4DCF">
        <w:rPr>
          <w:rFonts w:eastAsia="Aptos"/>
          <w:b/>
          <w:bCs/>
        </w:rPr>
        <w:t xml:space="preserve">con una proiezione anche per i rinnovi contrattuali del triennio del 2025/2027 </w:t>
      </w:r>
      <w:r w:rsidRPr="00987C41">
        <w:rPr>
          <w:rFonts w:eastAsia="Aptos"/>
          <w:kern w:val="2"/>
        </w:rPr>
        <w:t>(</w:t>
      </w:r>
      <w:r w:rsidRPr="0078247A" w:rsidR="00DB0175">
        <w:rPr>
          <w:rFonts w:eastAsia="Aptos"/>
          <w:b/>
          <w:bCs/>
        </w:rPr>
        <w:t xml:space="preserve">3.494,61 </w:t>
      </w:r>
      <w:r w:rsidRPr="00987C41">
        <w:rPr>
          <w:rFonts w:eastAsia="Aptos"/>
          <w:kern w:val="2"/>
        </w:rPr>
        <w:t>euro</w:t>
      </w:r>
      <w:r w:rsidR="00DB0175">
        <w:rPr>
          <w:rFonts w:eastAsia="Aptos"/>
          <w:kern w:val="2"/>
        </w:rPr>
        <w:t xml:space="preserve"> </w:t>
      </w:r>
      <w:r w:rsidRPr="00DB0175" w:rsidR="00DB0175">
        <w:rPr>
          <w:rFonts w:eastAsia="Aptos"/>
          <w:b/>
          <w:bCs/>
          <w:kern w:val="2"/>
        </w:rPr>
        <w:t>mensili</w:t>
      </w:r>
      <w:r w:rsidRPr="00987C41">
        <w:rPr>
          <w:rFonts w:eastAsia="Aptos"/>
          <w:kern w:val="2"/>
        </w:rPr>
        <w:t xml:space="preserve"> lordo Stato), si è proceduto a calcolare gli importi delle supplenze e a quantificare i relativi oneri per un numero complessivo di 120 docenti.</w:t>
      </w:r>
    </w:p>
    <w:p w:rsidR="002A3CA1" w:rsidRPr="00987C41" w:rsidP="00987C41" w14:paraId="4F8B3592" w14:textId="4A97A68F">
      <w:pPr>
        <w:spacing w:after="120"/>
        <w:jc w:val="both"/>
        <w:rPr>
          <w:rFonts w:eastAsia="Aptos"/>
          <w:kern w:val="2"/>
        </w:rPr>
      </w:pPr>
      <w:r w:rsidRPr="00987C41">
        <w:rPr>
          <w:rFonts w:eastAsia="Aptos"/>
          <w:kern w:val="2"/>
        </w:rPr>
        <w:t xml:space="preserve">Anche in questo caso, si è proceduto a una stima prudenziale e, pertanto, è stato preso in considerazione l’importo mensile dei docenti delle scuole secondarie di secondo grado, più alto rispetto a quello dell’infanzia e del primo ciclo, nella fascia più bassa che spetta ai supplenti, incrementato con gli ultimi adeguamenti contrattuali che individuano il trattamento economico mensile, da prendere come riferimento, in euro </w:t>
      </w:r>
      <w:r w:rsidRPr="0078247A" w:rsidR="00766205">
        <w:rPr>
          <w:rFonts w:eastAsia="Aptos"/>
          <w:b/>
          <w:bCs/>
        </w:rPr>
        <w:t>3.494,61</w:t>
      </w:r>
      <w:r w:rsidRPr="00987C41">
        <w:rPr>
          <w:rFonts w:eastAsia="Aptos"/>
          <w:kern w:val="2"/>
        </w:rPr>
        <w:t>.</w:t>
      </w:r>
    </w:p>
    <w:p w:rsidR="002A3CA1" w:rsidRPr="00987C41" w:rsidP="00987C41" w14:paraId="2A9308D8" w14:textId="740E9A2B">
      <w:pPr>
        <w:spacing w:after="120"/>
        <w:jc w:val="both"/>
        <w:rPr>
          <w:rFonts w:eastAsia="Aptos"/>
          <w:kern w:val="2"/>
        </w:rPr>
      </w:pPr>
      <w:r w:rsidRPr="00987C41">
        <w:rPr>
          <w:rFonts w:eastAsia="Aptos"/>
          <w:kern w:val="2"/>
        </w:rPr>
        <w:t>In questo modo, per l’anno 2026, trattandosi di 4 mensilità residue (1° settembre-31 dicembre 2026) a tempo pieno in comando risulta</w:t>
      </w:r>
      <w:r w:rsidR="007F220E">
        <w:rPr>
          <w:rFonts w:eastAsia="Aptos"/>
          <w:kern w:val="2"/>
        </w:rPr>
        <w:t xml:space="preserve"> </w:t>
      </w:r>
      <w:r w:rsidRPr="0078247A" w:rsidR="00E843AC">
        <w:rPr>
          <w:rFonts w:eastAsia="Aptos"/>
          <w:b/>
          <w:bCs/>
        </w:rPr>
        <w:t xml:space="preserve">3.494,61 </w:t>
      </w:r>
      <w:r w:rsidRPr="00987C41">
        <w:rPr>
          <w:rFonts w:eastAsia="Aptos"/>
          <w:kern w:val="2"/>
        </w:rPr>
        <w:t xml:space="preserve">* 120 * 4 = </w:t>
      </w:r>
      <w:r w:rsidRPr="0078247A" w:rsidR="00B966A1">
        <w:rPr>
          <w:rFonts w:eastAsia="Aptos"/>
          <w:b/>
          <w:bCs/>
        </w:rPr>
        <w:t>1.677.412,80</w:t>
      </w:r>
      <w:r w:rsidRPr="0078247A" w:rsidR="00B966A1">
        <w:rPr>
          <w:rFonts w:eastAsia="Aptos"/>
        </w:rPr>
        <w:t xml:space="preserve"> </w:t>
      </w:r>
      <w:r w:rsidRPr="00987C41">
        <w:rPr>
          <w:rFonts w:eastAsia="Aptos"/>
          <w:kern w:val="2"/>
        </w:rPr>
        <w:t xml:space="preserve">(da arrotondare a </w:t>
      </w:r>
      <w:r w:rsidRPr="0078247A" w:rsidR="007A52C4">
        <w:rPr>
          <w:rFonts w:eastAsia="Aptos"/>
          <w:b/>
          <w:bCs/>
        </w:rPr>
        <w:t>1.677.413,00</w:t>
      </w:r>
      <w:r w:rsidRPr="00987C41">
        <w:rPr>
          <w:rFonts w:eastAsia="Aptos"/>
          <w:kern w:val="2"/>
        </w:rPr>
        <w:t>), quale quota ulteriore rispetto allo stanziamento già coperto per i primi 6 mesi.</w:t>
      </w:r>
    </w:p>
    <w:p w:rsidR="002A3CA1" w:rsidRPr="00987C41" w:rsidP="00987C41" w14:paraId="65C70209" w14:textId="129A42E4">
      <w:pPr>
        <w:spacing w:after="120"/>
        <w:jc w:val="both"/>
        <w:rPr>
          <w:rFonts w:eastAsia="Aptos"/>
          <w:kern w:val="2"/>
        </w:rPr>
      </w:pPr>
      <w:r w:rsidRPr="00987C41">
        <w:rPr>
          <w:rFonts w:eastAsia="Aptos"/>
          <w:kern w:val="2"/>
        </w:rPr>
        <w:t xml:space="preserve">Per l’anno 2027, trattandosi di </w:t>
      </w:r>
      <w:r w:rsidRPr="007A52C4" w:rsidR="007A52C4">
        <w:rPr>
          <w:rFonts w:eastAsia="Aptos"/>
          <w:b/>
          <w:bCs/>
          <w:kern w:val="2"/>
        </w:rPr>
        <w:t>6</w:t>
      </w:r>
      <w:r w:rsidR="007A52C4">
        <w:rPr>
          <w:rFonts w:eastAsia="Aptos"/>
          <w:kern w:val="2"/>
        </w:rPr>
        <w:t xml:space="preserve"> </w:t>
      </w:r>
      <w:r w:rsidRPr="00987C41">
        <w:rPr>
          <w:rFonts w:eastAsia="Aptos"/>
          <w:kern w:val="2"/>
        </w:rPr>
        <w:t xml:space="preserve">mensilità (1° gennaio-30 giugno 2027) a tempo pieno in comando risulta </w:t>
      </w:r>
      <w:r w:rsidRPr="0078247A" w:rsidR="00C962EF">
        <w:rPr>
          <w:rFonts w:eastAsia="Aptos"/>
          <w:b/>
          <w:bCs/>
        </w:rPr>
        <w:t>3.494,61</w:t>
      </w:r>
      <w:r w:rsidRPr="00987C41">
        <w:rPr>
          <w:rFonts w:eastAsia="Aptos"/>
          <w:kern w:val="2"/>
        </w:rPr>
        <w:t xml:space="preserve">* 120 * </w:t>
      </w:r>
      <w:r w:rsidRPr="005C50AB" w:rsidR="005C50AB">
        <w:rPr>
          <w:rFonts w:eastAsia="Aptos"/>
          <w:b/>
          <w:bCs/>
          <w:kern w:val="2"/>
        </w:rPr>
        <w:t>6</w:t>
      </w:r>
      <w:r w:rsidR="005C50AB">
        <w:rPr>
          <w:rFonts w:eastAsia="Aptos"/>
          <w:kern w:val="2"/>
        </w:rPr>
        <w:t xml:space="preserve"> </w:t>
      </w:r>
      <w:r w:rsidRPr="00987C41">
        <w:rPr>
          <w:rFonts w:eastAsia="Aptos"/>
          <w:kern w:val="2"/>
        </w:rPr>
        <w:t xml:space="preserve">= </w:t>
      </w:r>
      <w:r w:rsidRPr="0078247A" w:rsidR="00DD40A2">
        <w:rPr>
          <w:b/>
          <w:bCs/>
        </w:rPr>
        <w:t>2.516.119,20 (da arrotondare a 2.516.120</w:t>
      </w:r>
      <w:r w:rsidRPr="0078247A" w:rsidR="00DD40A2">
        <w:rPr>
          <w:rFonts w:eastAsia="Aptos"/>
          <w:b/>
        </w:rPr>
        <w:t>,00</w:t>
      </w:r>
      <w:r w:rsidRPr="0078247A" w:rsidR="00DD40A2">
        <w:rPr>
          <w:b/>
          <w:bCs/>
        </w:rPr>
        <w:t>)</w:t>
      </w:r>
      <w:r w:rsidRPr="0078247A" w:rsidR="00DD40A2">
        <w:rPr>
          <w:rFonts w:eastAsia="Aptos"/>
          <w:b/>
          <w:bCs/>
        </w:rPr>
        <w:t>.</w:t>
      </w:r>
    </w:p>
    <w:p w:rsidR="002A3CA1" w:rsidRPr="00987C41" w:rsidP="00987C41" w14:paraId="60D92212" w14:textId="2C3D400F">
      <w:pPr>
        <w:spacing w:after="120"/>
        <w:jc w:val="both"/>
        <w:rPr>
          <w:rFonts w:eastAsia="Aptos"/>
          <w:kern w:val="2"/>
        </w:rPr>
      </w:pPr>
      <w:r w:rsidRPr="00987C41">
        <w:rPr>
          <w:rFonts w:eastAsia="Aptos"/>
          <w:kern w:val="2"/>
        </w:rPr>
        <w:t>Per la copertura si provvede mediante corrispondente riduzione, per gli anni 2026</w:t>
      </w:r>
      <w:r w:rsidRPr="000845E3" w:rsidR="000845E3">
        <w:rPr>
          <w:rFonts w:eastAsia="Aptos"/>
          <w:kern w:val="2"/>
        </w:rPr>
        <w:t xml:space="preserve"> </w:t>
      </w:r>
      <w:r w:rsidRPr="005C520E" w:rsidR="005C520E">
        <w:rPr>
          <w:rFonts w:eastAsia="Aptos"/>
          <w:b/>
          <w:bCs/>
          <w:kern w:val="2"/>
        </w:rPr>
        <w:t>e</w:t>
      </w:r>
      <w:r w:rsidR="005C520E">
        <w:rPr>
          <w:rFonts w:eastAsia="Aptos"/>
          <w:kern w:val="2"/>
        </w:rPr>
        <w:t xml:space="preserve"> </w:t>
      </w:r>
      <w:r w:rsidRPr="00987C41">
        <w:rPr>
          <w:rFonts w:eastAsia="Aptos"/>
          <w:kern w:val="2"/>
        </w:rPr>
        <w:t xml:space="preserve">2027 dell’autorizzazione di spesa di cui all’articolo 1, comma 62, secondo periodo, della legge 13 luglio 2015, n. 107, nella misura di ulteriori euro </w:t>
      </w:r>
      <w:r w:rsidRPr="0078247A" w:rsidR="00B65D20">
        <w:rPr>
          <w:rFonts w:eastAsia="Aptos"/>
          <w:b/>
          <w:bCs/>
        </w:rPr>
        <w:t>1.677.413,00</w:t>
      </w:r>
      <w:r w:rsidRPr="0078247A" w:rsidR="00B65D20">
        <w:rPr>
          <w:rFonts w:eastAsia="Aptos"/>
        </w:rPr>
        <w:t xml:space="preserve"> </w:t>
      </w:r>
      <w:r w:rsidRPr="00987C41">
        <w:rPr>
          <w:rFonts w:eastAsia="Aptos"/>
          <w:kern w:val="2"/>
        </w:rPr>
        <w:t xml:space="preserve">per l’anno 2026 </w:t>
      </w:r>
      <w:r w:rsidRPr="00B65D20" w:rsidR="00B65D20">
        <w:rPr>
          <w:rFonts w:eastAsia="Aptos"/>
          <w:b/>
          <w:bCs/>
          <w:kern w:val="2"/>
        </w:rPr>
        <w:t>e</w:t>
      </w:r>
      <w:r w:rsidR="00B65D20">
        <w:rPr>
          <w:rFonts w:eastAsia="Aptos"/>
          <w:kern w:val="2"/>
        </w:rPr>
        <w:t xml:space="preserve"> </w:t>
      </w:r>
      <w:r w:rsidRPr="00987C41">
        <w:rPr>
          <w:rFonts w:eastAsia="Aptos"/>
          <w:kern w:val="2"/>
        </w:rPr>
        <w:t xml:space="preserve">di euro </w:t>
      </w:r>
      <w:r w:rsidR="00105488">
        <w:rPr>
          <w:rFonts w:eastAsia="Aptos"/>
          <w:b/>
          <w:bCs/>
          <w:kern w:val="2"/>
        </w:rPr>
        <w:t>2.</w:t>
      </w:r>
      <w:r w:rsidRPr="0078247A" w:rsidR="00105488">
        <w:rPr>
          <w:b/>
          <w:bCs/>
        </w:rPr>
        <w:t>516.120</w:t>
      </w:r>
      <w:r w:rsidRPr="0078247A" w:rsidR="00105488">
        <w:rPr>
          <w:rFonts w:eastAsia="Aptos"/>
          <w:b/>
        </w:rPr>
        <w:t xml:space="preserve">,00 </w:t>
      </w:r>
      <w:r w:rsidRPr="00987C41">
        <w:rPr>
          <w:rFonts w:eastAsia="Aptos"/>
          <w:kern w:val="2"/>
        </w:rPr>
        <w:t>per l’anno 2027.</w:t>
      </w:r>
    </w:p>
    <w:p w:rsidR="002A3CA1" w:rsidRPr="00987C41" w:rsidP="00987C41" w14:paraId="04FD033B" w14:textId="77777777">
      <w:pPr>
        <w:spacing w:after="120"/>
        <w:jc w:val="both"/>
        <w:rPr>
          <w:rFonts w:eastAsia="Aptos"/>
          <w:kern w:val="2"/>
        </w:rPr>
      </w:pPr>
      <w:r w:rsidRPr="00987C41">
        <w:rPr>
          <w:rFonts w:eastAsia="Aptos"/>
          <w:kern w:val="2"/>
        </w:rPr>
        <w:t>Tali risorse sono iscritte sul capitolo 4007, piano gestionale 1, del bilancio del Ministero dell’istruzione e del merito.</w:t>
      </w:r>
    </w:p>
    <w:p w:rsidR="002A3CA1" w:rsidRPr="00F10653" w:rsidP="151CD831" w14:paraId="221B81A1" w14:textId="0EB3BD60">
      <w:pPr>
        <w:jc w:val="both"/>
        <w:rPr>
          <w:rFonts w:eastAsia="Aptos"/>
        </w:rPr>
      </w:pPr>
      <w:r w:rsidRPr="00987C41">
        <w:rPr>
          <w:rFonts w:eastAsia="Aptos"/>
          <w:bCs/>
          <w:kern w:val="2"/>
        </w:rPr>
        <w:t>Al</w:t>
      </w:r>
      <w:r w:rsidRPr="00987C41">
        <w:rPr>
          <w:rFonts w:eastAsia="Aptos"/>
          <w:b/>
          <w:kern w:val="2"/>
        </w:rPr>
        <w:t xml:space="preserve"> </w:t>
      </w:r>
      <w:r w:rsidRPr="0051066C">
        <w:rPr>
          <w:rFonts w:eastAsia="Aptos"/>
          <w:b/>
          <w:kern w:val="2"/>
          <w:u w:val="single"/>
        </w:rPr>
        <w:t>comma 1, lettera c), numero 1</w:t>
      </w:r>
      <w:r w:rsidRPr="00987C41">
        <w:rPr>
          <w:rFonts w:eastAsia="Aptos"/>
          <w:kern w:val="2"/>
        </w:rPr>
        <w:t xml:space="preserve">, </w:t>
      </w:r>
      <w:r w:rsidRPr="00F10653" w:rsidR="3D0983AE">
        <w:t>si prevede l’estensione, fino al termine di operatività dell’Unità di missione per il PNRR, delle Task Force attivate (edilizia scolastica e scuole), in collaborazione con il Dipartimento per le politiche di coesione e per il sud, per fornire supporto tecnico-amministrativo alle istituzioni scolastiche e agli enti locali per l’edilizia scolastica nell'ambito del Piano nazionale di ripresa e resilienza.</w:t>
      </w:r>
    </w:p>
    <w:p w:rsidR="00FE06BA" w:rsidP="151CD831" w14:paraId="25326510" w14:textId="77777777">
      <w:pPr>
        <w:jc w:val="both"/>
      </w:pPr>
    </w:p>
    <w:p w:rsidR="002A3CA1" w:rsidRPr="00987C41" w:rsidP="151CD831" w14:paraId="7FE864AD" w14:textId="209B64BC">
      <w:pPr>
        <w:jc w:val="both"/>
      </w:pPr>
      <w:r w:rsidRPr="00F10653">
        <w:t xml:space="preserve">Le attività delle Task Force sono definite all’interno del Protocollo d’Intesa sottoscritto il 15 febbraio 2022 tra il Ministero dell’istruzione </w:t>
      </w:r>
      <w:r w:rsidRPr="00F10653" w:rsidR="00F10653">
        <w:t xml:space="preserve">e il </w:t>
      </w:r>
      <w:r w:rsidRPr="00F10653">
        <w:t xml:space="preserve">Ministro per il Sud e la coesione territoriale e sono gestite congiuntamente e finanziate attraverso le risorse rese disponibili dal Programma operativo complementare </w:t>
      </w:r>
      <w:r w:rsidRPr="00F10653">
        <w:rPr>
          <w:i/>
          <w:iCs/>
        </w:rPr>
        <w:t>“Per la scuola. Competenze e ambienti per l'apprendimento» 2014-2020</w:t>
      </w:r>
      <w:r w:rsidRPr="00F10653">
        <w:t>”, con scadenza prevista al 31 dicembre 2026.</w:t>
      </w:r>
      <w:r w:rsidRPr="151CD831">
        <w:t xml:space="preserve">  </w:t>
      </w:r>
    </w:p>
    <w:p w:rsidR="002A3CA1" w:rsidRPr="00987C41" w:rsidP="00987C41" w14:paraId="7971971E" w14:textId="40EF2AEF">
      <w:pPr>
        <w:spacing w:after="120"/>
        <w:jc w:val="both"/>
        <w:rPr>
          <w:rFonts w:eastAsia="Aptos"/>
          <w:kern w:val="2"/>
        </w:rPr>
      </w:pPr>
      <w:r w:rsidRPr="00FE06BA">
        <w:rPr>
          <w:rFonts w:eastAsia="Aptos"/>
          <w:kern w:val="2"/>
        </w:rPr>
        <w:t>Tanto premesso, al fine di consentire l’operatività delle sopra menzionate Task Force anche oltre il termine del 31 dicembre 2026,</w:t>
      </w:r>
      <w:r w:rsidRPr="00987C41">
        <w:rPr>
          <w:rFonts w:eastAsia="Aptos"/>
          <w:kern w:val="2"/>
        </w:rPr>
        <w:t xml:space="preserve"> </w:t>
      </w:r>
      <w:r w:rsidR="00B55BAC">
        <w:rPr>
          <w:rFonts w:eastAsia="Aptos"/>
          <w:kern w:val="2"/>
        </w:rPr>
        <w:t>è</w:t>
      </w:r>
      <w:r w:rsidRPr="00987C41">
        <w:rPr>
          <w:rFonts w:eastAsia="Aptos"/>
          <w:kern w:val="2"/>
        </w:rPr>
        <w:t xml:space="preserve"> stanziat</w:t>
      </w:r>
      <w:r w:rsidR="009C2111">
        <w:rPr>
          <w:rFonts w:eastAsia="Aptos"/>
          <w:kern w:val="2"/>
        </w:rPr>
        <w:t xml:space="preserve">o un </w:t>
      </w:r>
      <w:r w:rsidR="00FB3A3F">
        <w:rPr>
          <w:rFonts w:eastAsia="Aptos"/>
          <w:kern w:val="2"/>
        </w:rPr>
        <w:t>ulteriore importo fino a</w:t>
      </w:r>
      <w:r w:rsidRPr="00987C41">
        <w:rPr>
          <w:rFonts w:eastAsia="Aptos"/>
          <w:kern w:val="2"/>
        </w:rPr>
        <w:t xml:space="preserve"> </w:t>
      </w:r>
      <w:r w:rsidRPr="00563CEE" w:rsidR="00563CEE">
        <w:rPr>
          <w:rFonts w:eastAsia="Aptos"/>
          <w:b/>
          <w:bCs/>
          <w:kern w:val="2"/>
        </w:rPr>
        <w:t>20</w:t>
      </w:r>
      <w:r w:rsidRPr="00987C41">
        <w:rPr>
          <w:rFonts w:eastAsia="Aptos"/>
          <w:kern w:val="2"/>
        </w:rPr>
        <w:t xml:space="preserve"> milioni a valere sul Programma </w:t>
      </w:r>
      <w:r w:rsidRPr="0078247A" w:rsidR="004B6066">
        <w:rPr>
          <w:b/>
          <w:bCs/>
        </w:rPr>
        <w:t>nazionale PN “Scuola</w:t>
      </w:r>
      <w:r w:rsidRPr="0078247A">
        <w:rPr>
          <w:rFonts w:eastAsia="Aptos"/>
          <w:b/>
        </w:rPr>
        <w:t xml:space="preserve"> e </w:t>
      </w:r>
      <w:r w:rsidRPr="0078247A" w:rsidR="004B6066">
        <w:rPr>
          <w:b/>
          <w:bCs/>
        </w:rPr>
        <w:t>competenze” 2021-2027</w:t>
      </w:r>
      <w:r w:rsidRPr="00987C41">
        <w:rPr>
          <w:rFonts w:eastAsia="Aptos"/>
          <w:kern w:val="2"/>
        </w:rPr>
        <w:t>.</w:t>
      </w:r>
      <w:r w:rsidRPr="00987C41" w:rsidR="00D8156E">
        <w:rPr>
          <w:rFonts w:eastAsia="Aptos"/>
          <w:kern w:val="2"/>
        </w:rPr>
        <w:t xml:space="preserve"> </w:t>
      </w:r>
      <w:r w:rsidRPr="00987C41" w:rsidR="00284D27">
        <w:rPr>
          <w:rFonts w:eastAsia="Aptos"/>
          <w:kern w:val="2"/>
        </w:rPr>
        <w:t xml:space="preserve">Atteso che </w:t>
      </w:r>
      <w:r w:rsidRPr="00987C41" w:rsidR="005E460B">
        <w:rPr>
          <w:rFonts w:eastAsiaTheme="majorEastAsia"/>
          <w:b/>
        </w:rPr>
        <w:t>l’amministrazione competente provvede agli adempimenti previsti con le risorse umane, strumentali e finanziarie disponibili a legislazione vigente</w:t>
      </w:r>
      <w:r w:rsidRPr="00987C41" w:rsidR="00284D27">
        <w:rPr>
          <w:rFonts w:eastAsiaTheme="majorEastAsia"/>
          <w:b/>
        </w:rPr>
        <w:t>, la disposizione non reca nuovi o maggiori oneri a carico del bilancio dello Stato.</w:t>
      </w:r>
      <w:r w:rsidRPr="00987C41" w:rsidR="0015041E">
        <w:rPr>
          <w:rFonts w:eastAsiaTheme="majorEastAsia"/>
          <w:b/>
        </w:rPr>
        <w:t xml:space="preserve"> </w:t>
      </w:r>
    </w:p>
    <w:p w:rsidR="002A3CA1" w:rsidRPr="00987C41" w:rsidP="00987C41" w14:paraId="15BF4BF1" w14:textId="1FC3453E">
      <w:pPr>
        <w:spacing w:after="120"/>
        <w:jc w:val="both"/>
        <w:rPr>
          <w:rFonts w:eastAsia="Aptos"/>
          <w:kern w:val="2"/>
        </w:rPr>
      </w:pPr>
      <w:r w:rsidRPr="00987C41">
        <w:rPr>
          <w:rFonts w:eastAsia="Aptos"/>
          <w:kern w:val="2"/>
        </w:rPr>
        <w:t>Il</w:t>
      </w:r>
      <w:r w:rsidRPr="00987C41">
        <w:rPr>
          <w:rFonts w:eastAsia="Aptos"/>
          <w:kern w:val="2"/>
        </w:rPr>
        <w:t xml:space="preserve"> </w:t>
      </w:r>
      <w:r w:rsidRPr="00987C41">
        <w:rPr>
          <w:rFonts w:eastAsia="Aptos"/>
          <w:b/>
          <w:kern w:val="2"/>
        </w:rPr>
        <w:t xml:space="preserve">comma 1, lettera c), </w:t>
      </w:r>
      <w:r w:rsidRPr="0051066C">
        <w:rPr>
          <w:rFonts w:eastAsia="Aptos"/>
          <w:b/>
          <w:kern w:val="2"/>
          <w:u w:val="single"/>
        </w:rPr>
        <w:t>numero 2</w:t>
      </w:r>
      <w:r w:rsidRPr="0051066C">
        <w:rPr>
          <w:rFonts w:eastAsia="Aptos"/>
          <w:kern w:val="2"/>
          <w:u w:val="single"/>
        </w:rPr>
        <w:t>,</w:t>
      </w:r>
      <w:r w:rsidRPr="00987C41">
        <w:rPr>
          <w:rFonts w:eastAsia="Aptos"/>
          <w:kern w:val="2"/>
        </w:rPr>
        <w:t xml:space="preserve"> </w:t>
      </w:r>
      <w:r w:rsidRPr="00987C41" w:rsidR="00BF3DAE">
        <w:rPr>
          <w:rFonts w:eastAsia="Aptos"/>
          <w:kern w:val="2"/>
        </w:rPr>
        <w:t xml:space="preserve">si limita ad </w:t>
      </w:r>
      <w:r w:rsidRPr="00987C41">
        <w:rPr>
          <w:rFonts w:eastAsia="Aptos"/>
          <w:kern w:val="2"/>
        </w:rPr>
        <w:t>estende</w:t>
      </w:r>
      <w:r w:rsidRPr="00987C41" w:rsidR="00BF3DAE">
        <w:rPr>
          <w:rFonts w:eastAsia="Aptos"/>
          <w:kern w:val="2"/>
        </w:rPr>
        <w:t>re</w:t>
      </w:r>
      <w:r w:rsidRPr="00987C41">
        <w:rPr>
          <w:rFonts w:eastAsia="Aptos"/>
          <w:kern w:val="2"/>
        </w:rPr>
        <w:t xml:space="preserve"> l’avvalimento dell’Unità di missione per il PNRR agli altri due Uffici relativi ai fondi strutturali</w:t>
      </w:r>
      <w:r w:rsidRPr="00987C41">
        <w:rPr>
          <w:rFonts w:eastAsia="Aptos"/>
          <w:kern w:val="2"/>
        </w:rPr>
        <w:t xml:space="preserve">, di </w:t>
      </w:r>
      <w:r w:rsidRPr="00987C41" w:rsidR="006F2E40">
        <w:rPr>
          <w:rFonts w:eastAsia="Aptos"/>
          <w:kern w:val="2"/>
        </w:rPr>
        <w:t>talché</w:t>
      </w:r>
      <w:r w:rsidRPr="00987C41">
        <w:rPr>
          <w:rFonts w:eastAsia="Aptos"/>
          <w:kern w:val="2"/>
        </w:rPr>
        <w:t xml:space="preserve"> l</w:t>
      </w:r>
      <w:r w:rsidRPr="00987C41">
        <w:rPr>
          <w:rFonts w:eastAsia="Aptos"/>
          <w:b/>
          <w:bCs/>
          <w:kern w:val="2"/>
        </w:rPr>
        <w:t>a</w:t>
      </w:r>
      <w:r w:rsidRPr="00987C41" w:rsidR="00A252C1">
        <w:rPr>
          <w:rFonts w:eastAsia="Aptos"/>
          <w:b/>
          <w:bCs/>
          <w:kern w:val="2"/>
        </w:rPr>
        <w:t xml:space="preserve"> disposizione </w:t>
      </w:r>
      <w:r w:rsidRPr="00987C41" w:rsidR="00BF3DAE">
        <w:rPr>
          <w:rFonts w:eastAsia="Aptos"/>
          <w:b/>
          <w:bCs/>
          <w:kern w:val="2"/>
        </w:rPr>
        <w:t>non comporta nuovi o maggiori a carico della finanza pubblica</w:t>
      </w:r>
      <w:r w:rsidRPr="00987C41">
        <w:rPr>
          <w:rFonts w:eastAsia="Aptos"/>
          <w:b/>
          <w:kern w:val="2"/>
        </w:rPr>
        <w:t>.</w:t>
      </w:r>
      <w:r w:rsidRPr="00987C41" w:rsidR="00A252C1">
        <w:rPr>
          <w:rFonts w:eastAsia="Aptos"/>
          <w:kern w:val="2"/>
        </w:rPr>
        <w:t xml:space="preserve"> </w:t>
      </w:r>
    </w:p>
    <w:p w:rsidR="00431EDF" w:rsidRPr="00987C41" w:rsidP="00987C41" w14:paraId="4785EDA1" w14:textId="593083EF">
      <w:pPr>
        <w:spacing w:after="120"/>
        <w:jc w:val="both"/>
        <w:rPr>
          <w:highlight w:val="yellow"/>
        </w:rPr>
      </w:pPr>
      <w:r w:rsidRPr="00987C41">
        <w:rPr>
          <w:rFonts w:eastAsia="Aptos"/>
        </w:rPr>
        <w:t xml:space="preserve">Il </w:t>
      </w:r>
      <w:r w:rsidRPr="004E504B">
        <w:rPr>
          <w:rFonts w:eastAsia="Aptos"/>
          <w:b/>
          <w:u w:val="single"/>
        </w:rPr>
        <w:t>comma 2</w:t>
      </w:r>
      <w:r w:rsidRPr="00987C41">
        <w:rPr>
          <w:rFonts w:eastAsia="Aptos"/>
        </w:rPr>
        <w:t xml:space="preserve"> </w:t>
      </w:r>
      <w:r w:rsidRPr="00987C41" w:rsidR="6D4F7749">
        <w:rPr>
          <w:rFonts w:eastAsia="Book Antiqua"/>
          <w:color w:val="000000" w:themeColor="text1"/>
        </w:rPr>
        <w:t>prevede la copertura finanziaria delle disposizioni di cui al comma 1, lettera b), mediante corrispondente riduzione, per gli anni 2026</w:t>
      </w:r>
      <w:r w:rsidRPr="004B6066" w:rsidR="6D4F7749">
        <w:rPr>
          <w:rFonts w:eastAsia="Book Antiqua"/>
          <w:strike/>
          <w:color w:val="000000" w:themeColor="text1"/>
        </w:rPr>
        <w:t>,</w:t>
      </w:r>
      <w:r w:rsidRPr="00987C41" w:rsidR="6D4F7749">
        <w:rPr>
          <w:rFonts w:eastAsia="Book Antiqua"/>
          <w:color w:val="000000" w:themeColor="text1"/>
        </w:rPr>
        <w:t xml:space="preserve"> </w:t>
      </w:r>
      <w:r w:rsidRPr="004B6066" w:rsidR="004B6066">
        <w:rPr>
          <w:rFonts w:eastAsia="Book Antiqua"/>
          <w:b/>
          <w:bCs/>
          <w:color w:val="000000" w:themeColor="text1"/>
        </w:rPr>
        <w:t>e</w:t>
      </w:r>
      <w:r w:rsidR="004B6066">
        <w:rPr>
          <w:rFonts w:eastAsia="Book Antiqua"/>
          <w:color w:val="000000" w:themeColor="text1"/>
        </w:rPr>
        <w:t xml:space="preserve"> </w:t>
      </w:r>
      <w:r w:rsidRPr="00987C41" w:rsidR="6D4F7749">
        <w:rPr>
          <w:rFonts w:eastAsia="Book Antiqua"/>
          <w:color w:val="000000" w:themeColor="text1"/>
        </w:rPr>
        <w:t xml:space="preserve">2027 </w:t>
      </w:r>
      <w:r w:rsidRPr="004B6066" w:rsidR="6D4F7749">
        <w:rPr>
          <w:rFonts w:eastAsia="Book Antiqua"/>
          <w:strike/>
          <w:color w:val="000000" w:themeColor="text1"/>
        </w:rPr>
        <w:t>e 2028</w:t>
      </w:r>
      <w:r w:rsidRPr="00987C41" w:rsidR="6D4F7749">
        <w:rPr>
          <w:rFonts w:eastAsia="Book Antiqua"/>
          <w:color w:val="000000" w:themeColor="text1"/>
        </w:rPr>
        <w:t>, dell’autorizzazione di spesa di cui all'articolo 1, comma 62, secondo periodo, della legge 13 luglio 2015, n. 107.</w:t>
      </w:r>
      <w:r w:rsidRPr="00987C41" w:rsidR="6D4F7749">
        <w:rPr>
          <w:rFonts w:eastAsia="Book Antiqua"/>
        </w:rPr>
        <w:t xml:space="preserve"> </w:t>
      </w:r>
    </w:p>
    <w:p w:rsidR="004461A7" w:rsidRPr="00987C41" w:rsidP="00987C41" w14:paraId="574F7001" w14:textId="77777777">
      <w:pPr>
        <w:spacing w:after="120"/>
        <w:jc w:val="both"/>
        <w:rPr>
          <w:strike/>
          <w:highlight w:val="green"/>
        </w:rPr>
      </w:pPr>
    </w:p>
    <w:p w:rsidR="004461A7" w:rsidRPr="00987C41" w:rsidP="00987C41" w14:paraId="6DC18FA6" w14:textId="648F7AC7">
      <w:pPr>
        <w:pStyle w:val="Heading3"/>
        <w:spacing w:before="0" w:after="120"/>
        <w:rPr>
          <w:rFonts w:cs="Times New Roman"/>
        </w:rPr>
      </w:pPr>
      <w:bookmarkStart w:id="60" w:name="_Toc220077564"/>
      <w:r w:rsidRPr="155C2B82">
        <w:rPr>
          <w:rFonts w:eastAsia="Times New Roman" w:cs="Times New Roman"/>
          <w:color w:val="000000" w:themeColor="text1"/>
        </w:rPr>
        <w:t xml:space="preserve">ART. </w:t>
      </w:r>
      <w:bookmarkStart w:id="61" w:name="_Toc63092828"/>
      <w:r w:rsidRPr="155C2B82" w:rsidR="000D0195">
        <w:rPr>
          <w:rFonts w:eastAsia="Times New Roman" w:cs="Times New Roman"/>
          <w:color w:val="000000" w:themeColor="text1"/>
        </w:rPr>
        <w:t>2</w:t>
      </w:r>
      <w:r w:rsidR="00AA4ED2">
        <w:rPr>
          <w:rFonts w:eastAsia="Times New Roman" w:cs="Times New Roman"/>
          <w:color w:val="000000" w:themeColor="text1"/>
        </w:rPr>
        <w:t>1</w:t>
      </w:r>
      <w:r w:rsidRPr="155C2B82" w:rsidR="00BA5C30">
        <w:rPr>
          <w:rFonts w:eastAsia="Times New Roman" w:cs="Times New Roman"/>
          <w:color w:val="000000" w:themeColor="text1"/>
        </w:rPr>
        <w:t xml:space="preserve">                                                                                                                                       </w:t>
      </w:r>
      <w:r w:rsidRPr="155C2B82" w:rsidR="00BA5C30">
        <w:rPr>
          <w:rFonts w:eastAsia="Times New Roman" w:cs="Times New Roman"/>
          <w:color w:val="000000" w:themeColor="text1"/>
        </w:rPr>
        <w:t xml:space="preserve">   </w:t>
      </w:r>
      <w:r w:rsidRPr="155C2B82">
        <w:rPr>
          <w:rFonts w:eastAsia="Times New Roman" w:cs="Times New Roman"/>
          <w:color w:val="000000" w:themeColor="text1"/>
        </w:rPr>
        <w:t>(</w:t>
      </w:r>
      <w:r w:rsidRPr="155C2B82" w:rsidR="005172FE">
        <w:rPr>
          <w:rFonts w:eastAsia="Times New Roman" w:cs="Times New Roman"/>
          <w:color w:val="000000" w:themeColor="text1"/>
        </w:rPr>
        <w:t>Misure urgenti</w:t>
      </w:r>
      <w:r w:rsidRPr="155C2B82">
        <w:rPr>
          <w:rFonts w:eastAsia="Times New Roman" w:cs="Times New Roman"/>
          <w:color w:val="000000" w:themeColor="text1"/>
        </w:rPr>
        <w:t xml:space="preserve"> in materia di alloggi e di residenze per studenti universitari in attuazione </w:t>
      </w:r>
      <w:r w:rsidRPr="155C2B82" w:rsidR="00977B88">
        <w:rPr>
          <w:rFonts w:eastAsia="Times New Roman" w:cs="Times New Roman"/>
          <w:color w:val="000000" w:themeColor="text1"/>
        </w:rPr>
        <w:t>per l’attuazione della Riforma 1.7 «Riforma della legislazione sugli alloggi per studenti e investimenti negli alloggi per studenti» della Missione 4 – Componente 1 del PNRR</w:t>
      </w:r>
      <w:r w:rsidRPr="155C2B82">
        <w:rPr>
          <w:rFonts w:cs="Times New Roman"/>
          <w:i/>
          <w:iCs/>
        </w:rPr>
        <w:t>)</w:t>
      </w:r>
      <w:bookmarkEnd w:id="60"/>
      <w:bookmarkEnd w:id="61"/>
    </w:p>
    <w:p w:rsidR="00DB1ACF" w:rsidP="155C2B82" w14:paraId="7E7F6DA3" w14:textId="77777777">
      <w:pPr>
        <w:spacing w:after="120"/>
        <w:jc w:val="both"/>
        <w:rPr>
          <w:rFonts w:eastAsia="Book Antiqua"/>
        </w:rPr>
      </w:pPr>
      <w:r w:rsidRPr="155C2B82">
        <w:rPr>
          <w:color w:val="000000" w:themeColor="text1"/>
        </w:rPr>
        <w:t xml:space="preserve">Al fine di assicurare il consolidamento e la messa in sicurezza degli obiettivi raggiunti al 15 luglio 2026 con riferimento alla Missione 4, componente 1, del PNRR in materia di </w:t>
      </w:r>
      <w:r w:rsidRPr="155C2B82">
        <w:rPr>
          <w:i/>
          <w:iCs/>
          <w:color w:val="000000" w:themeColor="text1"/>
        </w:rPr>
        <w:t xml:space="preserve">housing </w:t>
      </w:r>
      <w:r w:rsidRPr="155C2B82">
        <w:rPr>
          <w:color w:val="000000" w:themeColor="text1"/>
        </w:rPr>
        <w:t xml:space="preserve">universitario (che, come noto, non prevede soltanto la realizzazione di nuovi posti letto destinati agli studenti universitari, ma anche la gestione a prezzi calmierati, per un periodo di 12 anni di cui i primi tre a valere su risorse europei, dei nuovi studentati assistiti dal contributo di gestione), il </w:t>
      </w:r>
      <w:r w:rsidRPr="155C2B82">
        <w:rPr>
          <w:b/>
          <w:bCs/>
          <w:color w:val="000000" w:themeColor="text1"/>
          <w:u w:val="single"/>
        </w:rPr>
        <w:t>comma 1</w:t>
      </w:r>
      <w:r w:rsidRPr="155C2B82">
        <w:rPr>
          <w:color w:val="000000" w:themeColor="text1"/>
        </w:rPr>
        <w:t xml:space="preserve"> prevede la prosecuzione dell’incarico del Commissario straordinario per gli alloggi universitari, istituito ai sensi dell’articolo 5, comma 2, del decreto–legge 2 marzo 2024, n. 19, convertito, con modificazioni, dalla legge 29 aprile 2024, n. 56</w:t>
      </w:r>
      <w:r w:rsidRPr="155C2B82">
        <w:rPr>
          <w:b/>
          <w:bCs/>
          <w:color w:val="000000" w:themeColor="text1"/>
        </w:rPr>
        <w:t xml:space="preserve">, </w:t>
      </w:r>
      <w:r w:rsidRPr="155C2B82">
        <w:rPr>
          <w:color w:val="000000" w:themeColor="text1"/>
        </w:rPr>
        <w:t>sino al 31 dicembre 2029</w:t>
      </w:r>
      <w:r w:rsidRPr="1D52C8E7">
        <w:rPr>
          <w:color w:val="000000" w:themeColor="text1"/>
        </w:rPr>
        <w:t>.</w:t>
      </w:r>
      <w:r w:rsidRPr="155C2B82" w:rsidR="1EF1A131">
        <w:rPr>
          <w:rFonts w:eastAsia="Book Antiqua"/>
        </w:rPr>
        <w:t xml:space="preserve"> </w:t>
      </w:r>
    </w:p>
    <w:p w:rsidR="009F66BE" w:rsidRPr="00987C41" w:rsidP="155C2B82" w14:paraId="0EAFA4BF" w14:textId="4B550988">
      <w:pPr>
        <w:spacing w:after="120"/>
        <w:jc w:val="both"/>
      </w:pPr>
      <w:r>
        <w:rPr>
          <w:rFonts w:eastAsia="Book Antiqua"/>
        </w:rPr>
        <w:t xml:space="preserve">Vengono </w:t>
      </w:r>
      <w:r w:rsidRPr="155C2B82" w:rsidR="00B5409D">
        <w:rPr>
          <w:rFonts w:eastAsia="Book Antiqua"/>
        </w:rPr>
        <w:t xml:space="preserve">quindi </w:t>
      </w:r>
      <w:r w:rsidRPr="155C2B82">
        <w:rPr>
          <w:rFonts w:eastAsia="Book Antiqua"/>
        </w:rPr>
        <w:t>quantifica</w:t>
      </w:r>
      <w:r w:rsidRPr="155C2B82" w:rsidR="00B5409D">
        <w:rPr>
          <w:rFonts w:eastAsia="Book Antiqua"/>
        </w:rPr>
        <w:t>ti</w:t>
      </w:r>
      <w:r w:rsidRPr="155C2B82">
        <w:rPr>
          <w:rFonts w:eastAsia="Book Antiqua"/>
        </w:rPr>
        <w:t xml:space="preserve"> gli oneri derivanti dall’attuazione dell</w:t>
      </w:r>
      <w:r w:rsidRPr="155C2B82" w:rsidR="00B5409D">
        <w:rPr>
          <w:rFonts w:eastAsia="Book Antiqua"/>
        </w:rPr>
        <w:t>a</w:t>
      </w:r>
      <w:r w:rsidRPr="155C2B82">
        <w:rPr>
          <w:rFonts w:eastAsia="Book Antiqua"/>
        </w:rPr>
        <w:t xml:space="preserve"> disposizion</w:t>
      </w:r>
      <w:r w:rsidRPr="155C2B82" w:rsidR="00B5409D">
        <w:rPr>
          <w:rFonts w:eastAsia="Book Antiqua"/>
        </w:rPr>
        <w:t>e</w:t>
      </w:r>
      <w:r w:rsidRPr="155C2B82">
        <w:rPr>
          <w:rFonts w:eastAsia="Book Antiqua"/>
        </w:rPr>
        <w:t xml:space="preserve"> e</w:t>
      </w:r>
      <w:r w:rsidRPr="155C2B82" w:rsidR="00B5409D">
        <w:rPr>
          <w:rFonts w:eastAsia="Book Antiqua"/>
        </w:rPr>
        <w:t>d è</w:t>
      </w:r>
      <w:r w:rsidRPr="155C2B82">
        <w:rPr>
          <w:rFonts w:eastAsia="Book Antiqua"/>
        </w:rPr>
        <w:t xml:space="preserve"> individua</w:t>
      </w:r>
      <w:r w:rsidRPr="155C2B82" w:rsidR="00B5409D">
        <w:rPr>
          <w:rFonts w:eastAsia="Book Antiqua"/>
        </w:rPr>
        <w:t>ta</w:t>
      </w:r>
      <w:r w:rsidRPr="155C2B82">
        <w:rPr>
          <w:rFonts w:eastAsia="Book Antiqua"/>
        </w:rPr>
        <w:t xml:space="preserve"> la </w:t>
      </w:r>
      <w:r w:rsidRPr="155C2B82" w:rsidR="00B5409D">
        <w:rPr>
          <w:rFonts w:eastAsia="Book Antiqua"/>
        </w:rPr>
        <w:t xml:space="preserve">relativa </w:t>
      </w:r>
      <w:r w:rsidRPr="155C2B82" w:rsidR="00C06965">
        <w:rPr>
          <w:rFonts w:eastAsia="Book Antiqua"/>
        </w:rPr>
        <w:t>c</w:t>
      </w:r>
      <w:r w:rsidRPr="155C2B82">
        <w:rPr>
          <w:rFonts w:eastAsia="Book Antiqua"/>
        </w:rPr>
        <w:t>opertura finanziaria</w:t>
      </w:r>
      <w:r w:rsidRPr="155C2B82" w:rsidR="7F11B8C7">
        <w:rPr>
          <w:rFonts w:eastAsia="Book Antiqua"/>
        </w:rPr>
        <w:t xml:space="preserve"> mediante la riduzione d</w:t>
      </w:r>
      <w:r w:rsidRPr="155C2B82" w:rsidR="7F11B8C7">
        <w:rPr>
          <w:color w:val="000000" w:themeColor="text1"/>
        </w:rPr>
        <w:t>el fondo speciale di parte corrente iscritto, ai fini del bilancio triennale 202</w:t>
      </w:r>
      <w:r w:rsidRPr="155C2B82" w:rsidR="7CBC0A90">
        <w:rPr>
          <w:color w:val="000000" w:themeColor="text1"/>
        </w:rPr>
        <w:t>6</w:t>
      </w:r>
      <w:r w:rsidRPr="155C2B82" w:rsidR="7F11B8C7">
        <w:rPr>
          <w:color w:val="000000" w:themeColor="text1"/>
        </w:rPr>
        <w:t>-202</w:t>
      </w:r>
      <w:r w:rsidRPr="155C2B82" w:rsidR="53E8EEC8">
        <w:rPr>
          <w:color w:val="000000" w:themeColor="text1"/>
        </w:rPr>
        <w:t>8</w:t>
      </w:r>
      <w:r w:rsidRPr="155C2B82" w:rsidR="7F11B8C7">
        <w:rPr>
          <w:color w:val="000000" w:themeColor="text1"/>
        </w:rPr>
        <w:t>, nell'ambito del programma «Fondi di riserva e speciali» della missione «Fondi da ripartire» dello stato di previsione del Ministero dell'economia e delle finanze per l'anno 2026, allo scopo parzialmente utilizzando l'accantonamento relativo al Ministero dell'università e della ricerca.</w:t>
      </w:r>
    </w:p>
    <w:p w:rsidR="009F66BE" w:rsidP="155C2B82" w14:paraId="31BE9782" w14:textId="442BA8D0">
      <w:pPr>
        <w:spacing w:before="120" w:after="120"/>
        <w:jc w:val="both"/>
        <w:rPr>
          <w:rFonts w:eastAsia="Book Antiqua"/>
        </w:rPr>
      </w:pPr>
      <w:r w:rsidRPr="155C2B82">
        <w:rPr>
          <w:rFonts w:eastAsia="Book Antiqua"/>
        </w:rPr>
        <w:t xml:space="preserve">In particolare, l’operatività del Commissario straordinario e della relativa Struttura ausiliaria, già in essere, prevede un fabbisogno finanziario complessivo pari ad euro </w:t>
      </w:r>
      <w:r w:rsidRPr="004A65CC" w:rsidR="00A16068">
        <w:rPr>
          <w:b/>
          <w:bCs/>
        </w:rPr>
        <w:t>786.356,69</w:t>
      </w:r>
      <w:r w:rsidRPr="155C2B82">
        <w:rPr>
          <w:rFonts w:eastAsia="Book Antiqua"/>
        </w:rPr>
        <w:t>, per ciascuno degli anni 2027, 2028 e 2029, così come dettagliato nel prospetto seguente:</w:t>
      </w:r>
    </w:p>
    <w:p w:rsidR="00906E33" w:rsidRPr="00987C41" w:rsidP="155C2B82" w14:paraId="4185E9AB" w14:textId="77777777">
      <w:pPr>
        <w:spacing w:before="120" w:after="120"/>
        <w:jc w:val="both"/>
        <w:rPr>
          <w:rFonts w:eastAsia="Book Antiqua"/>
        </w:rPr>
      </w:pPr>
    </w:p>
    <w:tbl>
      <w:tblPr>
        <w:tblW w:w="0" w:type="auto"/>
        <w:tblCellMar>
          <w:left w:w="0" w:type="dxa"/>
          <w:right w:w="0" w:type="dxa"/>
        </w:tblCellMar>
        <w:tblLook w:val="04A0"/>
      </w:tblPr>
      <w:tblGrid>
        <w:gridCol w:w="4745"/>
        <w:gridCol w:w="4873"/>
      </w:tblGrid>
      <w:tr w14:paraId="7356D6EE" w14:textId="77777777" w:rsidTr="000D004D">
        <w:tblPrEx>
          <w:tblW w:w="0" w:type="auto"/>
          <w:tblLook w:val="04A0"/>
        </w:tblPrEx>
        <w:trPr>
          <w:trHeight w:val="300"/>
        </w:trPr>
        <w:tc>
          <w:tcPr>
            <w:tcW w:w="47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D004D" w:rsidRPr="00090E71" w:rsidP="00B01CC2" w14:paraId="2F9A50B8" w14:textId="77777777">
            <w:pPr>
              <w:spacing w:after="160" w:line="254" w:lineRule="auto"/>
              <w:jc w:val="center"/>
              <w:rPr>
                <w:color w:val="215E99" w:themeColor="text2" w:themeTint="BF"/>
              </w:rPr>
            </w:pPr>
            <w:r w:rsidRPr="00090E71">
              <w:rPr>
                <w:b/>
                <w:color w:val="215E99" w:themeColor="text2" w:themeTint="BF"/>
              </w:rPr>
              <w:t>ONERI COMPLESSIVI</w:t>
            </w:r>
          </w:p>
        </w:tc>
        <w:tc>
          <w:tcPr>
            <w:tcW w:w="487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D004D" w:rsidRPr="00090E71" w:rsidP="00B01CC2" w14:paraId="4E176A53" w14:textId="77777777">
            <w:pPr>
              <w:spacing w:after="160" w:line="254" w:lineRule="auto"/>
              <w:jc w:val="center"/>
              <w:rPr>
                <w:color w:val="215E99" w:themeColor="text2" w:themeTint="BF"/>
              </w:rPr>
            </w:pPr>
            <w:r w:rsidRPr="00090E71">
              <w:rPr>
                <w:b/>
                <w:color w:val="215E99" w:themeColor="text2" w:themeTint="BF"/>
              </w:rPr>
              <w:t>ONERI ANNUI 2027-2028-2029</w:t>
            </w:r>
          </w:p>
        </w:tc>
      </w:tr>
      <w:tr w14:paraId="521D652A" w14:textId="77777777" w:rsidTr="000D004D">
        <w:tblPrEx>
          <w:tblW w:w="0" w:type="auto"/>
          <w:tblLook w:val="04A0"/>
        </w:tblPrEx>
        <w:trPr>
          <w:trHeight w:val="300"/>
        </w:trPr>
        <w:tc>
          <w:tcPr>
            <w:tcW w:w="47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004D" w:rsidRPr="00090E71" w:rsidP="000D004D" w14:paraId="65804E10" w14:textId="77777777">
            <w:pPr>
              <w:spacing w:after="160" w:line="254" w:lineRule="auto"/>
              <w:jc w:val="both"/>
              <w:rPr>
                <w:color w:val="215E99" w:themeColor="text2" w:themeTint="BF"/>
              </w:rPr>
            </w:pPr>
            <w:r w:rsidRPr="00090E71">
              <w:rPr>
                <w:color w:val="215E99" w:themeColor="text2" w:themeTint="BF"/>
              </w:rPr>
              <w:t>Commissario straordinario</w:t>
            </w:r>
          </w:p>
        </w:tc>
        <w:tc>
          <w:tcPr>
            <w:tcW w:w="4873" w:type="dxa"/>
            <w:tcBorders>
              <w:top w:val="nil"/>
              <w:left w:val="nil"/>
              <w:bottom w:val="single" w:sz="8" w:space="0" w:color="auto"/>
              <w:right w:val="single" w:sz="8" w:space="0" w:color="auto"/>
            </w:tcBorders>
            <w:tcMar>
              <w:top w:w="0" w:type="dxa"/>
              <w:left w:w="108" w:type="dxa"/>
              <w:bottom w:w="0" w:type="dxa"/>
              <w:right w:w="108" w:type="dxa"/>
            </w:tcMar>
            <w:hideMark/>
          </w:tcPr>
          <w:p w:rsidR="000D004D" w:rsidRPr="00090E71" w:rsidP="00B01CC2" w14:paraId="063FA158" w14:textId="77777777">
            <w:pPr>
              <w:spacing w:after="160" w:line="254" w:lineRule="auto"/>
              <w:jc w:val="center"/>
              <w:rPr>
                <w:color w:val="215E99" w:themeColor="text2" w:themeTint="BF"/>
              </w:rPr>
            </w:pPr>
            <w:r w:rsidRPr="00090E71">
              <w:rPr>
                <w:color w:val="215E99" w:themeColor="text2" w:themeTint="BF"/>
              </w:rPr>
              <w:t>132.700,00</w:t>
            </w:r>
          </w:p>
        </w:tc>
      </w:tr>
      <w:tr w14:paraId="09D6EA9B" w14:textId="77777777" w:rsidTr="000D004D">
        <w:tblPrEx>
          <w:tblW w:w="0" w:type="auto"/>
          <w:tblLook w:val="04A0"/>
        </w:tblPrEx>
        <w:trPr>
          <w:trHeight w:val="300"/>
        </w:trPr>
        <w:tc>
          <w:tcPr>
            <w:tcW w:w="47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004D" w:rsidRPr="00090E71" w:rsidP="000D004D" w14:paraId="4CBEDEF0" w14:textId="77777777">
            <w:pPr>
              <w:spacing w:after="160" w:line="254" w:lineRule="auto"/>
              <w:jc w:val="both"/>
              <w:rPr>
                <w:color w:val="215E99" w:themeColor="text2" w:themeTint="BF"/>
              </w:rPr>
            </w:pPr>
            <w:r w:rsidRPr="00090E71">
              <w:rPr>
                <w:color w:val="215E99" w:themeColor="text2" w:themeTint="BF"/>
              </w:rPr>
              <w:t>Onere straordinario</w:t>
            </w:r>
          </w:p>
        </w:tc>
        <w:tc>
          <w:tcPr>
            <w:tcW w:w="4873" w:type="dxa"/>
            <w:tcBorders>
              <w:top w:val="nil"/>
              <w:left w:val="nil"/>
              <w:bottom w:val="single" w:sz="8" w:space="0" w:color="auto"/>
              <w:right w:val="single" w:sz="8" w:space="0" w:color="auto"/>
            </w:tcBorders>
            <w:tcMar>
              <w:top w:w="0" w:type="dxa"/>
              <w:left w:w="108" w:type="dxa"/>
              <w:bottom w:w="0" w:type="dxa"/>
              <w:right w:w="108" w:type="dxa"/>
            </w:tcMar>
            <w:hideMark/>
          </w:tcPr>
          <w:p w:rsidR="000D004D" w:rsidRPr="00090E71" w:rsidP="00B01CC2" w14:paraId="517B7F7E" w14:textId="77777777">
            <w:pPr>
              <w:spacing w:after="160" w:line="254" w:lineRule="auto"/>
              <w:jc w:val="center"/>
              <w:rPr>
                <w:color w:val="215E99" w:themeColor="text2" w:themeTint="BF"/>
              </w:rPr>
            </w:pPr>
            <w:r w:rsidRPr="00090E71">
              <w:rPr>
                <w:color w:val="215E99" w:themeColor="text2" w:themeTint="BF"/>
              </w:rPr>
              <w:t>17.791,00</w:t>
            </w:r>
          </w:p>
        </w:tc>
      </w:tr>
      <w:tr w14:paraId="4C635D1C" w14:textId="77777777" w:rsidTr="000D004D">
        <w:tblPrEx>
          <w:tblW w:w="0" w:type="auto"/>
          <w:tblLook w:val="04A0"/>
        </w:tblPrEx>
        <w:trPr>
          <w:trHeight w:val="300"/>
        </w:trPr>
        <w:tc>
          <w:tcPr>
            <w:tcW w:w="47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004D" w:rsidRPr="00090E71" w:rsidP="000D004D" w14:paraId="14F2EA05" w14:textId="77777777">
            <w:pPr>
              <w:spacing w:after="160" w:line="254" w:lineRule="auto"/>
              <w:jc w:val="both"/>
              <w:rPr>
                <w:color w:val="215E99" w:themeColor="text2" w:themeTint="BF"/>
              </w:rPr>
            </w:pPr>
            <w:r w:rsidRPr="00090E71">
              <w:rPr>
                <w:color w:val="215E99" w:themeColor="text2" w:themeTint="BF"/>
              </w:rPr>
              <w:t>Esperti (5*50.000)</w:t>
            </w:r>
          </w:p>
        </w:tc>
        <w:tc>
          <w:tcPr>
            <w:tcW w:w="4873" w:type="dxa"/>
            <w:tcBorders>
              <w:top w:val="nil"/>
              <w:left w:val="nil"/>
              <w:bottom w:val="single" w:sz="8" w:space="0" w:color="auto"/>
              <w:right w:val="single" w:sz="8" w:space="0" w:color="auto"/>
            </w:tcBorders>
            <w:tcMar>
              <w:top w:w="0" w:type="dxa"/>
              <w:left w:w="108" w:type="dxa"/>
              <w:bottom w:w="0" w:type="dxa"/>
              <w:right w:w="108" w:type="dxa"/>
            </w:tcMar>
            <w:hideMark/>
          </w:tcPr>
          <w:p w:rsidR="000D004D" w:rsidRPr="00090E71" w:rsidP="00B01CC2" w14:paraId="46086DA6" w14:textId="77777777">
            <w:pPr>
              <w:spacing w:after="160" w:line="254" w:lineRule="auto"/>
              <w:jc w:val="center"/>
              <w:rPr>
                <w:color w:val="215E99" w:themeColor="text2" w:themeTint="BF"/>
              </w:rPr>
            </w:pPr>
            <w:r w:rsidRPr="00090E71">
              <w:rPr>
                <w:color w:val="215E99" w:themeColor="text2" w:themeTint="BF"/>
              </w:rPr>
              <w:t>250.000,00</w:t>
            </w:r>
          </w:p>
        </w:tc>
      </w:tr>
      <w:tr w14:paraId="67376E4A" w14:textId="77777777" w:rsidTr="000D004D">
        <w:tblPrEx>
          <w:tblW w:w="0" w:type="auto"/>
          <w:tblLook w:val="04A0"/>
        </w:tblPrEx>
        <w:trPr>
          <w:trHeight w:val="479"/>
        </w:trPr>
        <w:tc>
          <w:tcPr>
            <w:tcW w:w="47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004D" w:rsidRPr="00090E71" w:rsidP="000D004D" w14:paraId="1AF7D2EA" w14:textId="77777777">
            <w:pPr>
              <w:spacing w:after="160" w:line="254" w:lineRule="auto"/>
              <w:jc w:val="both"/>
              <w:rPr>
                <w:color w:val="215E99" w:themeColor="text2" w:themeTint="BF"/>
              </w:rPr>
            </w:pPr>
            <w:r w:rsidRPr="00090E71">
              <w:rPr>
                <w:color w:val="215E99" w:themeColor="text2" w:themeTint="BF"/>
              </w:rPr>
              <w:t>Spese di funzionamento</w:t>
            </w:r>
          </w:p>
        </w:tc>
        <w:tc>
          <w:tcPr>
            <w:tcW w:w="4873" w:type="dxa"/>
            <w:tcBorders>
              <w:top w:val="nil"/>
              <w:left w:val="nil"/>
              <w:bottom w:val="single" w:sz="8" w:space="0" w:color="auto"/>
              <w:right w:val="single" w:sz="8" w:space="0" w:color="auto"/>
            </w:tcBorders>
            <w:tcMar>
              <w:top w:w="0" w:type="dxa"/>
              <w:left w:w="108" w:type="dxa"/>
              <w:bottom w:w="0" w:type="dxa"/>
              <w:right w:w="108" w:type="dxa"/>
            </w:tcMar>
            <w:hideMark/>
          </w:tcPr>
          <w:p w:rsidR="000D004D" w:rsidRPr="00090E71" w:rsidP="00B01CC2" w14:paraId="30632962" w14:textId="77777777">
            <w:pPr>
              <w:spacing w:after="160" w:line="254" w:lineRule="auto"/>
              <w:jc w:val="center"/>
              <w:rPr>
                <w:color w:val="215E99" w:themeColor="text2" w:themeTint="BF"/>
              </w:rPr>
            </w:pPr>
            <w:r w:rsidRPr="00090E71">
              <w:rPr>
                <w:color w:val="215E99" w:themeColor="text2" w:themeTint="BF"/>
              </w:rPr>
              <w:t>139.234,00</w:t>
            </w:r>
          </w:p>
        </w:tc>
      </w:tr>
      <w:tr w14:paraId="75150B66" w14:textId="77777777" w:rsidTr="000D004D">
        <w:tblPrEx>
          <w:tblW w:w="0" w:type="auto"/>
          <w:tblLook w:val="04A0"/>
        </w:tblPrEx>
        <w:trPr>
          <w:trHeight w:val="300"/>
        </w:trPr>
        <w:tc>
          <w:tcPr>
            <w:tcW w:w="47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004D" w:rsidRPr="00090E71" w:rsidP="000D004D" w14:paraId="548EF6FB" w14:textId="77777777">
            <w:pPr>
              <w:spacing w:after="160" w:line="254" w:lineRule="auto"/>
              <w:jc w:val="both"/>
              <w:rPr>
                <w:color w:val="215E99" w:themeColor="text2" w:themeTint="BF"/>
              </w:rPr>
            </w:pPr>
            <w:r w:rsidRPr="00090E71">
              <w:rPr>
                <w:b/>
                <w:color w:val="215E99" w:themeColor="text2" w:themeTint="BF"/>
              </w:rPr>
              <w:t>ONERI PERSONALE</w:t>
            </w:r>
          </w:p>
        </w:tc>
        <w:tc>
          <w:tcPr>
            <w:tcW w:w="4873" w:type="dxa"/>
            <w:tcBorders>
              <w:top w:val="nil"/>
              <w:left w:val="nil"/>
              <w:bottom w:val="single" w:sz="8" w:space="0" w:color="auto"/>
              <w:right w:val="single" w:sz="8" w:space="0" w:color="auto"/>
            </w:tcBorders>
            <w:tcMar>
              <w:top w:w="0" w:type="dxa"/>
              <w:left w:w="108" w:type="dxa"/>
              <w:bottom w:w="0" w:type="dxa"/>
              <w:right w:w="108" w:type="dxa"/>
            </w:tcMar>
            <w:hideMark/>
          </w:tcPr>
          <w:p w:rsidR="000D004D" w:rsidRPr="00090E71" w:rsidP="00B01CC2" w14:paraId="0BA5DCD2" w14:textId="77777777">
            <w:pPr>
              <w:spacing w:after="160" w:line="254" w:lineRule="auto"/>
              <w:jc w:val="center"/>
              <w:rPr>
                <w:color w:val="215E99" w:themeColor="text2" w:themeTint="BF"/>
              </w:rPr>
            </w:pPr>
            <w:r w:rsidRPr="00090E71">
              <w:rPr>
                <w:color w:val="215E99" w:themeColor="text2" w:themeTint="BF"/>
              </w:rPr>
              <w:t>246.631,69</w:t>
            </w:r>
          </w:p>
        </w:tc>
      </w:tr>
      <w:tr w14:paraId="408700D8" w14:textId="77777777" w:rsidTr="000D004D">
        <w:tblPrEx>
          <w:tblW w:w="0" w:type="auto"/>
          <w:tblLook w:val="04A0"/>
        </w:tblPrEx>
        <w:trPr>
          <w:trHeight w:val="300"/>
        </w:trPr>
        <w:tc>
          <w:tcPr>
            <w:tcW w:w="47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004D" w:rsidRPr="00090E71" w:rsidP="000D004D" w14:paraId="43634137" w14:textId="48C03854">
            <w:pPr>
              <w:spacing w:after="160" w:line="254" w:lineRule="auto"/>
              <w:jc w:val="both"/>
              <w:rPr>
                <w:color w:val="215E99" w:themeColor="text2" w:themeTint="BF"/>
              </w:rPr>
            </w:pPr>
            <w:r w:rsidRPr="00090E71">
              <w:rPr>
                <w:b/>
                <w:color w:val="215E99" w:themeColor="text2" w:themeTint="BF"/>
              </w:rPr>
              <w:t>TOTALE COMPLESSIVO</w:t>
            </w:r>
          </w:p>
        </w:tc>
        <w:tc>
          <w:tcPr>
            <w:tcW w:w="4873" w:type="dxa"/>
            <w:tcBorders>
              <w:top w:val="nil"/>
              <w:left w:val="nil"/>
              <w:bottom w:val="single" w:sz="8" w:space="0" w:color="auto"/>
              <w:right w:val="single" w:sz="8" w:space="0" w:color="auto"/>
            </w:tcBorders>
            <w:tcMar>
              <w:top w:w="0" w:type="dxa"/>
              <w:left w:w="108" w:type="dxa"/>
              <w:bottom w:w="0" w:type="dxa"/>
              <w:right w:w="108" w:type="dxa"/>
            </w:tcMar>
            <w:hideMark/>
          </w:tcPr>
          <w:p w:rsidR="000D004D" w:rsidRPr="00090E71" w:rsidP="00B01CC2" w14:paraId="51C9A9E1" w14:textId="77777777">
            <w:pPr>
              <w:spacing w:after="160" w:line="254" w:lineRule="auto"/>
              <w:jc w:val="center"/>
              <w:rPr>
                <w:color w:val="215E99" w:themeColor="text2" w:themeTint="BF"/>
              </w:rPr>
            </w:pPr>
            <w:r w:rsidRPr="00090E71">
              <w:rPr>
                <w:b/>
                <w:color w:val="215E99" w:themeColor="text2" w:themeTint="BF"/>
              </w:rPr>
              <w:t>786.356,69</w:t>
            </w:r>
          </w:p>
        </w:tc>
      </w:tr>
    </w:tbl>
    <w:p w:rsidR="000D004D" w:rsidRPr="000D004D" w:rsidP="000D004D" w14:paraId="16382BB9" w14:textId="77777777">
      <w:pPr>
        <w:spacing w:after="160" w:line="254" w:lineRule="auto"/>
        <w:jc w:val="both"/>
      </w:pPr>
      <w:r w:rsidRPr="000D004D">
        <w:t> </w:t>
      </w:r>
    </w:p>
    <w:p w:rsidR="00C06965" w:rsidP="155C2B82" w14:paraId="0CF5DFA1" w14:textId="66F042C3">
      <w:pPr>
        <w:spacing w:after="160" w:line="254" w:lineRule="auto"/>
        <w:jc w:val="both"/>
      </w:pPr>
      <w:r w:rsidRPr="155C2B82">
        <w:t>Ai sensi dell’articolo 5, comma 2, primo periodo, del decreto-legge 2 marzo 2024, n. 19, convertito, con modificazioni, dalla legge 29 aprile 2024, n. 56, alla Struttura di supporto posta alle dirette dipendenze del Commissario straordinario è assegnato un contingente massimo di personale pari a cinque unità (una di personale dirigenziale di livello non generale e quattro di personale non dirigenziale) dipendenti di pubbliche amministrazioni centrali e di enti territoriali. Il Commissario straordinario, inoltre, può avvalersi di un numero massimo di tre esperti, ai quali compete un compenso massimo annuo di euro 50.000 al lordo dei contributi previdenziali e degli oneri fiscali a carico dell'amministrazione per singolo incarico.</w:t>
      </w:r>
    </w:p>
    <w:p w:rsidR="00F42F27" w:rsidRPr="00381510" w:rsidP="00F42F27" w14:paraId="0CC28E1D" w14:textId="77777777">
      <w:pPr>
        <w:spacing w:before="120" w:after="120"/>
        <w:jc w:val="both"/>
        <w:rPr>
          <w:color w:val="000000" w:themeColor="text1"/>
        </w:rPr>
      </w:pPr>
      <w:r w:rsidRPr="155C2B82">
        <w:rPr>
          <w:rFonts w:eastAsia="Book Antiqua"/>
        </w:rPr>
        <w:t xml:space="preserve">Il </w:t>
      </w:r>
      <w:r w:rsidRPr="155C2B82">
        <w:rPr>
          <w:rFonts w:eastAsia="Book Antiqua"/>
          <w:b/>
          <w:bCs/>
          <w:u w:val="single"/>
        </w:rPr>
        <w:t>comma 2</w:t>
      </w:r>
      <w:r w:rsidRPr="155C2B82" w:rsidR="00FC1B1C">
        <w:rPr>
          <w:rFonts w:eastAsia="Book Antiqua"/>
        </w:rPr>
        <w:t xml:space="preserve"> </w:t>
      </w:r>
      <w:r w:rsidRPr="155C2B82" w:rsidR="00597ABA">
        <w:rPr>
          <w:rFonts w:eastAsia="Book Antiqua"/>
        </w:rPr>
        <w:t xml:space="preserve">interviene sulla </w:t>
      </w:r>
      <w:r w:rsidRPr="155C2B82" w:rsidR="00114D0A">
        <w:rPr>
          <w:rFonts w:eastAsia="Book Antiqua"/>
        </w:rPr>
        <w:t>legge 14 novembre 2000, n. 338</w:t>
      </w:r>
      <w:r w:rsidRPr="155C2B82" w:rsidR="002B6760">
        <w:rPr>
          <w:rFonts w:eastAsia="Book Antiqua"/>
        </w:rPr>
        <w:t xml:space="preserve">. </w:t>
      </w:r>
      <w:r>
        <w:t>In particolare, si modifica l’articolo 1-</w:t>
      </w:r>
      <w:r w:rsidRPr="3AEC0543">
        <w:rPr>
          <w:i/>
          <w:iCs/>
        </w:rPr>
        <w:t>quater</w:t>
      </w:r>
      <w:r>
        <w:t xml:space="preserve"> della legge n. 338 del 2000, così come introdotto dal decreto-legge 2 marzo 2024, n.19, convertito, con modificazioni, dalla legge 29 aprile 2024, n. 56, (cd. “Decreto PNRR 4”), al fine </w:t>
      </w:r>
      <w:r w:rsidRPr="3AEC0543">
        <w:rPr>
          <w:color w:val="000000" w:themeColor="text1"/>
        </w:rPr>
        <w:t>di rassicurare i proprietari di immobili che hanno presentato la propria candidatura per l’housing universitario e, a tal fine, hanno avviato gli interventi edilizi necessari per mettere in disponibilità i posti letto oggetto della suddetta candidatura.</w:t>
      </w:r>
    </w:p>
    <w:p w:rsidR="00B5409D" w:rsidRPr="0016267C" w:rsidP="0016267C" w14:paraId="54124C93" w14:textId="178525BC">
      <w:pPr>
        <w:spacing w:before="120" w:after="120"/>
        <w:jc w:val="both"/>
        <w:rPr>
          <w:rFonts w:eastAsia="Book Antiqua"/>
        </w:rPr>
      </w:pPr>
      <w:r w:rsidRPr="3AEC0543">
        <w:t>Dettagliatamente, si prevede che per gli interventi edilizi volti alla realizzazione di alloggi per studenti in aree già urbanizzate non occorre la previa approvazione di un piano attuativo (o piano di secondo livello comunque denominato) eventualmente previsto in diretta applicazione degli strumenti urbanistici generali; in tali casi gli interventi potranno essere realizzati con modalità diretta/permesso di costruire convenzionato</w:t>
      </w:r>
      <w:r w:rsidR="0016267C">
        <w:t xml:space="preserve">, </w:t>
      </w:r>
      <w:r w:rsidRPr="00E8553F" w:rsidR="0016267C">
        <w:t>ai sensi dell’articolo</w:t>
      </w:r>
      <w:r w:rsidRPr="3AEC0543">
        <w:t xml:space="preserve"> 28-</w:t>
      </w:r>
      <w:r w:rsidRPr="00E8553F">
        <w:t>bis</w:t>
      </w:r>
      <w:r w:rsidRPr="3AEC0543">
        <w:t xml:space="preserve"> del </w:t>
      </w:r>
      <w:r w:rsidR="0016267C">
        <w:t>d</w:t>
      </w:r>
      <w:r w:rsidRPr="3AEC0543">
        <w:t xml:space="preserve">.P.R. </w:t>
      </w:r>
      <w:r w:rsidRPr="00E8553F" w:rsidR="0016267C">
        <w:t>6 giugno</w:t>
      </w:r>
      <w:r w:rsidRPr="3AEC0543">
        <w:t xml:space="preserve"> 2001</w:t>
      </w:r>
      <w:r w:rsidRPr="00E8553F" w:rsidR="0016267C">
        <w:t xml:space="preserve">, n. 380, qualora sia necessaria la realizzazione di opere di urbanizzazione </w:t>
      </w:r>
      <w:r w:rsidRPr="00090E71" w:rsidR="0016267C">
        <w:t>a potenziamento di quelle già esistenti, funzionali all’intervento, da cedere al comune.</w:t>
      </w:r>
      <w:r w:rsidRPr="3AEC0543" w:rsidR="0016267C">
        <w:t xml:space="preserve"> </w:t>
      </w:r>
      <w:r w:rsidRPr="00C06965" w:rsidR="006A39E4">
        <w:rPr>
          <w:b/>
          <w:bCs/>
        </w:rPr>
        <w:t>La disposizione ha carattere ordinamentale, pertanto non comporta nuovi o maggiori oneri a carico della finanza pubblica.</w:t>
      </w:r>
    </w:p>
    <w:p w:rsidR="00C06965" w:rsidRPr="00987C41" w:rsidP="00987C41" w14:paraId="500D679F" w14:textId="77777777">
      <w:pPr>
        <w:spacing w:after="120"/>
      </w:pPr>
    </w:p>
    <w:p w:rsidR="004461A7" w:rsidRPr="00987C41" w:rsidP="00987C41" w14:paraId="038A9C00" w14:textId="36FB6E37">
      <w:pPr>
        <w:pStyle w:val="Heading3"/>
        <w:spacing w:before="0" w:after="120"/>
        <w:rPr>
          <w:rFonts w:eastAsia="Times New Roman" w:cs="Times New Roman"/>
          <w:color w:val="000000" w:themeColor="text1"/>
        </w:rPr>
      </w:pPr>
      <w:bookmarkStart w:id="62" w:name="_Toc220077565"/>
      <w:r w:rsidRPr="00987C41">
        <w:rPr>
          <w:rFonts w:eastAsia="Times New Roman" w:cs="Times New Roman"/>
          <w:color w:val="000000" w:themeColor="text1"/>
        </w:rPr>
        <w:t xml:space="preserve">ART. </w:t>
      </w:r>
      <w:r w:rsidR="002D5E4F">
        <w:rPr>
          <w:rFonts w:eastAsia="Times New Roman" w:cs="Times New Roman"/>
          <w:color w:val="000000" w:themeColor="text1"/>
        </w:rPr>
        <w:t>2</w:t>
      </w:r>
      <w:r w:rsidR="00AA4ED2">
        <w:rPr>
          <w:rFonts w:eastAsia="Times New Roman" w:cs="Times New Roman"/>
          <w:color w:val="000000" w:themeColor="text1"/>
        </w:rPr>
        <w:t>2</w:t>
      </w:r>
      <w:r w:rsidRPr="00987C41">
        <w:rPr>
          <w:rFonts w:eastAsia="Times New Roman" w:cs="Times New Roman"/>
          <w:color w:val="000000" w:themeColor="text1"/>
        </w:rPr>
        <w:t xml:space="preserve">                                                                                                                                              </w:t>
      </w:r>
      <w:bookmarkStart w:id="63" w:name="_Toc1622232929"/>
      <w:r w:rsidRPr="00987C41">
        <w:rPr>
          <w:rFonts w:eastAsia="Times New Roman" w:cs="Times New Roman"/>
          <w:color w:val="000000" w:themeColor="text1"/>
        </w:rPr>
        <w:t>(</w:t>
      </w:r>
      <w:r w:rsidRPr="00414125">
        <w:rPr>
          <w:rFonts w:cs="Times New Roman"/>
        </w:rPr>
        <w:t xml:space="preserve">Disposizioni urgenti </w:t>
      </w:r>
      <w:r w:rsidR="00CD5990">
        <w:rPr>
          <w:rFonts w:cs="Times New Roman"/>
        </w:rPr>
        <w:t>in materia</w:t>
      </w:r>
      <w:r w:rsidRPr="00414125" w:rsidR="00CD5990">
        <w:rPr>
          <w:rFonts w:cs="Times New Roman"/>
        </w:rPr>
        <w:t xml:space="preserve"> </w:t>
      </w:r>
      <w:r w:rsidRPr="00414125" w:rsidR="003871C3">
        <w:t>di semplificazione e di efficientamento per il diritto allo studio universitario</w:t>
      </w:r>
      <w:bookmarkEnd w:id="63"/>
      <w:r w:rsidRPr="524FDC91" w:rsidR="001C63D6">
        <w:rPr>
          <w:rFonts w:eastAsia="Times New Roman" w:cs="Times New Roman"/>
          <w:b w:val="0"/>
          <w:color w:val="FF0000"/>
        </w:rPr>
        <w:t xml:space="preserve"> </w:t>
      </w:r>
      <w:r w:rsidRPr="001C63D6" w:rsidR="001C63D6">
        <w:rPr>
          <w:rFonts w:eastAsia="Times New Roman" w:cs="Times New Roman"/>
          <w:bCs/>
          <w:color w:val="000000" w:themeColor="text1"/>
        </w:rPr>
        <w:t>in attuazione</w:t>
      </w:r>
      <w:r w:rsidRPr="001C63D6" w:rsidR="001C63D6">
        <w:rPr>
          <w:rFonts w:eastAsia="Times New Roman" w:cs="Times New Roman"/>
          <w:color w:val="000000" w:themeColor="text1"/>
        </w:rPr>
        <w:t xml:space="preserve"> dell’Investimento 1.7 </w:t>
      </w:r>
      <w:r w:rsidRPr="001C63D6" w:rsidR="001C63D6">
        <w:rPr>
          <w:rFonts w:eastAsia="Times New Roman" w:cs="Times New Roman"/>
          <w:bCs/>
          <w:iCs/>
          <w:color w:val="000000" w:themeColor="text1"/>
        </w:rPr>
        <w:t>«</w:t>
      </w:r>
      <w:r w:rsidRPr="001C63D6" w:rsidR="001C63D6">
        <w:rPr>
          <w:rFonts w:eastAsia="Times New Roman" w:cs="Times New Roman"/>
          <w:color w:val="000000" w:themeColor="text1"/>
        </w:rPr>
        <w:t>Borse di studio per l’accesso all’università</w:t>
      </w:r>
      <w:r w:rsidRPr="001C63D6" w:rsidR="001C63D6">
        <w:rPr>
          <w:rFonts w:eastAsia="Times New Roman" w:cs="Times New Roman"/>
          <w:bCs/>
          <w:iCs/>
          <w:color w:val="000000" w:themeColor="text1"/>
        </w:rPr>
        <w:t>»</w:t>
      </w:r>
      <w:r w:rsidRPr="001C63D6" w:rsidR="001C63D6">
        <w:rPr>
          <w:rFonts w:eastAsia="Times New Roman" w:cs="Times New Roman"/>
          <w:color w:val="000000" w:themeColor="text1"/>
        </w:rPr>
        <w:t xml:space="preserve"> </w:t>
      </w:r>
      <w:r w:rsidR="002966EF">
        <w:rPr>
          <w:i/>
          <w:iCs/>
          <w:color w:val="000000" w:themeColor="text1"/>
        </w:rPr>
        <w:t xml:space="preserve">e </w:t>
      </w:r>
      <w:r w:rsidRPr="00090E71" w:rsidR="002966EF">
        <w:t xml:space="preserve">in materia di lauree abilitanti in attuazione della </w:t>
      </w:r>
      <w:r w:rsidRPr="00090E71" w:rsidR="002966EF">
        <w:rPr>
          <w:bCs/>
        </w:rPr>
        <w:t>Riforma 1.6</w:t>
      </w:r>
      <w:r w:rsidRPr="00090E71" w:rsidR="002966EF">
        <w:rPr>
          <w:bCs/>
          <w:i/>
          <w:iCs/>
        </w:rPr>
        <w:t xml:space="preserve"> </w:t>
      </w:r>
      <w:r w:rsidRPr="00090E71" w:rsidR="002966EF">
        <w:rPr>
          <w:i/>
          <w:iCs/>
        </w:rPr>
        <w:t>«</w:t>
      </w:r>
      <w:r w:rsidRPr="00090E71" w:rsidR="002966EF">
        <w:rPr>
          <w:bCs/>
          <w:i/>
          <w:iCs/>
        </w:rPr>
        <w:t>Riforma delle lauree abilitanti per determinate professioni</w:t>
      </w:r>
      <w:r w:rsidRPr="00090E71" w:rsidR="002966EF">
        <w:rPr>
          <w:i/>
          <w:iCs/>
        </w:rPr>
        <w:t>»</w:t>
      </w:r>
      <w:r w:rsidRPr="00090E71" w:rsidR="002966EF">
        <w:rPr>
          <w:bCs/>
          <w:i/>
          <w:iCs/>
        </w:rPr>
        <w:t xml:space="preserve"> </w:t>
      </w:r>
      <w:r w:rsidRPr="00090E71" w:rsidR="001C63D6">
        <w:rPr>
          <w:rFonts w:eastAsia="Times New Roman" w:cs="Times New Roman"/>
        </w:rPr>
        <w:t>della Missione 4 - Componente</w:t>
      </w:r>
      <w:r w:rsidRPr="001C63D6" w:rsidR="001C63D6">
        <w:rPr>
          <w:rFonts w:eastAsia="Times New Roman" w:cs="Times New Roman"/>
          <w:color w:val="000000" w:themeColor="text1"/>
        </w:rPr>
        <w:t xml:space="preserve"> 1 del PNRR, nonché in materia di attività di ricerca di base e industriale in attuazione della Riforma 1.1 </w:t>
      </w:r>
      <w:r w:rsidRPr="001C63D6" w:rsidR="001C63D6">
        <w:rPr>
          <w:rFonts w:eastAsia="Times New Roman" w:cs="Times New Roman"/>
          <w:bCs/>
          <w:iCs/>
          <w:color w:val="000000" w:themeColor="text1"/>
        </w:rPr>
        <w:t>«</w:t>
      </w:r>
      <w:r w:rsidRPr="001C63D6" w:rsidR="001C63D6">
        <w:rPr>
          <w:rFonts w:eastAsia="Times New Roman" w:cs="Times New Roman"/>
          <w:color w:val="000000" w:themeColor="text1"/>
        </w:rPr>
        <w:t>Misure di sostegno alla R&amp;S per promuovere la semplificazione e la mobilità</w:t>
      </w:r>
      <w:r w:rsidRPr="001C63D6" w:rsidR="001C63D6">
        <w:rPr>
          <w:rFonts w:eastAsia="Times New Roman" w:cs="Times New Roman"/>
          <w:bCs/>
          <w:iCs/>
          <w:color w:val="000000" w:themeColor="text1"/>
        </w:rPr>
        <w:t>»</w:t>
      </w:r>
      <w:r w:rsidRPr="001C63D6" w:rsidR="001C63D6">
        <w:rPr>
          <w:rFonts w:eastAsia="Times New Roman" w:cs="Times New Roman"/>
          <w:color w:val="000000" w:themeColor="text1"/>
        </w:rPr>
        <w:t xml:space="preserve"> della Missione 4 – Componente </w:t>
      </w:r>
      <w:r w:rsidR="008270DA">
        <w:rPr>
          <w:rFonts w:eastAsia="Times New Roman" w:cs="Times New Roman"/>
          <w:color w:val="000000" w:themeColor="text1"/>
        </w:rPr>
        <w:t>2</w:t>
      </w:r>
      <w:r w:rsidRPr="001C63D6" w:rsidR="001C63D6">
        <w:rPr>
          <w:rFonts w:eastAsia="Times New Roman" w:cs="Times New Roman"/>
          <w:color w:val="000000" w:themeColor="text1"/>
        </w:rPr>
        <w:t xml:space="preserve"> del PNRR</w:t>
      </w:r>
      <w:r w:rsidR="001C63D6">
        <w:rPr>
          <w:rFonts w:eastAsia="Times New Roman" w:cs="Times New Roman"/>
          <w:color w:val="000000" w:themeColor="text1"/>
        </w:rPr>
        <w:t>)</w:t>
      </w:r>
      <w:bookmarkEnd w:id="62"/>
    </w:p>
    <w:p w:rsidR="003871C3" w:rsidRPr="00987C41" w:rsidP="00987C41" w14:paraId="3F652E0C" w14:textId="6D09634B">
      <w:pPr>
        <w:shd w:val="clear" w:color="auto" w:fill="FFFFFF" w:themeFill="background1"/>
        <w:spacing w:after="120"/>
        <w:jc w:val="both"/>
        <w:rPr>
          <w:rFonts w:eastAsia="Book Antiqua"/>
        </w:rPr>
      </w:pPr>
      <w:r w:rsidRPr="00987C41">
        <w:rPr>
          <w:rFonts w:eastAsia="Book Antiqua"/>
          <w:color w:val="000000" w:themeColor="text1"/>
        </w:rPr>
        <w:t xml:space="preserve">Il </w:t>
      </w:r>
      <w:r w:rsidRPr="00987C41">
        <w:rPr>
          <w:rFonts w:eastAsia="Book Antiqua"/>
          <w:b/>
          <w:color w:val="000000" w:themeColor="text1"/>
          <w:u w:val="single"/>
        </w:rPr>
        <w:t xml:space="preserve">comma 1 </w:t>
      </w:r>
      <w:r w:rsidRPr="00987C41">
        <w:rPr>
          <w:rFonts w:eastAsia="Book Antiqua"/>
          <w:color w:val="000000" w:themeColor="text1"/>
        </w:rPr>
        <w:t>prevede che, al fine di semplificare le procedure connesse alla tutela del diritto allo studio universitario, in conformità con l’Investimento 1.7 “</w:t>
      </w:r>
      <w:r w:rsidRPr="00987C41">
        <w:rPr>
          <w:rFonts w:eastAsia="Book Antiqua"/>
          <w:i/>
          <w:color w:val="000000" w:themeColor="text1"/>
        </w:rPr>
        <w:t>Borse di studio per l’accesso all’università</w:t>
      </w:r>
      <w:r w:rsidRPr="00987C41">
        <w:rPr>
          <w:rFonts w:eastAsia="Book Antiqua"/>
          <w:color w:val="000000" w:themeColor="text1"/>
        </w:rPr>
        <w:t>”, del Piano Nazionale di Ripresa e Resilienza, gli organismi regionali di gestione per il diritto allo studio universitario possano accedere ai dati relativi agli studenti trattati dal Ministero dell’università e della ricerca, in archivi informatizzati di rilievo nazionale, in misura adeguata, pertinente e limitata a quanto necessario rispetto alle finalità previste dalla disposizione e secondo le garanzie e le misure individuate nel decreto di cui al successivo comma 2.</w:t>
      </w:r>
      <w:r w:rsidRPr="00987C41" w:rsidR="332107E0">
        <w:rPr>
          <w:rFonts w:eastAsia="Book Antiqua"/>
          <w:color w:val="000000" w:themeColor="text1"/>
        </w:rPr>
        <w:t xml:space="preserve"> </w:t>
      </w:r>
      <w:bookmarkStart w:id="64" w:name="_Hlk213757642"/>
      <w:r w:rsidRPr="00987C41">
        <w:rPr>
          <w:rFonts w:eastAsia="Book Antiqua"/>
        </w:rPr>
        <w:t xml:space="preserve">La </w:t>
      </w:r>
      <w:r w:rsidRPr="00987C41" w:rsidR="7EC375D5">
        <w:rPr>
          <w:rFonts w:eastAsia="Book Antiqua"/>
        </w:rPr>
        <w:t xml:space="preserve">disposizione </w:t>
      </w:r>
      <w:r w:rsidRPr="00987C41" w:rsidR="48E1C949">
        <w:rPr>
          <w:rFonts w:eastAsia="Book Antiqua"/>
        </w:rPr>
        <w:t>ha</w:t>
      </w:r>
      <w:r w:rsidRPr="00987C41">
        <w:rPr>
          <w:rFonts w:eastAsia="Book Antiqua"/>
        </w:rPr>
        <w:t xml:space="preserve"> carattere ordinamentale, pertanto </w:t>
      </w:r>
      <w:r w:rsidRPr="00987C41">
        <w:rPr>
          <w:rFonts w:eastAsia="Book Antiqua"/>
          <w:b/>
        </w:rPr>
        <w:t>non comporta nuovi o maggiori oneri</w:t>
      </w:r>
      <w:r w:rsidRPr="00987C41">
        <w:rPr>
          <w:rFonts w:eastAsia="Book Antiqua"/>
        </w:rPr>
        <w:t xml:space="preserve"> a carico della finanza pubblica.</w:t>
      </w:r>
    </w:p>
    <w:bookmarkEnd w:id="64"/>
    <w:p w:rsidR="002838D9" w:rsidRPr="008020E8" w:rsidP="155C2B82" w14:paraId="63159DDD" w14:textId="3B1315D5">
      <w:pPr>
        <w:spacing w:after="160" w:line="257" w:lineRule="auto"/>
        <w:jc w:val="both"/>
        <w:rPr>
          <w:rFonts w:eastAsia="Book Antiqua"/>
        </w:rPr>
      </w:pPr>
      <w:r w:rsidRPr="155C2B82">
        <w:rPr>
          <w:rFonts w:eastAsia="Book Antiqua"/>
          <w:color w:val="000000" w:themeColor="text1"/>
        </w:rPr>
        <w:t>I</w:t>
      </w:r>
      <w:r w:rsidRPr="155C2B82" w:rsidR="58486EE3">
        <w:rPr>
          <w:rFonts w:eastAsia="Book Antiqua"/>
          <w:color w:val="000000" w:themeColor="text1"/>
        </w:rPr>
        <w:t xml:space="preserve">l </w:t>
      </w:r>
      <w:r w:rsidRPr="155C2B82" w:rsidR="58486EE3">
        <w:rPr>
          <w:rFonts w:eastAsia="Book Antiqua"/>
          <w:b/>
          <w:bCs/>
          <w:color w:val="000000" w:themeColor="text1"/>
          <w:u w:val="single"/>
        </w:rPr>
        <w:t>comma 2</w:t>
      </w:r>
      <w:r w:rsidRPr="155C2B82" w:rsidR="548D5585">
        <w:rPr>
          <w:rFonts w:eastAsia="Book Antiqua"/>
          <w:b/>
          <w:bCs/>
          <w:color w:val="000000" w:themeColor="text1"/>
        </w:rPr>
        <w:t xml:space="preserve"> </w:t>
      </w:r>
      <w:r w:rsidRPr="155C2B82" w:rsidR="58486EE3">
        <w:rPr>
          <w:rFonts w:eastAsia="Book Antiqua"/>
          <w:color w:val="000000" w:themeColor="text1"/>
        </w:rPr>
        <w:t>prevede che</w:t>
      </w:r>
      <w:r w:rsidR="009008A2">
        <w:rPr>
          <w:rFonts w:eastAsia="Book Antiqua"/>
          <w:color w:val="000000" w:themeColor="text1"/>
        </w:rPr>
        <w:t>, con</w:t>
      </w:r>
      <w:r w:rsidRPr="155C2B82" w:rsidR="58486EE3">
        <w:rPr>
          <w:rFonts w:eastAsia="Book Antiqua"/>
          <w:color w:val="000000" w:themeColor="text1"/>
        </w:rPr>
        <w:t xml:space="preserve"> decreto del Ministro dell’università e della ricerca, da adottarsi entro </w:t>
      </w:r>
      <w:r w:rsidR="00DE35C3">
        <w:rPr>
          <w:rFonts w:eastAsia="Book Antiqua"/>
          <w:color w:val="000000" w:themeColor="text1"/>
        </w:rPr>
        <w:t>novanta</w:t>
      </w:r>
      <w:r w:rsidRPr="155C2B82" w:rsidR="00A135E9">
        <w:rPr>
          <w:rFonts w:eastAsia="Book Antiqua"/>
          <w:color w:val="000000" w:themeColor="text1"/>
        </w:rPr>
        <w:t xml:space="preserve"> </w:t>
      </w:r>
      <w:r w:rsidRPr="155C2B82" w:rsidR="58486EE3">
        <w:rPr>
          <w:rFonts w:eastAsia="Book Antiqua"/>
          <w:color w:val="000000" w:themeColor="text1"/>
        </w:rPr>
        <w:t xml:space="preserve">giorni dalla data di entrata in vigore </w:t>
      </w:r>
      <w:r w:rsidRPr="155C2B82" w:rsidR="00A135E9">
        <w:rPr>
          <w:rFonts w:eastAsia="Book Antiqua"/>
          <w:color w:val="000000" w:themeColor="text1"/>
        </w:rPr>
        <w:t>del presente</w:t>
      </w:r>
      <w:r w:rsidRPr="155C2B82" w:rsidR="58486EE3">
        <w:rPr>
          <w:rFonts w:eastAsia="Book Antiqua"/>
          <w:color w:val="000000" w:themeColor="text1"/>
        </w:rPr>
        <w:t xml:space="preserve"> decreto</w:t>
      </w:r>
      <w:r w:rsidR="00CC4A52">
        <w:rPr>
          <w:rFonts w:eastAsia="Book Antiqua"/>
          <w:color w:val="000000" w:themeColor="text1"/>
        </w:rPr>
        <w:t>,</w:t>
      </w:r>
      <w:r w:rsidR="00E8150A">
        <w:rPr>
          <w:rFonts w:eastAsia="Book Antiqua"/>
          <w:color w:val="000000" w:themeColor="text1"/>
        </w:rPr>
        <w:t xml:space="preserve"> </w:t>
      </w:r>
      <w:r w:rsidRPr="155C2B82" w:rsidR="62EDB937">
        <w:rPr>
          <w:rFonts w:eastAsia="Book Antiqua"/>
          <w:color w:val="000000" w:themeColor="text1"/>
        </w:rPr>
        <w:t xml:space="preserve">acquisito il </w:t>
      </w:r>
      <w:r w:rsidRPr="155C2B82" w:rsidR="58486EE3">
        <w:rPr>
          <w:rFonts w:eastAsia="Book Antiqua"/>
          <w:color w:val="000000" w:themeColor="text1"/>
        </w:rPr>
        <w:t xml:space="preserve">parere del Garante per la protezione dei dati personali, </w:t>
      </w:r>
      <w:r w:rsidRPr="155C2B82" w:rsidR="461E8955">
        <w:rPr>
          <w:rFonts w:eastAsia="Book Antiqua"/>
          <w:color w:val="000000" w:themeColor="text1"/>
        </w:rPr>
        <w:t xml:space="preserve">vengano </w:t>
      </w:r>
      <w:r w:rsidRPr="155C2B82" w:rsidR="58486EE3">
        <w:rPr>
          <w:rFonts w:eastAsia="Book Antiqua"/>
          <w:color w:val="000000" w:themeColor="text1"/>
        </w:rPr>
        <w:t>disciplinati gli elementi essenziali del trattamento dei dati personali ed, in particolare, le tipologie di dati personali trattati, nonché i relativi tempi di conservazione proporzionati rispetto alle finalità perseguite, le misure appropriate e specifiche per tutelare i diritti fondamentali e gli interessi degli interessati in relazione al trattamento di categorie particolari di dati di cui all’articolo 9 del Regolamento 2016/679/UE, nonché all’articolo 2-sexies del decreto legislativo 30 giugno 2023, n. 196, nonché le misure tecniche e organizzative per garantire un livello di sicurezza adeguato ai rischi per i diritti e le libertà fondamentali degli interessati.</w:t>
      </w:r>
      <w:r w:rsidRPr="155C2B82" w:rsidR="1113BBF5">
        <w:rPr>
          <w:rFonts w:eastAsia="Book Antiqua"/>
        </w:rPr>
        <w:t xml:space="preserve"> </w:t>
      </w:r>
      <w:r w:rsidRPr="155C2B82" w:rsidR="58486EE3">
        <w:rPr>
          <w:rFonts w:eastAsia="Book Antiqua"/>
        </w:rPr>
        <w:t xml:space="preserve">La </w:t>
      </w:r>
      <w:r w:rsidRPr="155C2B82" w:rsidR="1BBD7595">
        <w:rPr>
          <w:rFonts w:eastAsia="Book Antiqua"/>
        </w:rPr>
        <w:t>disposizione ha</w:t>
      </w:r>
      <w:r w:rsidRPr="155C2B82" w:rsidR="58486EE3">
        <w:rPr>
          <w:rFonts w:eastAsia="Book Antiqua"/>
        </w:rPr>
        <w:t xml:space="preserve"> carattere ordinamentale</w:t>
      </w:r>
      <w:r w:rsidRPr="155C2B82" w:rsidR="006E5F62">
        <w:rPr>
          <w:rFonts w:eastAsia="Book Antiqua"/>
        </w:rPr>
        <w:t xml:space="preserve"> e</w:t>
      </w:r>
      <w:r w:rsidRPr="155C2B82" w:rsidR="58486EE3">
        <w:rPr>
          <w:rFonts w:eastAsia="Book Antiqua"/>
        </w:rPr>
        <w:t>, pertanto</w:t>
      </w:r>
      <w:r w:rsidRPr="155C2B82" w:rsidR="006E5F62">
        <w:rPr>
          <w:rFonts w:eastAsia="Book Antiqua"/>
        </w:rPr>
        <w:t>,</w:t>
      </w:r>
      <w:r w:rsidRPr="155C2B82" w:rsidR="58486EE3">
        <w:rPr>
          <w:rFonts w:eastAsia="Book Antiqua"/>
        </w:rPr>
        <w:t xml:space="preserve"> </w:t>
      </w:r>
      <w:r w:rsidRPr="155C2B82" w:rsidR="58486EE3">
        <w:rPr>
          <w:rFonts w:eastAsia="Book Antiqua"/>
          <w:b/>
          <w:bCs/>
        </w:rPr>
        <w:t>non comporta nuovi o maggiori oneri a carico della finanza pubblica</w:t>
      </w:r>
      <w:r w:rsidRPr="155C2B82" w:rsidR="6ED8E875">
        <w:rPr>
          <w:rFonts w:eastAsia="Book Antiqua"/>
          <w:b/>
          <w:bCs/>
        </w:rPr>
        <w:t>.</w:t>
      </w:r>
    </w:p>
    <w:p w:rsidR="002838D9" w:rsidRPr="008020E8" w:rsidP="00695B8A" w14:paraId="08B14356" w14:textId="29619B7E">
      <w:pPr>
        <w:spacing w:after="160"/>
        <w:jc w:val="both"/>
        <w:rPr>
          <w:rFonts w:eastAsia="Book Antiqua"/>
        </w:rPr>
      </w:pPr>
      <w:r w:rsidRPr="155C2B82">
        <w:t xml:space="preserve">Il </w:t>
      </w:r>
      <w:r w:rsidRPr="155C2B82">
        <w:rPr>
          <w:b/>
          <w:bCs/>
          <w:u w:val="single"/>
        </w:rPr>
        <w:t>comma 3</w:t>
      </w:r>
      <w:r w:rsidRPr="155C2B82">
        <w:rPr>
          <w:b/>
          <w:bCs/>
        </w:rPr>
        <w:t xml:space="preserve"> </w:t>
      </w:r>
      <w:r w:rsidRPr="155C2B82">
        <w:t xml:space="preserve">ha lo scopo di assicurare per l’anno accademico 2025/2026, </w:t>
      </w:r>
      <w:r w:rsidR="004A2E9E">
        <w:t>n</w:t>
      </w:r>
      <w:r w:rsidRPr="004A2E9E" w:rsidR="004A2E9E">
        <w:t>elle more dell’adozione del decreto di cui al comma 2 e limitatamente ai dati relativi agli studenti raccolti e trattati ai fini dell’applicazione del decreto legislativo 15 maggio 2025, n. 71</w:t>
      </w:r>
      <w:r w:rsidRPr="155C2B82">
        <w:t>, il tempestivo ed efficace espletamento delle procedure di verifica delle autocertificazioni degli studenti.</w:t>
      </w:r>
    </w:p>
    <w:p w:rsidR="002838D9" w:rsidRPr="008020E8" w:rsidP="00695B8A" w14:paraId="07F9BA78" w14:textId="161EF3EF">
      <w:pPr>
        <w:spacing w:after="160"/>
        <w:jc w:val="both"/>
      </w:pPr>
      <w:r w:rsidRPr="155C2B82">
        <w:t>Tale previsione si rende indispensabile per provvedere senza ritardi alla gestione all’eventuale trasferimento interregionale degli studenti che, avendo svolto il percorso formativo del semestre aperto presso un Ateneo con sede in un territorio regionale diverso da quello di successiva immatricolazione, necessitano di presentare domanda di accesso ai benefici per il Diritto allo Studio Universitario (DSU) presso la Regione di destinazione.</w:t>
      </w:r>
    </w:p>
    <w:p w:rsidR="002838D9" w:rsidRPr="00377061" w:rsidP="00695B8A" w14:paraId="0FCF965A" w14:textId="025443F5">
      <w:pPr>
        <w:spacing w:after="160"/>
        <w:jc w:val="both"/>
        <w:rPr>
          <w:lang w:val="en-US"/>
        </w:rPr>
      </w:pPr>
      <w:r w:rsidRPr="155C2B82">
        <w:t xml:space="preserve">Come previsto dal D.M. MUR 11 luglio 2025, n. 447, infatti, gli organismi regionali di gestione del DSU sono tenuti a espletare le attività di verifica del possesso dei requisiti economici e di merito previsti dalla normativa vigente per gli studenti capaci e meritevoli ai quali è riconosciuto il godimento dei benefici DSU sia durante il semestre aperto che a seguito della conclusione dello stesso. </w:t>
      </w:r>
      <w:r w:rsidRPr="00377061">
        <w:rPr>
          <w:lang w:val="en-US"/>
        </w:rPr>
        <w:t>(</w:t>
      </w:r>
      <w:r w:rsidRPr="00377061">
        <w:rPr>
          <w:i/>
          <w:iCs/>
          <w:lang w:val="en-US"/>
        </w:rPr>
        <w:t>rif</w:t>
      </w:r>
      <w:r w:rsidRPr="00377061">
        <w:rPr>
          <w:i/>
          <w:iCs/>
          <w:lang w:val="en-US"/>
        </w:rPr>
        <w:t xml:space="preserve">. </w:t>
      </w:r>
      <w:r w:rsidRPr="00377061">
        <w:rPr>
          <w:i/>
          <w:iCs/>
          <w:lang w:val="en-US"/>
        </w:rPr>
        <w:t>Artt</w:t>
      </w:r>
      <w:r w:rsidRPr="00377061">
        <w:rPr>
          <w:i/>
          <w:iCs/>
          <w:lang w:val="en-US"/>
        </w:rPr>
        <w:t>. 2 e 3, D.M. MUR 447/2025 e Art. 1, co. 5, D.M. MUR 431/2025</w:t>
      </w:r>
      <w:r w:rsidRPr="00377061">
        <w:rPr>
          <w:lang w:val="en-US"/>
        </w:rPr>
        <w:t>).</w:t>
      </w:r>
    </w:p>
    <w:p w:rsidR="002838D9" w:rsidRPr="008020E8" w:rsidP="00695B8A" w14:paraId="18401920" w14:textId="35640E31">
      <w:pPr>
        <w:spacing w:after="160"/>
        <w:jc w:val="both"/>
      </w:pPr>
      <w:r w:rsidRPr="155C2B82">
        <w:t>La pubblicazione delle graduatorie nazionali di merito redatte sulla base del punteggio conseguito negli esami di profitto è avvenuta l’8 gennaio 2026, con l'indicazione della sede universitaria di assegnazione alla quale lo studente risulta immatricolabile. A partire da tale data e sino al 6 marzo 2026, gli studenti completeranno l'immatricolazione e potranno richiedere l'accesso ai benefici per la tutela del diritto allo studio per il secondo semestre (</w:t>
      </w:r>
      <w:r w:rsidRPr="155C2B82">
        <w:rPr>
          <w:i/>
          <w:iCs/>
        </w:rPr>
        <w:t>rif.</w:t>
      </w:r>
      <w:r w:rsidRPr="155C2B82">
        <w:rPr>
          <w:i/>
          <w:iCs/>
        </w:rPr>
        <w:t xml:space="preserve"> DM MUR 1115/2025</w:t>
      </w:r>
      <w:r w:rsidRPr="155C2B82">
        <w:t>).</w:t>
      </w:r>
    </w:p>
    <w:p w:rsidR="002838D9" w:rsidRPr="00695B8A" w:rsidP="00B32B49" w14:paraId="774E3884" w14:textId="426BD36E">
      <w:pPr>
        <w:spacing w:after="160"/>
        <w:jc w:val="both"/>
        <w:rPr>
          <w:rFonts w:eastAsia="Book Antiqua"/>
          <w:b/>
          <w:bCs/>
        </w:rPr>
      </w:pPr>
      <w:r w:rsidRPr="155C2B82">
        <w:t>Il comma, per le suddette finalità, e in coerenza con la disciplina in materia di autocertificazione (D.P.R. 445/2000),</w:t>
      </w:r>
      <w:r w:rsidRPr="155C2B82">
        <w:rPr>
          <w:i/>
          <w:iCs/>
        </w:rPr>
        <w:t xml:space="preserve"> </w:t>
      </w:r>
      <w:r w:rsidRPr="155C2B82">
        <w:t xml:space="preserve">individua un </w:t>
      </w:r>
      <w:r w:rsidRPr="155C2B82">
        <w:rPr>
          <w:i/>
          <w:iCs/>
        </w:rPr>
        <w:t>set</w:t>
      </w:r>
      <w:r w:rsidRPr="155C2B82">
        <w:t xml:space="preserve"> ridotto di dati personali comuni (lettere da a) a h))</w:t>
      </w:r>
      <w:r w:rsidRPr="155C2B82">
        <w:rPr>
          <w:i/>
          <w:iCs/>
        </w:rPr>
        <w:t xml:space="preserve"> </w:t>
      </w:r>
      <w:r w:rsidRPr="155C2B82">
        <w:t>raccolti per la gestione nazionale del semestre filtro, e autorizza, in ossequio al principio di minimizzazione del trattamento</w:t>
      </w:r>
      <w:r w:rsidRPr="155C2B82">
        <w:rPr>
          <w:i/>
          <w:iCs/>
        </w:rPr>
        <w:t>,</w:t>
      </w:r>
      <w:r w:rsidRPr="155C2B82">
        <w:t xml:space="preserve"> l’accesso agli organismi regionali di gestione del diritto allo studio universitario della regione di immatricolazione. Tale accesso, in coerenza con il principio di limitazione delle finalità, è inoltre circoscritto ai soli studenti che presentano domanda presso i medesimi organismi autocertificando il possesso dei requisiti, e al solo al fine di verificarne la sussistenza. Nel rispetto di tali presupposti, la semplificazione proposta persegue pertanto l’obiettivo di garantire che le procedure di verifica possano essere perfezionate efficacemente e tempestivamente già nelle prime settimane del 2026. Di talché, sulla scorta di tali premesse, vengono poste le condizioni di base per assicurare la successiva erogazione senza ritardi agli studenti beneficiari immatricolati presso una sede universitaria ubicata in una Regione diversa a quella in cui è stato svolto il semestre filtro.</w:t>
      </w:r>
      <w:r w:rsidRPr="155C2B82">
        <w:rPr>
          <w:i/>
          <w:iCs/>
        </w:rPr>
        <w:t xml:space="preserve"> </w:t>
      </w:r>
      <w:r w:rsidRPr="155C2B82">
        <w:t xml:space="preserve">La disposizione mira, pertanto, a realizzare un appropriato contemperamento tra l'esigenza di tutela della </w:t>
      </w:r>
      <w:r w:rsidRPr="155C2B82">
        <w:rPr>
          <w:i/>
          <w:iCs/>
        </w:rPr>
        <w:t>privacy</w:t>
      </w:r>
      <w:r w:rsidRPr="155C2B82">
        <w:t xml:space="preserve"> e l'inderogabile necessità di permettere agli organismi preposti di esercitare le loro funzioni, previste, conformemente al dettato costituzionale, dalla competenza legislativa residuale delle Regioni in materia di diritto allo studio universitario. </w:t>
      </w:r>
      <w:r w:rsidRPr="00695B8A">
        <w:rPr>
          <w:b/>
          <w:bCs/>
        </w:rPr>
        <w:t xml:space="preserve">Dal punto di vista finanziario, le previsioni in commento hanno carattere ordinamentale e, pertanto, </w:t>
      </w:r>
      <w:r w:rsidRPr="00695B8A">
        <w:rPr>
          <w:rFonts w:eastAsia="Book Antiqua"/>
          <w:b/>
          <w:bCs/>
        </w:rPr>
        <w:t>non determinano nuovi o maggiori oneri a carico della finanza pubblica</w:t>
      </w:r>
    </w:p>
    <w:p w:rsidR="002838D9" w:rsidRPr="008020E8" w:rsidP="00B32B49" w14:paraId="23C4B522" w14:textId="66407E66">
      <w:pPr>
        <w:spacing w:after="160"/>
        <w:jc w:val="both"/>
        <w:rPr>
          <w:rFonts w:eastAsia="Book Antiqua"/>
        </w:rPr>
      </w:pPr>
      <w:r w:rsidRPr="155C2B82">
        <w:rPr>
          <w:rFonts w:eastAsia="Book Antiqua"/>
        </w:rPr>
        <w:t xml:space="preserve">Il </w:t>
      </w:r>
      <w:r w:rsidRPr="155C2B82">
        <w:rPr>
          <w:rFonts w:eastAsia="Book Antiqua"/>
          <w:b/>
          <w:bCs/>
          <w:u w:val="single"/>
        </w:rPr>
        <w:t xml:space="preserve">comma </w:t>
      </w:r>
      <w:r w:rsidRPr="155C2B82" w:rsidR="4D473D88">
        <w:rPr>
          <w:rFonts w:eastAsia="Book Antiqua"/>
          <w:b/>
          <w:bCs/>
          <w:u w:val="single"/>
        </w:rPr>
        <w:t xml:space="preserve">4 </w:t>
      </w:r>
      <w:r w:rsidRPr="155C2B82" w:rsidR="004E390A">
        <w:rPr>
          <w:rFonts w:eastAsia="Book Antiqua"/>
        </w:rPr>
        <w:t>prevede</w:t>
      </w:r>
      <w:r w:rsidRPr="155C2B82">
        <w:rPr>
          <w:rFonts w:eastAsia="Book Antiqua"/>
        </w:rPr>
        <w:t>, l’inserimento, dopo il comma 2 dell’articolo 5, del decreto legislativo 29 marzo 2012, n. 49, del comma 2</w:t>
      </w:r>
      <w:r w:rsidR="00957C2A">
        <w:rPr>
          <w:rFonts w:eastAsia="Book Antiqua"/>
        </w:rPr>
        <w:t>-</w:t>
      </w:r>
      <w:r w:rsidRPr="155C2B82">
        <w:rPr>
          <w:rFonts w:eastAsia="Book Antiqua"/>
          <w:i/>
          <w:iCs/>
        </w:rPr>
        <w:t>bis</w:t>
      </w:r>
      <w:r w:rsidRPr="155C2B82">
        <w:rPr>
          <w:rFonts w:eastAsia="Book Antiqua"/>
        </w:rPr>
        <w:t xml:space="preserve">, recante l’esclusione dalle spese complessive del personale di cui al comma 2 delle spese sostenute per i contratti di cui agli articoli  22 (contratti di ricerca), 22-bis (incarichi post-doc) e 22-ter (incarichi di ricerca) della legge 30 dicembre 2010, n. 240, nonché per i contratti a tempo determinato di cui all’articolo 24, comma 3, lettera </w:t>
      </w:r>
      <w:r w:rsidRPr="155C2B82">
        <w:rPr>
          <w:rFonts w:eastAsia="Book Antiqua"/>
          <w:i/>
          <w:iCs/>
        </w:rPr>
        <w:t xml:space="preserve">a), </w:t>
      </w:r>
      <w:r w:rsidRPr="155C2B82">
        <w:rPr>
          <w:rFonts w:eastAsia="Book Antiqua"/>
        </w:rPr>
        <w:t>della legge 30 dicembre 2010, n.240 nel testo antecedente all’entrata in vigore del decreto-legge 30 aprile 2022, n. 36, convertito, con modificazioni, dalla legge 29 giugno 2022, n. 79.</w:t>
      </w:r>
    </w:p>
    <w:p w:rsidR="007F5495" w:rsidRPr="00987C41" w:rsidP="00B32B49" w14:paraId="36E2C572" w14:textId="213789C4">
      <w:pPr>
        <w:spacing w:after="160"/>
        <w:jc w:val="both"/>
        <w:rPr>
          <w:rFonts w:eastAsia="Book Antiqua"/>
        </w:rPr>
      </w:pPr>
      <w:r w:rsidRPr="155C2B82">
        <w:rPr>
          <w:rFonts w:eastAsia="Book Antiqua"/>
        </w:rPr>
        <w:t xml:space="preserve">Lo scopo </w:t>
      </w:r>
      <w:r w:rsidRPr="155C2B82" w:rsidR="00917865">
        <w:rPr>
          <w:rFonts w:eastAsia="Book Antiqua"/>
        </w:rPr>
        <w:t xml:space="preserve">dell’intervento </w:t>
      </w:r>
      <w:r w:rsidRPr="155C2B82" w:rsidR="009143ED">
        <w:rPr>
          <w:rFonts w:eastAsia="Book Antiqua"/>
        </w:rPr>
        <w:t xml:space="preserve">normativo è quello </w:t>
      </w:r>
      <w:r w:rsidRPr="155C2B82">
        <w:rPr>
          <w:rFonts w:eastAsia="Book Antiqua"/>
        </w:rPr>
        <w:t>di incentivare le Università all’utilizzo dello strumento contrattuale di cui all’articolo 22 della legge 240 del 2010, come modificato dall’articolo 14, comma 6-</w:t>
      </w:r>
      <w:r w:rsidRPr="155C2B82">
        <w:rPr>
          <w:rFonts w:eastAsia="Book Antiqua"/>
          <w:i/>
          <w:iCs/>
        </w:rPr>
        <w:t>septies</w:t>
      </w:r>
      <w:r w:rsidRPr="155C2B82">
        <w:rPr>
          <w:rFonts w:eastAsia="Book Antiqua"/>
        </w:rPr>
        <w:t>, del decreto-legge n. 36 del 2022, convertito, con modificazioni, dalla legge n. 79 del 2022. Il contratto di cui al citato articolo 22 è stato introdotto in attuazione degli obiettivi PNRR (riforma 1.1. della M4C2) per promuovere la mobilità dei ricercatori ed evitare la dispersione delle professionalità.</w:t>
      </w:r>
      <w:r w:rsidRPr="155C2B82">
        <w:rPr>
          <w:rFonts w:eastAsia="Book Antiqua"/>
          <w:sz w:val="22"/>
          <w:szCs w:val="22"/>
        </w:rPr>
        <w:t xml:space="preserve"> </w:t>
      </w:r>
      <w:r w:rsidRPr="155C2B82">
        <w:rPr>
          <w:rFonts w:eastAsia="Book Antiqua"/>
        </w:rPr>
        <w:t>L'introduzione dei contratti di ricerca è espressamente correlata alla finalità di dare attuazione, nell'ambito della Missione 4, Componente 2 (Dalla ricerca all'impresa) del PNRR, alle misure di cui alla Riforma 1.1 (Attuazione di misure di sostegno alla R&amp;S per promuovere la semplificazione e la mobilità), mirata "</w:t>
      </w:r>
      <w:r w:rsidRPr="155C2B82">
        <w:rPr>
          <w:rFonts w:eastAsia="Book Antiqua"/>
          <w:i/>
          <w:iCs/>
        </w:rPr>
        <w:t>a potenziare le attività di ricerca di base e industriale, favorendo sia la ricerca aperta e multidisciplinare, stimolata dalla curiosità e dall’approccio scientifico, sia la ricerca finalizzata ad affrontare sfide strategiche per lo sviluppo del Paese. Particolare attenzione è riservata all’investimento sui giovani ricercatori e a favorire la creazione di partnership pubblico/private di rilievo nazionale o con una vocazione territoriale</w:t>
      </w:r>
      <w:r w:rsidRPr="155C2B82">
        <w:rPr>
          <w:rFonts w:eastAsia="Book Antiqua"/>
        </w:rPr>
        <w:t>".</w:t>
      </w:r>
      <w:r w:rsidRPr="155C2B82" w:rsidR="7486E779">
        <w:t xml:space="preserve"> </w:t>
      </w:r>
    </w:p>
    <w:p w:rsidR="007F5495" w:rsidRPr="00987C41" w:rsidP="00B32B49" w14:paraId="7734EBA1" w14:textId="7665B754">
      <w:pPr>
        <w:spacing w:after="160"/>
        <w:jc w:val="both"/>
        <w:rPr>
          <w:rFonts w:eastAsia="Book Antiqua"/>
        </w:rPr>
      </w:pPr>
      <w:r w:rsidRPr="155C2B82">
        <w:t>Si riporta, di seguito, la tabella relativa al valore complessivo delle spese di personale relativo al quadriennio 2021-2024.</w:t>
      </w:r>
    </w:p>
    <w:tbl>
      <w:tblPr>
        <w:tblStyle w:val="TableGrid"/>
        <w:tblW w:w="0" w:type="auto"/>
        <w:tblLook w:val="04A0"/>
      </w:tblPr>
      <w:tblGrid>
        <w:gridCol w:w="1710"/>
        <w:gridCol w:w="1995"/>
        <w:gridCol w:w="1995"/>
        <w:gridCol w:w="2055"/>
        <w:gridCol w:w="1860"/>
      </w:tblGrid>
      <w:tr w14:paraId="6E11A711" w14:textId="77777777" w:rsidTr="155C2B82">
        <w:tblPrEx>
          <w:tblW w:w="0" w:type="auto"/>
          <w:tblLook w:val="04A0"/>
        </w:tblPrEx>
        <w:trPr>
          <w:trHeight w:val="285"/>
        </w:trPr>
        <w:tc>
          <w:tcPr>
            <w:tcW w:w="1710" w:type="dxa"/>
            <w:tcBorders>
              <w:top w:val="single" w:sz="4" w:space="0" w:color="auto"/>
              <w:left w:val="single" w:sz="4" w:space="0" w:color="auto"/>
              <w:bottom w:val="single" w:sz="4" w:space="0" w:color="auto"/>
              <w:right w:val="single" w:sz="4" w:space="0" w:color="auto"/>
            </w:tcBorders>
            <w:tcMar>
              <w:left w:w="108" w:type="dxa"/>
              <w:right w:w="108" w:type="dxa"/>
            </w:tcMar>
          </w:tcPr>
          <w:p w:rsidR="155C2B82" w:rsidP="155C2B82" w14:paraId="35DF6808" w14:textId="44A974D0">
            <w:pPr>
              <w:jc w:val="center"/>
            </w:pPr>
            <w:r w:rsidRPr="155C2B82">
              <w:rPr>
                <w:b/>
                <w:bCs/>
                <w:sz w:val="24"/>
                <w:szCs w:val="24"/>
              </w:rPr>
              <w:t>Anno</w:t>
            </w:r>
          </w:p>
        </w:tc>
        <w:tc>
          <w:tcPr>
            <w:tcW w:w="1995" w:type="dxa"/>
            <w:tcBorders>
              <w:top w:val="single" w:sz="4" w:space="0" w:color="auto"/>
              <w:left w:val="single" w:sz="4" w:space="0" w:color="auto"/>
              <w:bottom w:val="single" w:sz="4" w:space="0" w:color="auto"/>
              <w:right w:val="single" w:sz="4" w:space="0" w:color="auto"/>
            </w:tcBorders>
            <w:tcMar>
              <w:left w:w="108" w:type="dxa"/>
              <w:right w:w="108" w:type="dxa"/>
            </w:tcMar>
          </w:tcPr>
          <w:p w:rsidR="155C2B82" w:rsidP="155C2B82" w14:paraId="24284BA2" w14:textId="06ECCE8D">
            <w:pPr>
              <w:jc w:val="center"/>
            </w:pPr>
            <w:r w:rsidRPr="155C2B82">
              <w:rPr>
                <w:b/>
                <w:bCs/>
                <w:sz w:val="24"/>
                <w:szCs w:val="24"/>
              </w:rPr>
              <w:t>Spese di Personale</w:t>
            </w:r>
          </w:p>
        </w:tc>
        <w:tc>
          <w:tcPr>
            <w:tcW w:w="1995" w:type="dxa"/>
            <w:tcBorders>
              <w:top w:val="single" w:sz="4" w:space="0" w:color="auto"/>
              <w:left w:val="single" w:sz="4" w:space="0" w:color="auto"/>
              <w:bottom w:val="single" w:sz="4" w:space="0" w:color="auto"/>
              <w:right w:val="single" w:sz="4" w:space="0" w:color="auto"/>
            </w:tcBorders>
            <w:tcMar>
              <w:left w:w="108" w:type="dxa"/>
              <w:right w:w="108" w:type="dxa"/>
            </w:tcMar>
          </w:tcPr>
          <w:p w:rsidR="155C2B82" w:rsidP="155C2B82" w14:paraId="2B57703F" w14:textId="7ADB9D23">
            <w:pPr>
              <w:jc w:val="center"/>
            </w:pPr>
            <w:r w:rsidRPr="155C2B82">
              <w:rPr>
                <w:b/>
                <w:bCs/>
                <w:sz w:val="24"/>
                <w:szCs w:val="24"/>
              </w:rPr>
              <w:t xml:space="preserve">Finanziamenti esterni per </w:t>
            </w:r>
          </w:p>
          <w:p w:rsidR="155C2B82" w:rsidP="155C2B82" w14:paraId="2D7F3B4B" w14:textId="48DE5ACF">
            <w:pPr>
              <w:jc w:val="center"/>
            </w:pPr>
            <w:r w:rsidRPr="155C2B82">
              <w:rPr>
                <w:b/>
                <w:bCs/>
                <w:sz w:val="24"/>
                <w:szCs w:val="24"/>
              </w:rPr>
              <w:t>spese di personale</w:t>
            </w:r>
          </w:p>
        </w:tc>
        <w:tc>
          <w:tcPr>
            <w:tcW w:w="2055" w:type="dxa"/>
            <w:tcBorders>
              <w:top w:val="single" w:sz="4" w:space="0" w:color="auto"/>
              <w:left w:val="single" w:sz="4" w:space="0" w:color="auto"/>
              <w:bottom w:val="single" w:sz="4" w:space="0" w:color="auto"/>
              <w:right w:val="single" w:sz="4" w:space="0" w:color="auto"/>
            </w:tcBorders>
            <w:tcMar>
              <w:left w:w="108" w:type="dxa"/>
              <w:right w:w="108" w:type="dxa"/>
            </w:tcMar>
          </w:tcPr>
          <w:p w:rsidR="155C2B82" w:rsidP="155C2B82" w14:paraId="4FD3D593" w14:textId="08F05E8C">
            <w:pPr>
              <w:jc w:val="center"/>
            </w:pPr>
            <w:r w:rsidRPr="155C2B82">
              <w:rPr>
                <w:b/>
                <w:bCs/>
                <w:sz w:val="24"/>
                <w:szCs w:val="24"/>
              </w:rPr>
              <w:t>Spese di personale a carico del bilancio degli Atenei</w:t>
            </w:r>
          </w:p>
        </w:tc>
        <w:tc>
          <w:tcPr>
            <w:tcW w:w="1860" w:type="dxa"/>
            <w:tcBorders>
              <w:top w:val="single" w:sz="4" w:space="0" w:color="auto"/>
              <w:left w:val="single" w:sz="4" w:space="0" w:color="auto"/>
              <w:bottom w:val="single" w:sz="4" w:space="0" w:color="auto"/>
              <w:right w:val="single" w:sz="4" w:space="0" w:color="auto"/>
            </w:tcBorders>
            <w:tcMar>
              <w:left w:w="108" w:type="dxa"/>
              <w:right w:w="108" w:type="dxa"/>
            </w:tcMar>
          </w:tcPr>
          <w:p w:rsidR="155C2B82" w:rsidP="155C2B82" w14:paraId="46D13747" w14:textId="784473E6">
            <w:pPr>
              <w:jc w:val="center"/>
            </w:pPr>
            <w:r w:rsidRPr="155C2B82">
              <w:rPr>
                <w:b/>
                <w:bCs/>
                <w:sz w:val="24"/>
                <w:szCs w:val="24"/>
              </w:rPr>
              <w:t>% a carico bilanci Ateneo</w:t>
            </w:r>
          </w:p>
        </w:tc>
      </w:tr>
      <w:tr w14:paraId="7FE509C6" w14:textId="77777777" w:rsidTr="155C2B82">
        <w:tblPrEx>
          <w:tblW w:w="0" w:type="auto"/>
          <w:tblLook w:val="04A0"/>
        </w:tblPrEx>
        <w:trPr>
          <w:trHeight w:val="285"/>
        </w:trPr>
        <w:tc>
          <w:tcPr>
            <w:tcW w:w="1710" w:type="dxa"/>
            <w:tcBorders>
              <w:top w:val="single" w:sz="4" w:space="0" w:color="auto"/>
              <w:left w:val="single" w:sz="4" w:space="0" w:color="auto"/>
              <w:bottom w:val="single" w:sz="4" w:space="0" w:color="auto"/>
              <w:right w:val="single" w:sz="4" w:space="0" w:color="auto"/>
            </w:tcBorders>
            <w:tcMar>
              <w:left w:w="108" w:type="dxa"/>
              <w:right w:w="108" w:type="dxa"/>
            </w:tcMar>
          </w:tcPr>
          <w:p w:rsidR="155C2B82" w:rsidP="155C2B82" w14:paraId="17DD5135" w14:textId="0D1B2B1E">
            <w:pPr>
              <w:jc w:val="center"/>
            </w:pPr>
            <w:r w:rsidRPr="155C2B82">
              <w:rPr>
                <w:sz w:val="24"/>
                <w:szCs w:val="24"/>
              </w:rPr>
              <w:t>2021</w:t>
            </w:r>
          </w:p>
        </w:tc>
        <w:tc>
          <w:tcPr>
            <w:tcW w:w="1995" w:type="dxa"/>
            <w:tcBorders>
              <w:top w:val="single" w:sz="4" w:space="0" w:color="auto"/>
              <w:left w:val="single" w:sz="4" w:space="0" w:color="auto"/>
              <w:bottom w:val="single" w:sz="4" w:space="0" w:color="auto"/>
              <w:right w:val="single" w:sz="4" w:space="0" w:color="auto"/>
            </w:tcBorders>
            <w:tcMar>
              <w:left w:w="108" w:type="dxa"/>
              <w:right w:w="108" w:type="dxa"/>
            </w:tcMar>
          </w:tcPr>
          <w:p w:rsidR="155C2B82" w:rsidP="155C2B82" w14:paraId="0C615304" w14:textId="63EC37C4">
            <w:pPr>
              <w:jc w:val="center"/>
            </w:pPr>
            <w:r w:rsidRPr="155C2B82">
              <w:rPr>
                <w:sz w:val="24"/>
                <w:szCs w:val="24"/>
              </w:rPr>
              <w:t>6.326.252.744</w:t>
            </w:r>
          </w:p>
        </w:tc>
        <w:tc>
          <w:tcPr>
            <w:tcW w:w="1995" w:type="dxa"/>
            <w:tcBorders>
              <w:top w:val="single" w:sz="4" w:space="0" w:color="auto"/>
              <w:left w:val="single" w:sz="4" w:space="0" w:color="auto"/>
              <w:bottom w:val="single" w:sz="4" w:space="0" w:color="auto"/>
              <w:right w:val="single" w:sz="4" w:space="0" w:color="auto"/>
            </w:tcBorders>
            <w:tcMar>
              <w:left w:w="108" w:type="dxa"/>
              <w:right w:w="108" w:type="dxa"/>
            </w:tcMar>
          </w:tcPr>
          <w:p w:rsidR="155C2B82" w:rsidP="155C2B82" w14:paraId="1F5DBB52" w14:textId="664108C1">
            <w:pPr>
              <w:jc w:val="center"/>
            </w:pPr>
            <w:r w:rsidRPr="155C2B82">
              <w:rPr>
                <w:sz w:val="24"/>
                <w:szCs w:val="24"/>
              </w:rPr>
              <w:t>204.055.868</w:t>
            </w:r>
          </w:p>
        </w:tc>
        <w:tc>
          <w:tcPr>
            <w:tcW w:w="2055" w:type="dxa"/>
            <w:tcBorders>
              <w:top w:val="single" w:sz="4" w:space="0" w:color="auto"/>
              <w:left w:val="single" w:sz="4" w:space="0" w:color="auto"/>
              <w:bottom w:val="single" w:sz="4" w:space="0" w:color="auto"/>
              <w:right w:val="single" w:sz="4" w:space="0" w:color="auto"/>
            </w:tcBorders>
            <w:tcMar>
              <w:left w:w="108" w:type="dxa"/>
              <w:right w:w="108" w:type="dxa"/>
            </w:tcMar>
          </w:tcPr>
          <w:p w:rsidR="155C2B82" w:rsidP="155C2B82" w14:paraId="6D84912D" w14:textId="1486951E">
            <w:pPr>
              <w:jc w:val="center"/>
            </w:pPr>
            <w:r w:rsidRPr="155C2B82">
              <w:rPr>
                <w:sz w:val="24"/>
                <w:szCs w:val="24"/>
              </w:rPr>
              <w:t>6.122.196.876</w:t>
            </w:r>
          </w:p>
        </w:tc>
        <w:tc>
          <w:tcPr>
            <w:tcW w:w="1860" w:type="dxa"/>
            <w:tcBorders>
              <w:top w:val="single" w:sz="4" w:space="0" w:color="auto"/>
              <w:left w:val="single" w:sz="4" w:space="0" w:color="auto"/>
              <w:bottom w:val="single" w:sz="4" w:space="0" w:color="auto"/>
              <w:right w:val="single" w:sz="4" w:space="0" w:color="auto"/>
            </w:tcBorders>
            <w:tcMar>
              <w:left w:w="108" w:type="dxa"/>
              <w:right w:w="108" w:type="dxa"/>
            </w:tcMar>
          </w:tcPr>
          <w:p w:rsidR="155C2B82" w:rsidP="155C2B82" w14:paraId="1441A067" w14:textId="3F6ACF7A">
            <w:pPr>
              <w:jc w:val="center"/>
            </w:pPr>
            <w:r w:rsidRPr="155C2B82">
              <w:rPr>
                <w:sz w:val="24"/>
                <w:szCs w:val="24"/>
              </w:rPr>
              <w:t>96,8%</w:t>
            </w:r>
          </w:p>
        </w:tc>
      </w:tr>
      <w:tr w14:paraId="5B736895" w14:textId="77777777" w:rsidTr="155C2B82">
        <w:tblPrEx>
          <w:tblW w:w="0" w:type="auto"/>
          <w:tblLook w:val="04A0"/>
        </w:tblPrEx>
        <w:trPr>
          <w:trHeight w:val="285"/>
        </w:trPr>
        <w:tc>
          <w:tcPr>
            <w:tcW w:w="1710" w:type="dxa"/>
            <w:tcBorders>
              <w:top w:val="single" w:sz="4" w:space="0" w:color="auto"/>
              <w:left w:val="single" w:sz="4" w:space="0" w:color="auto"/>
              <w:bottom w:val="single" w:sz="4" w:space="0" w:color="auto"/>
              <w:right w:val="single" w:sz="4" w:space="0" w:color="auto"/>
            </w:tcBorders>
            <w:tcMar>
              <w:left w:w="108" w:type="dxa"/>
              <w:right w:w="108" w:type="dxa"/>
            </w:tcMar>
          </w:tcPr>
          <w:p w:rsidR="155C2B82" w:rsidP="155C2B82" w14:paraId="66CD944D" w14:textId="017489B0">
            <w:pPr>
              <w:jc w:val="center"/>
            </w:pPr>
            <w:r w:rsidRPr="155C2B82">
              <w:rPr>
                <w:sz w:val="24"/>
                <w:szCs w:val="24"/>
              </w:rPr>
              <w:t>2022</w:t>
            </w:r>
          </w:p>
        </w:tc>
        <w:tc>
          <w:tcPr>
            <w:tcW w:w="1995" w:type="dxa"/>
            <w:tcBorders>
              <w:top w:val="single" w:sz="4" w:space="0" w:color="auto"/>
              <w:left w:val="single" w:sz="4" w:space="0" w:color="auto"/>
              <w:bottom w:val="single" w:sz="4" w:space="0" w:color="auto"/>
              <w:right w:val="single" w:sz="4" w:space="0" w:color="auto"/>
            </w:tcBorders>
            <w:tcMar>
              <w:left w:w="108" w:type="dxa"/>
              <w:right w:w="108" w:type="dxa"/>
            </w:tcMar>
          </w:tcPr>
          <w:p w:rsidR="155C2B82" w:rsidP="155C2B82" w14:paraId="6DF16C44" w14:textId="41A8BC07">
            <w:pPr>
              <w:jc w:val="center"/>
            </w:pPr>
            <w:r w:rsidRPr="155C2B82">
              <w:rPr>
                <w:sz w:val="24"/>
                <w:szCs w:val="24"/>
              </w:rPr>
              <w:t>6.717.865.150</w:t>
            </w:r>
          </w:p>
        </w:tc>
        <w:tc>
          <w:tcPr>
            <w:tcW w:w="1995" w:type="dxa"/>
            <w:tcBorders>
              <w:top w:val="single" w:sz="4" w:space="0" w:color="auto"/>
              <w:left w:val="single" w:sz="4" w:space="0" w:color="auto"/>
              <w:bottom w:val="single" w:sz="4" w:space="0" w:color="auto"/>
              <w:right w:val="single" w:sz="4" w:space="0" w:color="auto"/>
            </w:tcBorders>
            <w:tcMar>
              <w:left w:w="108" w:type="dxa"/>
              <w:right w:w="108" w:type="dxa"/>
            </w:tcMar>
          </w:tcPr>
          <w:p w:rsidR="155C2B82" w:rsidP="155C2B82" w14:paraId="7B6BB6E1" w14:textId="1331C477">
            <w:pPr>
              <w:jc w:val="center"/>
            </w:pPr>
            <w:r w:rsidRPr="155C2B82">
              <w:rPr>
                <w:sz w:val="24"/>
                <w:szCs w:val="24"/>
              </w:rPr>
              <w:t>300.997.018</w:t>
            </w:r>
          </w:p>
        </w:tc>
        <w:tc>
          <w:tcPr>
            <w:tcW w:w="2055" w:type="dxa"/>
            <w:tcBorders>
              <w:top w:val="single" w:sz="4" w:space="0" w:color="auto"/>
              <w:left w:val="single" w:sz="4" w:space="0" w:color="auto"/>
              <w:bottom w:val="single" w:sz="4" w:space="0" w:color="auto"/>
              <w:right w:val="single" w:sz="4" w:space="0" w:color="auto"/>
            </w:tcBorders>
            <w:tcMar>
              <w:left w:w="108" w:type="dxa"/>
              <w:right w:w="108" w:type="dxa"/>
            </w:tcMar>
          </w:tcPr>
          <w:p w:rsidR="155C2B82" w:rsidP="155C2B82" w14:paraId="596E756C" w14:textId="7DED33F5">
            <w:pPr>
              <w:jc w:val="center"/>
            </w:pPr>
            <w:r w:rsidRPr="155C2B82">
              <w:rPr>
                <w:sz w:val="24"/>
                <w:szCs w:val="24"/>
              </w:rPr>
              <w:t>6.416.868.132</w:t>
            </w:r>
          </w:p>
        </w:tc>
        <w:tc>
          <w:tcPr>
            <w:tcW w:w="1860" w:type="dxa"/>
            <w:tcBorders>
              <w:top w:val="single" w:sz="4" w:space="0" w:color="auto"/>
              <w:left w:val="single" w:sz="4" w:space="0" w:color="auto"/>
              <w:bottom w:val="single" w:sz="4" w:space="0" w:color="auto"/>
              <w:right w:val="single" w:sz="4" w:space="0" w:color="auto"/>
            </w:tcBorders>
            <w:tcMar>
              <w:left w:w="108" w:type="dxa"/>
              <w:right w:w="108" w:type="dxa"/>
            </w:tcMar>
          </w:tcPr>
          <w:p w:rsidR="155C2B82" w:rsidP="155C2B82" w14:paraId="21C2064B" w14:textId="766D5A0D">
            <w:pPr>
              <w:jc w:val="center"/>
            </w:pPr>
            <w:r w:rsidRPr="155C2B82">
              <w:rPr>
                <w:sz w:val="24"/>
                <w:szCs w:val="24"/>
              </w:rPr>
              <w:t>95,5%</w:t>
            </w:r>
          </w:p>
        </w:tc>
      </w:tr>
      <w:tr w14:paraId="19A4937B" w14:textId="77777777" w:rsidTr="155C2B82">
        <w:tblPrEx>
          <w:tblW w:w="0" w:type="auto"/>
          <w:tblLook w:val="04A0"/>
        </w:tblPrEx>
        <w:trPr>
          <w:trHeight w:val="285"/>
        </w:trPr>
        <w:tc>
          <w:tcPr>
            <w:tcW w:w="1710" w:type="dxa"/>
            <w:tcBorders>
              <w:top w:val="single" w:sz="4" w:space="0" w:color="auto"/>
              <w:left w:val="single" w:sz="4" w:space="0" w:color="auto"/>
              <w:bottom w:val="single" w:sz="4" w:space="0" w:color="auto"/>
              <w:right w:val="single" w:sz="4" w:space="0" w:color="auto"/>
            </w:tcBorders>
            <w:tcMar>
              <w:left w:w="108" w:type="dxa"/>
              <w:right w:w="108" w:type="dxa"/>
            </w:tcMar>
          </w:tcPr>
          <w:p w:rsidR="155C2B82" w:rsidP="155C2B82" w14:paraId="5C06F0AE" w14:textId="104892CA">
            <w:pPr>
              <w:jc w:val="center"/>
            </w:pPr>
            <w:r w:rsidRPr="155C2B82">
              <w:rPr>
                <w:sz w:val="24"/>
                <w:szCs w:val="24"/>
              </w:rPr>
              <w:t>2023</w:t>
            </w:r>
          </w:p>
        </w:tc>
        <w:tc>
          <w:tcPr>
            <w:tcW w:w="1995" w:type="dxa"/>
            <w:tcBorders>
              <w:top w:val="single" w:sz="4" w:space="0" w:color="auto"/>
              <w:left w:val="single" w:sz="4" w:space="0" w:color="auto"/>
              <w:bottom w:val="single" w:sz="4" w:space="0" w:color="auto"/>
              <w:right w:val="single" w:sz="4" w:space="0" w:color="auto"/>
            </w:tcBorders>
            <w:tcMar>
              <w:left w:w="108" w:type="dxa"/>
              <w:right w:w="108" w:type="dxa"/>
            </w:tcMar>
          </w:tcPr>
          <w:p w:rsidR="155C2B82" w:rsidP="155C2B82" w14:paraId="3FB392FB" w14:textId="5D675192">
            <w:pPr>
              <w:jc w:val="center"/>
            </w:pPr>
            <w:r w:rsidRPr="155C2B82">
              <w:rPr>
                <w:sz w:val="24"/>
                <w:szCs w:val="24"/>
              </w:rPr>
              <w:t>7.099.293.594</w:t>
            </w:r>
          </w:p>
        </w:tc>
        <w:tc>
          <w:tcPr>
            <w:tcW w:w="1995" w:type="dxa"/>
            <w:tcBorders>
              <w:top w:val="single" w:sz="4" w:space="0" w:color="auto"/>
              <w:left w:val="single" w:sz="4" w:space="0" w:color="auto"/>
              <w:bottom w:val="single" w:sz="4" w:space="0" w:color="auto"/>
              <w:right w:val="single" w:sz="4" w:space="0" w:color="auto"/>
            </w:tcBorders>
            <w:tcMar>
              <w:left w:w="108" w:type="dxa"/>
              <w:right w:w="108" w:type="dxa"/>
            </w:tcMar>
          </w:tcPr>
          <w:p w:rsidR="155C2B82" w:rsidP="155C2B82" w14:paraId="2B150F91" w14:textId="2CDFDD35">
            <w:pPr>
              <w:jc w:val="center"/>
            </w:pPr>
            <w:r w:rsidRPr="155C2B82">
              <w:rPr>
                <w:sz w:val="24"/>
                <w:szCs w:val="24"/>
              </w:rPr>
              <w:t>404.231.953</w:t>
            </w:r>
          </w:p>
        </w:tc>
        <w:tc>
          <w:tcPr>
            <w:tcW w:w="2055" w:type="dxa"/>
            <w:tcBorders>
              <w:top w:val="single" w:sz="4" w:space="0" w:color="auto"/>
              <w:left w:val="single" w:sz="4" w:space="0" w:color="auto"/>
              <w:bottom w:val="single" w:sz="4" w:space="0" w:color="auto"/>
              <w:right w:val="single" w:sz="4" w:space="0" w:color="auto"/>
            </w:tcBorders>
            <w:tcMar>
              <w:left w:w="108" w:type="dxa"/>
              <w:right w:w="108" w:type="dxa"/>
            </w:tcMar>
          </w:tcPr>
          <w:p w:rsidR="155C2B82" w:rsidP="155C2B82" w14:paraId="3BDD832B" w14:textId="5470CFAE">
            <w:pPr>
              <w:jc w:val="center"/>
            </w:pPr>
            <w:r w:rsidRPr="155C2B82">
              <w:rPr>
                <w:sz w:val="24"/>
                <w:szCs w:val="24"/>
              </w:rPr>
              <w:t>6.695.061.641</w:t>
            </w:r>
          </w:p>
        </w:tc>
        <w:tc>
          <w:tcPr>
            <w:tcW w:w="1860" w:type="dxa"/>
            <w:tcBorders>
              <w:top w:val="single" w:sz="4" w:space="0" w:color="auto"/>
              <w:left w:val="single" w:sz="4" w:space="0" w:color="auto"/>
              <w:bottom w:val="single" w:sz="4" w:space="0" w:color="auto"/>
              <w:right w:val="single" w:sz="4" w:space="0" w:color="auto"/>
            </w:tcBorders>
            <w:tcMar>
              <w:left w:w="108" w:type="dxa"/>
              <w:right w:w="108" w:type="dxa"/>
            </w:tcMar>
          </w:tcPr>
          <w:p w:rsidR="155C2B82" w:rsidP="155C2B82" w14:paraId="5F4C7118" w14:textId="26741004">
            <w:pPr>
              <w:jc w:val="center"/>
            </w:pPr>
            <w:r w:rsidRPr="155C2B82">
              <w:rPr>
                <w:sz w:val="24"/>
                <w:szCs w:val="24"/>
              </w:rPr>
              <w:t>94,3%</w:t>
            </w:r>
          </w:p>
        </w:tc>
      </w:tr>
      <w:tr w14:paraId="0047C686" w14:textId="77777777" w:rsidTr="155C2B82">
        <w:tblPrEx>
          <w:tblW w:w="0" w:type="auto"/>
          <w:tblLook w:val="04A0"/>
        </w:tblPrEx>
        <w:trPr>
          <w:trHeight w:val="285"/>
        </w:trPr>
        <w:tc>
          <w:tcPr>
            <w:tcW w:w="1710" w:type="dxa"/>
            <w:tcBorders>
              <w:top w:val="single" w:sz="4" w:space="0" w:color="auto"/>
              <w:left w:val="single" w:sz="4" w:space="0" w:color="auto"/>
              <w:bottom w:val="single" w:sz="4" w:space="0" w:color="auto"/>
              <w:right w:val="single" w:sz="4" w:space="0" w:color="auto"/>
            </w:tcBorders>
            <w:tcMar>
              <w:left w:w="108" w:type="dxa"/>
              <w:right w:w="108" w:type="dxa"/>
            </w:tcMar>
          </w:tcPr>
          <w:p w:rsidR="155C2B82" w:rsidP="155C2B82" w14:paraId="0F53AAC0" w14:textId="4973925D">
            <w:pPr>
              <w:jc w:val="center"/>
            </w:pPr>
            <w:r w:rsidRPr="155C2B82">
              <w:rPr>
                <w:sz w:val="24"/>
                <w:szCs w:val="24"/>
              </w:rPr>
              <w:t>2024</w:t>
            </w:r>
          </w:p>
        </w:tc>
        <w:tc>
          <w:tcPr>
            <w:tcW w:w="1995" w:type="dxa"/>
            <w:tcBorders>
              <w:top w:val="single" w:sz="4" w:space="0" w:color="auto"/>
              <w:left w:val="single" w:sz="4" w:space="0" w:color="auto"/>
              <w:bottom w:val="single" w:sz="4" w:space="0" w:color="auto"/>
              <w:right w:val="single" w:sz="4" w:space="0" w:color="auto"/>
            </w:tcBorders>
            <w:tcMar>
              <w:left w:w="108" w:type="dxa"/>
              <w:right w:w="108" w:type="dxa"/>
            </w:tcMar>
          </w:tcPr>
          <w:p w:rsidR="155C2B82" w:rsidP="155C2B82" w14:paraId="74A45F6E" w14:textId="41BC7CD2">
            <w:pPr>
              <w:jc w:val="center"/>
            </w:pPr>
            <w:r w:rsidRPr="155C2B82">
              <w:rPr>
                <w:sz w:val="24"/>
                <w:szCs w:val="24"/>
              </w:rPr>
              <w:t>7.703.572.466</w:t>
            </w:r>
          </w:p>
        </w:tc>
        <w:tc>
          <w:tcPr>
            <w:tcW w:w="1995" w:type="dxa"/>
            <w:tcBorders>
              <w:top w:val="single" w:sz="4" w:space="0" w:color="auto"/>
              <w:left w:val="single" w:sz="4" w:space="0" w:color="auto"/>
              <w:bottom w:val="single" w:sz="4" w:space="0" w:color="auto"/>
              <w:right w:val="single" w:sz="4" w:space="0" w:color="auto"/>
            </w:tcBorders>
            <w:tcMar>
              <w:left w:w="108" w:type="dxa"/>
              <w:right w:w="108" w:type="dxa"/>
            </w:tcMar>
          </w:tcPr>
          <w:p w:rsidR="155C2B82" w:rsidP="155C2B82" w14:paraId="10AB8B54" w14:textId="6B561DB1">
            <w:pPr>
              <w:jc w:val="center"/>
            </w:pPr>
            <w:r w:rsidRPr="155C2B82">
              <w:rPr>
                <w:sz w:val="24"/>
                <w:szCs w:val="24"/>
              </w:rPr>
              <w:t>449.314.428</w:t>
            </w:r>
          </w:p>
        </w:tc>
        <w:tc>
          <w:tcPr>
            <w:tcW w:w="2055" w:type="dxa"/>
            <w:tcBorders>
              <w:top w:val="single" w:sz="4" w:space="0" w:color="auto"/>
              <w:left w:val="single" w:sz="4" w:space="0" w:color="auto"/>
              <w:bottom w:val="single" w:sz="4" w:space="0" w:color="auto"/>
              <w:right w:val="single" w:sz="4" w:space="0" w:color="auto"/>
            </w:tcBorders>
            <w:tcMar>
              <w:left w:w="108" w:type="dxa"/>
              <w:right w:w="108" w:type="dxa"/>
            </w:tcMar>
          </w:tcPr>
          <w:p w:rsidR="155C2B82" w:rsidP="155C2B82" w14:paraId="1603F594" w14:textId="1885FA35">
            <w:pPr>
              <w:jc w:val="center"/>
            </w:pPr>
            <w:r w:rsidRPr="155C2B82">
              <w:rPr>
                <w:sz w:val="24"/>
                <w:szCs w:val="24"/>
              </w:rPr>
              <w:t>7.254.258.038</w:t>
            </w:r>
          </w:p>
        </w:tc>
        <w:tc>
          <w:tcPr>
            <w:tcW w:w="1860" w:type="dxa"/>
            <w:tcBorders>
              <w:top w:val="single" w:sz="4" w:space="0" w:color="auto"/>
              <w:left w:val="single" w:sz="4" w:space="0" w:color="auto"/>
              <w:bottom w:val="single" w:sz="4" w:space="0" w:color="auto"/>
              <w:right w:val="single" w:sz="4" w:space="0" w:color="auto"/>
            </w:tcBorders>
            <w:tcMar>
              <w:left w:w="108" w:type="dxa"/>
              <w:right w:w="108" w:type="dxa"/>
            </w:tcMar>
          </w:tcPr>
          <w:p w:rsidR="155C2B82" w:rsidP="155C2B82" w14:paraId="528A6C0D" w14:textId="37370B85">
            <w:pPr>
              <w:jc w:val="center"/>
            </w:pPr>
            <w:r w:rsidRPr="155C2B82">
              <w:rPr>
                <w:sz w:val="24"/>
                <w:szCs w:val="24"/>
              </w:rPr>
              <w:t>94,2%</w:t>
            </w:r>
          </w:p>
        </w:tc>
      </w:tr>
    </w:tbl>
    <w:p w:rsidR="007F5495" w:rsidRPr="00987C41" w:rsidP="00B32B49" w14:paraId="3392797C" w14:textId="5AB7CCE1">
      <w:pPr>
        <w:tabs>
          <w:tab w:val="left" w:pos="142"/>
          <w:tab w:val="left" w:pos="284"/>
        </w:tabs>
        <w:spacing w:after="160"/>
        <w:jc w:val="both"/>
      </w:pPr>
      <w:r w:rsidRPr="155C2B82">
        <w:t xml:space="preserve"> </w:t>
      </w:r>
    </w:p>
    <w:p w:rsidR="007F5495" w:rsidRPr="00987C41" w:rsidP="00B32B49" w14:paraId="5BD20662" w14:textId="02CC5132">
      <w:pPr>
        <w:spacing w:after="160"/>
        <w:jc w:val="both"/>
      </w:pPr>
      <w:r w:rsidRPr="155C2B82">
        <w:t>Come evidenziato in tabella, il valore complessivo delle spese di personale risulta in crescita nell’ultimo quadriennio in relazione sia all’incremento del personale in servizio presso gli Atenei, sia in relazione ai maggiori oneri stipendiali, sia con riferimento al personale contrattualizzato. Va tuttavia osservato che parte dei costi del personale è sostenuta da finanziamenti esterni la cui incidenza è in crescita nel triennio e che non concorrono al calcolo dell’indicatore per spese di personale.</w:t>
      </w:r>
    </w:p>
    <w:p w:rsidR="007F5495" w:rsidRPr="00987C41" w:rsidP="00B32B49" w14:paraId="497595BB" w14:textId="204A840D">
      <w:pPr>
        <w:spacing w:after="160"/>
        <w:jc w:val="both"/>
      </w:pPr>
      <w:r w:rsidRPr="155C2B82">
        <w:t>Con particolare riguardo al personale docente e ricercatore in servizio dall’anno 2021 all’anno 2024, si riportano i seguenti dati:</w:t>
      </w:r>
    </w:p>
    <w:tbl>
      <w:tblPr>
        <w:tblW w:w="0" w:type="auto"/>
        <w:tblLook w:val="04A0"/>
      </w:tblPr>
      <w:tblGrid>
        <w:gridCol w:w="673"/>
        <w:gridCol w:w="1174"/>
        <w:gridCol w:w="1159"/>
        <w:gridCol w:w="1159"/>
        <w:gridCol w:w="1515"/>
        <w:gridCol w:w="1327"/>
        <w:gridCol w:w="1327"/>
        <w:gridCol w:w="1289"/>
      </w:tblGrid>
      <w:tr w14:paraId="115FE498" w14:textId="77777777" w:rsidTr="155C2B82">
        <w:tblPrEx>
          <w:tblW w:w="0" w:type="auto"/>
          <w:tblLook w:val="04A0"/>
        </w:tblPrEx>
        <w:trPr>
          <w:trHeight w:val="1095"/>
        </w:trPr>
        <w:tc>
          <w:tcPr>
            <w:tcW w:w="705"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rsidR="155C2B82" w:rsidP="155C2B82" w14:paraId="415990BE" w14:textId="57F91D68">
            <w:pPr>
              <w:jc w:val="center"/>
            </w:pPr>
            <w:r w:rsidRPr="155C2B82">
              <w:rPr>
                <w:b/>
                <w:bCs/>
                <w:color w:val="000000" w:themeColor="text1"/>
                <w:sz w:val="22"/>
                <w:szCs w:val="22"/>
              </w:rPr>
              <w:t>Anno</w:t>
            </w:r>
          </w:p>
        </w:tc>
        <w:tc>
          <w:tcPr>
            <w:tcW w:w="1230" w:type="dxa"/>
            <w:tcBorders>
              <w:top w:val="single" w:sz="8" w:space="0" w:color="auto"/>
              <w:left w:val="single" w:sz="4" w:space="0" w:color="auto"/>
              <w:bottom w:val="single" w:sz="8" w:space="0" w:color="auto"/>
              <w:right w:val="single" w:sz="8" w:space="0" w:color="auto"/>
            </w:tcBorders>
            <w:tcMar>
              <w:left w:w="70" w:type="dxa"/>
              <w:right w:w="70" w:type="dxa"/>
            </w:tcMar>
            <w:vAlign w:val="bottom"/>
          </w:tcPr>
          <w:p w:rsidR="155C2B82" w:rsidP="155C2B82" w14:paraId="7C8F9628" w14:textId="7609DE7D">
            <w:pPr>
              <w:jc w:val="center"/>
            </w:pPr>
            <w:r w:rsidRPr="155C2B82">
              <w:rPr>
                <w:b/>
                <w:bCs/>
                <w:color w:val="000000" w:themeColor="text1"/>
                <w:sz w:val="22"/>
                <w:szCs w:val="22"/>
              </w:rPr>
              <w:t>Totale docenti e ricercatori</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rsidR="155C2B82" w:rsidP="155C2B82" w14:paraId="5FAC5DE1" w14:textId="64F8E80F">
            <w:pPr>
              <w:jc w:val="center"/>
            </w:pPr>
            <w:r w:rsidRPr="155C2B82">
              <w:rPr>
                <w:b/>
                <w:bCs/>
                <w:color w:val="000000" w:themeColor="text1"/>
                <w:sz w:val="22"/>
                <w:szCs w:val="22"/>
              </w:rPr>
              <w:t>Professori di prima fascia</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rsidR="155C2B82" w:rsidP="155C2B82" w14:paraId="07B0C9B4" w14:textId="5883BD8C">
            <w:pPr>
              <w:jc w:val="center"/>
            </w:pPr>
            <w:r w:rsidRPr="155C2B82">
              <w:rPr>
                <w:b/>
                <w:bCs/>
                <w:color w:val="000000" w:themeColor="text1"/>
                <w:sz w:val="22"/>
                <w:szCs w:val="22"/>
              </w:rPr>
              <w:t>Professori di seconda fascia</w:t>
            </w:r>
          </w:p>
        </w:tc>
        <w:tc>
          <w:tcPr>
            <w:tcW w:w="159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rsidR="155C2B82" w:rsidP="155C2B82" w14:paraId="3F0F8C83" w14:textId="52BF9D85">
            <w:pPr>
              <w:jc w:val="center"/>
            </w:pPr>
            <w:r w:rsidRPr="155C2B82">
              <w:rPr>
                <w:b/>
                <w:bCs/>
                <w:color w:val="000000" w:themeColor="text1"/>
                <w:sz w:val="22"/>
                <w:szCs w:val="22"/>
              </w:rPr>
              <w:t>Ricercatori a tempo indeterminato</w:t>
            </w:r>
          </w:p>
        </w:tc>
        <w:tc>
          <w:tcPr>
            <w:tcW w:w="13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rsidR="155C2B82" w:rsidP="155C2B82" w14:paraId="798A7672" w14:textId="6675C4C5">
            <w:pPr>
              <w:jc w:val="center"/>
            </w:pPr>
            <w:r w:rsidRPr="155C2B82">
              <w:rPr>
                <w:b/>
                <w:bCs/>
                <w:color w:val="000000" w:themeColor="text1"/>
                <w:sz w:val="22"/>
                <w:szCs w:val="22"/>
              </w:rPr>
              <w:t>Ricercatori a tempo determinato RTT</w:t>
            </w:r>
          </w:p>
        </w:tc>
        <w:tc>
          <w:tcPr>
            <w:tcW w:w="13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rsidR="155C2B82" w:rsidP="155C2B82" w14:paraId="289A846B" w14:textId="1DB74D62">
            <w:pPr>
              <w:jc w:val="center"/>
            </w:pPr>
            <w:r w:rsidRPr="155C2B82">
              <w:rPr>
                <w:b/>
                <w:bCs/>
                <w:color w:val="000000" w:themeColor="text1"/>
                <w:sz w:val="22"/>
                <w:szCs w:val="22"/>
              </w:rPr>
              <w:t>Ricercatori a tempo determinato RTA</w:t>
            </w:r>
          </w:p>
        </w:tc>
        <w:tc>
          <w:tcPr>
            <w:tcW w:w="88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rsidR="155C2B82" w:rsidP="155C2B82" w14:paraId="6BD244A2" w14:textId="38341FC5">
            <w:pPr>
              <w:jc w:val="center"/>
            </w:pPr>
            <w:r w:rsidRPr="155C2B82">
              <w:rPr>
                <w:b/>
                <w:bCs/>
                <w:color w:val="000000" w:themeColor="text1"/>
                <w:sz w:val="22"/>
                <w:szCs w:val="22"/>
              </w:rPr>
              <w:t>Ricercatori a tempo determinato RTB</w:t>
            </w:r>
          </w:p>
        </w:tc>
      </w:tr>
      <w:tr w14:paraId="3A8FCB17" w14:textId="77777777" w:rsidTr="155C2B82">
        <w:tblPrEx>
          <w:tblW w:w="0" w:type="auto"/>
          <w:tblLook w:val="04A0"/>
        </w:tblPrEx>
        <w:trPr>
          <w:trHeight w:val="285"/>
        </w:trPr>
        <w:tc>
          <w:tcPr>
            <w:tcW w:w="705" w:type="dxa"/>
            <w:tcBorders>
              <w:top w:val="single" w:sz="4" w:space="0" w:color="auto"/>
              <w:left w:val="single" w:sz="8" w:space="0" w:color="auto"/>
              <w:bottom w:val="single" w:sz="8" w:space="0" w:color="auto"/>
              <w:right w:val="single" w:sz="8" w:space="0" w:color="auto"/>
            </w:tcBorders>
            <w:tcMar>
              <w:left w:w="70" w:type="dxa"/>
              <w:right w:w="70" w:type="dxa"/>
            </w:tcMar>
            <w:vAlign w:val="bottom"/>
          </w:tcPr>
          <w:p w:rsidR="155C2B82" w:rsidP="155C2B82" w14:paraId="40DA0DDC" w14:textId="3C297860">
            <w:pPr>
              <w:jc w:val="center"/>
            </w:pPr>
            <w:r w:rsidRPr="155C2B82">
              <w:rPr>
                <w:color w:val="000000" w:themeColor="text1"/>
              </w:rPr>
              <w:t>2021</w:t>
            </w:r>
          </w:p>
        </w:tc>
        <w:tc>
          <w:tcPr>
            <w:tcW w:w="123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rsidR="155C2B82" w:rsidP="155C2B82" w14:paraId="412BE1F3" w14:textId="5DFB0A6F">
            <w:pPr>
              <w:jc w:val="center"/>
            </w:pPr>
            <w:r w:rsidRPr="155C2B82">
              <w:rPr>
                <w:color w:val="000000" w:themeColor="text1"/>
              </w:rPr>
              <w:t>54.065</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rsidR="155C2B82" w:rsidP="155C2B82" w14:paraId="616322B0" w14:textId="142735B6">
            <w:pPr>
              <w:jc w:val="center"/>
            </w:pPr>
            <w:r w:rsidRPr="155C2B82">
              <w:rPr>
                <w:color w:val="000000" w:themeColor="text1"/>
              </w:rPr>
              <w:t>14.025</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rsidR="155C2B82" w:rsidP="155C2B82" w14:paraId="45E0269E" w14:textId="40F86B78">
            <w:pPr>
              <w:jc w:val="center"/>
            </w:pPr>
            <w:r w:rsidRPr="155C2B82">
              <w:rPr>
                <w:color w:val="000000" w:themeColor="text1"/>
              </w:rPr>
              <w:t>22.803</w:t>
            </w:r>
          </w:p>
        </w:tc>
        <w:tc>
          <w:tcPr>
            <w:tcW w:w="159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rsidR="155C2B82" w:rsidP="155C2B82" w14:paraId="506799E4" w14:textId="69471B55">
            <w:pPr>
              <w:jc w:val="center"/>
            </w:pPr>
            <w:r w:rsidRPr="155C2B82">
              <w:rPr>
                <w:color w:val="000000" w:themeColor="text1"/>
              </w:rPr>
              <w:t>7.142</w:t>
            </w:r>
          </w:p>
        </w:tc>
        <w:tc>
          <w:tcPr>
            <w:tcW w:w="13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rsidR="155C2B82" w:rsidP="155C2B82" w14:paraId="49D07DDE" w14:textId="060B10DC">
            <w:pPr>
              <w:jc w:val="center"/>
            </w:pPr>
            <w:r w:rsidRPr="155C2B82">
              <w:rPr>
                <w:color w:val="000000" w:themeColor="text1"/>
              </w:rPr>
              <w:t>-</w:t>
            </w:r>
          </w:p>
        </w:tc>
        <w:tc>
          <w:tcPr>
            <w:tcW w:w="13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rsidR="155C2B82" w:rsidP="155C2B82" w14:paraId="61FE52E7" w14:textId="103011D8">
            <w:pPr>
              <w:jc w:val="center"/>
            </w:pPr>
            <w:r w:rsidRPr="155C2B82">
              <w:rPr>
                <w:color w:val="000000" w:themeColor="text1"/>
              </w:rPr>
              <w:t>4.931</w:t>
            </w:r>
          </w:p>
        </w:tc>
        <w:tc>
          <w:tcPr>
            <w:tcW w:w="88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rsidR="155C2B82" w:rsidP="155C2B82" w14:paraId="70B0B76C" w14:textId="3E86C87B">
            <w:pPr>
              <w:jc w:val="center"/>
            </w:pPr>
            <w:r w:rsidRPr="155C2B82">
              <w:rPr>
                <w:color w:val="000000" w:themeColor="text1"/>
              </w:rPr>
              <w:t>5.164</w:t>
            </w:r>
          </w:p>
        </w:tc>
      </w:tr>
      <w:tr w14:paraId="6F024C89" w14:textId="77777777" w:rsidTr="155C2B82">
        <w:tblPrEx>
          <w:tblW w:w="0" w:type="auto"/>
          <w:tblLook w:val="04A0"/>
        </w:tblPrEx>
        <w:trPr>
          <w:trHeight w:val="285"/>
        </w:trPr>
        <w:tc>
          <w:tcPr>
            <w:tcW w:w="70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rsidR="155C2B82" w:rsidP="155C2B82" w14:paraId="096DB914" w14:textId="792927B0">
            <w:pPr>
              <w:jc w:val="center"/>
            </w:pPr>
            <w:r w:rsidRPr="155C2B82">
              <w:rPr>
                <w:color w:val="000000" w:themeColor="text1"/>
              </w:rPr>
              <w:t>2022</w:t>
            </w:r>
          </w:p>
        </w:tc>
        <w:tc>
          <w:tcPr>
            <w:tcW w:w="123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rsidR="155C2B82" w:rsidP="155C2B82" w14:paraId="71ABFF27" w14:textId="20FE7F20">
            <w:pPr>
              <w:jc w:val="center"/>
            </w:pPr>
            <w:r w:rsidRPr="155C2B82">
              <w:rPr>
                <w:color w:val="000000" w:themeColor="text1"/>
              </w:rPr>
              <w:t>57.263</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rsidR="155C2B82" w:rsidP="155C2B82" w14:paraId="5CECADBE" w14:textId="68505D47">
            <w:pPr>
              <w:jc w:val="center"/>
            </w:pPr>
            <w:r w:rsidRPr="155C2B82">
              <w:rPr>
                <w:color w:val="000000" w:themeColor="text1"/>
              </w:rPr>
              <w:t>14.532</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rsidR="155C2B82" w:rsidP="155C2B82" w14:paraId="280F6CC9" w14:textId="18A65007">
            <w:pPr>
              <w:jc w:val="center"/>
            </w:pPr>
            <w:r w:rsidRPr="155C2B82">
              <w:rPr>
                <w:color w:val="000000" w:themeColor="text1"/>
              </w:rPr>
              <w:t>25.138</w:t>
            </w:r>
          </w:p>
        </w:tc>
        <w:tc>
          <w:tcPr>
            <w:tcW w:w="159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rsidR="155C2B82" w:rsidP="155C2B82" w14:paraId="7E6575F8" w14:textId="4A591327">
            <w:pPr>
              <w:jc w:val="center"/>
            </w:pPr>
            <w:r w:rsidRPr="155C2B82">
              <w:rPr>
                <w:color w:val="000000" w:themeColor="text1"/>
              </w:rPr>
              <w:t>4.945</w:t>
            </w:r>
          </w:p>
        </w:tc>
        <w:tc>
          <w:tcPr>
            <w:tcW w:w="13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rsidR="155C2B82" w:rsidP="155C2B82" w14:paraId="5A6F2BFF" w14:textId="383E2C4A">
            <w:pPr>
              <w:jc w:val="center"/>
            </w:pPr>
            <w:r w:rsidRPr="155C2B82">
              <w:rPr>
                <w:color w:val="000000" w:themeColor="text1"/>
              </w:rPr>
              <w:t>-</w:t>
            </w:r>
          </w:p>
        </w:tc>
        <w:tc>
          <w:tcPr>
            <w:tcW w:w="13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rsidR="155C2B82" w:rsidP="155C2B82" w14:paraId="1E7DE6D0" w14:textId="39E9AE72">
            <w:pPr>
              <w:jc w:val="center"/>
            </w:pPr>
            <w:r w:rsidRPr="155C2B82">
              <w:rPr>
                <w:color w:val="000000" w:themeColor="text1"/>
              </w:rPr>
              <w:t>6.162</w:t>
            </w:r>
          </w:p>
        </w:tc>
        <w:tc>
          <w:tcPr>
            <w:tcW w:w="88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rsidR="155C2B82" w:rsidP="155C2B82" w14:paraId="377AFCC4" w14:textId="5D649115">
            <w:pPr>
              <w:jc w:val="center"/>
            </w:pPr>
            <w:r w:rsidRPr="155C2B82">
              <w:rPr>
                <w:color w:val="000000" w:themeColor="text1"/>
              </w:rPr>
              <w:t>6.486</w:t>
            </w:r>
          </w:p>
        </w:tc>
      </w:tr>
      <w:tr w14:paraId="3AEF11DF" w14:textId="77777777" w:rsidTr="155C2B82">
        <w:tblPrEx>
          <w:tblW w:w="0" w:type="auto"/>
          <w:tblLook w:val="04A0"/>
        </w:tblPrEx>
        <w:trPr>
          <w:trHeight w:val="285"/>
        </w:trPr>
        <w:tc>
          <w:tcPr>
            <w:tcW w:w="70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rsidR="155C2B82" w:rsidP="155C2B82" w14:paraId="2960B826" w14:textId="642D6F42">
            <w:pPr>
              <w:jc w:val="center"/>
            </w:pPr>
            <w:r w:rsidRPr="155C2B82">
              <w:rPr>
                <w:color w:val="000000" w:themeColor="text1"/>
              </w:rPr>
              <w:t>2023</w:t>
            </w:r>
          </w:p>
        </w:tc>
        <w:tc>
          <w:tcPr>
            <w:tcW w:w="123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rsidR="155C2B82" w:rsidP="155C2B82" w14:paraId="0B21B0C2" w14:textId="7C89B597">
            <w:pPr>
              <w:jc w:val="center"/>
            </w:pPr>
            <w:r w:rsidRPr="155C2B82">
              <w:rPr>
                <w:color w:val="000000" w:themeColor="text1"/>
              </w:rPr>
              <w:t>60.031</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rsidR="155C2B82" w:rsidP="155C2B82" w14:paraId="4C4291C2" w14:textId="6011409B">
            <w:pPr>
              <w:jc w:val="center"/>
            </w:pPr>
            <w:r w:rsidRPr="155C2B82">
              <w:rPr>
                <w:color w:val="000000" w:themeColor="text1"/>
              </w:rPr>
              <w:t>15.320</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rsidR="155C2B82" w:rsidP="155C2B82" w14:paraId="2867ACDC" w14:textId="5D08DA34">
            <w:pPr>
              <w:jc w:val="center"/>
            </w:pPr>
            <w:r w:rsidRPr="155C2B82">
              <w:rPr>
                <w:color w:val="000000" w:themeColor="text1"/>
              </w:rPr>
              <w:t>24.891</w:t>
            </w:r>
          </w:p>
        </w:tc>
        <w:tc>
          <w:tcPr>
            <w:tcW w:w="159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rsidR="155C2B82" w:rsidP="155C2B82" w14:paraId="4A455F0E" w14:textId="2A716568">
            <w:pPr>
              <w:jc w:val="center"/>
            </w:pPr>
            <w:r w:rsidRPr="155C2B82">
              <w:rPr>
                <w:color w:val="000000" w:themeColor="text1"/>
              </w:rPr>
              <w:t>4.488</w:t>
            </w:r>
          </w:p>
        </w:tc>
        <w:tc>
          <w:tcPr>
            <w:tcW w:w="13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rsidR="155C2B82" w:rsidP="155C2B82" w14:paraId="0C324BAE" w14:textId="1571671E">
            <w:pPr>
              <w:jc w:val="center"/>
            </w:pPr>
            <w:r w:rsidRPr="155C2B82">
              <w:rPr>
                <w:color w:val="000000" w:themeColor="text1"/>
              </w:rPr>
              <w:t>71</w:t>
            </w:r>
          </w:p>
        </w:tc>
        <w:tc>
          <w:tcPr>
            <w:tcW w:w="13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rsidR="155C2B82" w:rsidP="155C2B82" w14:paraId="13064D29" w14:textId="56D0E342">
            <w:pPr>
              <w:jc w:val="center"/>
            </w:pPr>
            <w:r w:rsidRPr="155C2B82">
              <w:t>8.438</w:t>
            </w:r>
          </w:p>
        </w:tc>
        <w:tc>
          <w:tcPr>
            <w:tcW w:w="88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rsidR="155C2B82" w:rsidP="155C2B82" w14:paraId="5D8842C3" w14:textId="0792AEA9">
            <w:pPr>
              <w:jc w:val="center"/>
            </w:pPr>
            <w:r w:rsidRPr="155C2B82">
              <w:rPr>
                <w:color w:val="000000" w:themeColor="text1"/>
              </w:rPr>
              <w:t>6.612</w:t>
            </w:r>
          </w:p>
        </w:tc>
      </w:tr>
      <w:tr w14:paraId="4D33F432" w14:textId="77777777" w:rsidTr="155C2B82">
        <w:tblPrEx>
          <w:tblW w:w="0" w:type="auto"/>
          <w:tblLook w:val="04A0"/>
        </w:tblPrEx>
        <w:trPr>
          <w:trHeight w:val="285"/>
        </w:trPr>
        <w:tc>
          <w:tcPr>
            <w:tcW w:w="70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rsidR="155C2B82" w:rsidP="155C2B82" w14:paraId="01AA0645" w14:textId="35EF12BE">
            <w:pPr>
              <w:jc w:val="center"/>
            </w:pPr>
            <w:r w:rsidRPr="155C2B82">
              <w:rPr>
                <w:color w:val="000000" w:themeColor="text1"/>
              </w:rPr>
              <w:t>2024</w:t>
            </w:r>
          </w:p>
        </w:tc>
        <w:tc>
          <w:tcPr>
            <w:tcW w:w="123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rsidR="155C2B82" w:rsidP="155C2B82" w14:paraId="756CA8C6" w14:textId="58EF44B1">
            <w:pPr>
              <w:jc w:val="center"/>
            </w:pPr>
            <w:r w:rsidRPr="155C2B82">
              <w:rPr>
                <w:color w:val="000000" w:themeColor="text1"/>
              </w:rPr>
              <w:t>59.581</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rsidR="155C2B82" w:rsidP="155C2B82" w14:paraId="3FC1B34A" w14:textId="694D68E0">
            <w:pPr>
              <w:jc w:val="center"/>
            </w:pPr>
            <w:r w:rsidRPr="155C2B82">
              <w:rPr>
                <w:color w:val="000000" w:themeColor="text1"/>
              </w:rPr>
              <w:t>16.463</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rsidR="155C2B82" w:rsidP="155C2B82" w14:paraId="05B290D6" w14:textId="1C7431D6">
            <w:pPr>
              <w:jc w:val="center"/>
            </w:pPr>
            <w:r w:rsidRPr="155C2B82">
              <w:rPr>
                <w:color w:val="000000" w:themeColor="text1"/>
              </w:rPr>
              <w:t>26.268</w:t>
            </w:r>
          </w:p>
        </w:tc>
        <w:tc>
          <w:tcPr>
            <w:tcW w:w="159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rsidR="155C2B82" w:rsidP="155C2B82" w14:paraId="164A3493" w14:textId="40B00179">
            <w:pPr>
              <w:jc w:val="center"/>
            </w:pPr>
            <w:r w:rsidRPr="155C2B82">
              <w:rPr>
                <w:color w:val="000000" w:themeColor="text1"/>
              </w:rPr>
              <w:t>3.932</w:t>
            </w:r>
          </w:p>
        </w:tc>
        <w:tc>
          <w:tcPr>
            <w:tcW w:w="13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rsidR="155C2B82" w:rsidP="155C2B82" w14:paraId="5656A882" w14:textId="659300C1">
            <w:pPr>
              <w:jc w:val="center"/>
            </w:pPr>
            <w:r w:rsidRPr="155C2B82">
              <w:rPr>
                <w:color w:val="000000" w:themeColor="text1"/>
              </w:rPr>
              <w:t>1.275</w:t>
            </w:r>
          </w:p>
        </w:tc>
        <w:tc>
          <w:tcPr>
            <w:tcW w:w="139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rsidR="155C2B82" w:rsidP="155C2B82" w14:paraId="18C6C557" w14:textId="5010E8EB">
            <w:pPr>
              <w:jc w:val="center"/>
            </w:pPr>
            <w:r w:rsidRPr="155C2B82">
              <w:t>7.394</w:t>
            </w:r>
          </w:p>
        </w:tc>
        <w:tc>
          <w:tcPr>
            <w:tcW w:w="886"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rsidR="155C2B82" w:rsidP="155C2B82" w14:paraId="624D350D" w14:textId="0652911D">
            <w:pPr>
              <w:jc w:val="center"/>
            </w:pPr>
            <w:r w:rsidRPr="155C2B82">
              <w:rPr>
                <w:color w:val="000000" w:themeColor="text1"/>
              </w:rPr>
              <w:t>4.871</w:t>
            </w:r>
          </w:p>
        </w:tc>
      </w:tr>
    </w:tbl>
    <w:p w:rsidR="007F5495" w:rsidRPr="00987C41" w:rsidP="155C2B82" w14:paraId="11CB5855" w14:textId="597E68D5">
      <w:pPr>
        <w:spacing w:after="160" w:line="257" w:lineRule="auto"/>
        <w:jc w:val="both"/>
      </w:pPr>
      <w:r w:rsidRPr="155C2B82">
        <w:t xml:space="preserve"> </w:t>
      </w:r>
    </w:p>
    <w:p w:rsidR="007F5495" w:rsidRPr="00987C41" w:rsidP="155C2B82" w14:paraId="36D842A1" w14:textId="764ED8F6">
      <w:pPr>
        <w:spacing w:after="160" w:line="257" w:lineRule="auto"/>
        <w:jc w:val="both"/>
      </w:pPr>
      <w:r w:rsidRPr="155C2B82">
        <w:t>Nel calcolo delle spese di personale e del relativo indicatore sono attualmente inclusi, ai sensi dell’articolo 5, comma 2, lett. a) del decreto legislativo n. 49/2012 anche i ricercatori a tempo determinato di cui all’art. 24, comma 3, lett. a) della legge n. 240/2010 del testo previgente il decreto-legge 30 aprile 2022, n. 36, convertito, con modificazioni, dalla legge 29 giugno 2022, n. 79, il cui reclutamento è stato possibile, ai sensi di quanto previsto dall’articolo  14, comma 6-</w:t>
      </w:r>
      <w:r w:rsidRPr="155C2B82">
        <w:rPr>
          <w:i/>
          <w:iCs/>
        </w:rPr>
        <w:t>quinquiesdecies</w:t>
      </w:r>
      <w:r w:rsidRPr="155C2B82">
        <w:t xml:space="preserve">, della legge n. 79/2022, entro il termine del 29 giugno 2025. Lo scopo della </w:t>
      </w:r>
      <w:r w:rsidRPr="155C2B82">
        <w:t>predetta</w:t>
      </w:r>
      <w:r w:rsidRPr="155C2B82">
        <w:t xml:space="preserve"> proposta normativa è, quindi, quello di escludere da tale computo i ricercatori universitari a tempo determinato di tipo a), nonché i titolari dei contratti di ricerca di cui all’articolo 22, nonché i titolari degli incarichi post-doc e degli incarichi di ricerca di cui agli articoli 22-bis e 22-ter della legge n. 240 del 2010.</w:t>
      </w:r>
    </w:p>
    <w:p w:rsidR="007F5495" w:rsidRPr="00987C41" w:rsidP="155C2B82" w14:paraId="287BFB7C" w14:textId="01020C75">
      <w:pPr>
        <w:spacing w:after="160" w:line="257" w:lineRule="auto"/>
        <w:jc w:val="both"/>
      </w:pPr>
      <w:r w:rsidRPr="155C2B82">
        <w:t>Rispetto alle restanti qualifiche del personale universitario, la percentuale di spesa che grava sui bilanci universitari è molto più ridotta e scende dal 60% del 2021 a meno del 40% nel 2023 e nel 2024, tenuto anche conto del finanziamento del reclutamento di tali ricercatori con risorse del PNRR. Parallelamente il numero di tali ricercatori è considerevolmente aumentato dal 2021 (4.931) al 2023 (8.438), anche se il loro numero ha iniziato a scendere nel 2024 (7.394).</w:t>
      </w:r>
    </w:p>
    <w:p w:rsidR="007F5495" w:rsidRPr="00987C41" w:rsidP="155C2B82" w14:paraId="1B74B529" w14:textId="4D61D7E4">
      <w:pPr>
        <w:spacing w:after="160" w:line="257" w:lineRule="auto"/>
        <w:jc w:val="both"/>
      </w:pPr>
      <w:r w:rsidRPr="155C2B82">
        <w:t>L’incidenza complessiva sulla spesa del personale dei ricercatori di tipo A rimane quindi, anche nell’ultimo triennio, sostanzialmente costante e a un livello contenuto poco al di sopra del 2%.</w:t>
      </w:r>
    </w:p>
    <w:tbl>
      <w:tblPr>
        <w:tblW w:w="0" w:type="auto"/>
        <w:tblLook w:val="04A0"/>
      </w:tblPr>
      <w:tblGrid>
        <w:gridCol w:w="1423"/>
        <w:gridCol w:w="1693"/>
        <w:gridCol w:w="2411"/>
        <w:gridCol w:w="1484"/>
        <w:gridCol w:w="2617"/>
      </w:tblGrid>
      <w:tr w14:paraId="0581B1B9" w14:textId="77777777" w:rsidTr="155C2B82">
        <w:tblPrEx>
          <w:tblW w:w="0" w:type="auto"/>
          <w:tblLook w:val="04A0"/>
        </w:tblPrEx>
        <w:trPr>
          <w:trHeight w:val="285"/>
        </w:trPr>
        <w:tc>
          <w:tcPr>
            <w:tcW w:w="1425"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rsidR="155C2B82" w:rsidP="155C2B82" w14:paraId="7065BB2C" w14:textId="07A8DB8B">
            <w:pPr>
              <w:jc w:val="center"/>
            </w:pPr>
            <w:r w:rsidRPr="155C2B82">
              <w:rPr>
                <w:b/>
                <w:bCs/>
                <w:color w:val="000000" w:themeColor="text1"/>
              </w:rPr>
              <w:t>Anno</w:t>
            </w:r>
          </w:p>
        </w:tc>
        <w:tc>
          <w:tcPr>
            <w:tcW w:w="1695"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rsidR="155C2B82" w:rsidP="155C2B82" w14:paraId="0767533F" w14:textId="1EAD99C7">
            <w:pPr>
              <w:jc w:val="center"/>
            </w:pPr>
            <w:r w:rsidRPr="155C2B82">
              <w:rPr>
                <w:b/>
                <w:bCs/>
                <w:color w:val="000000" w:themeColor="text1"/>
              </w:rPr>
              <w:t>Spesa totale</w:t>
            </w:r>
          </w:p>
          <w:p w:rsidR="155C2B82" w:rsidP="155C2B82" w14:paraId="3045FA45" w14:textId="5BAE83C6">
            <w:pPr>
              <w:jc w:val="center"/>
            </w:pPr>
            <w:r w:rsidRPr="155C2B82">
              <w:rPr>
                <w:b/>
                <w:bCs/>
                <w:color w:val="000000" w:themeColor="text1"/>
              </w:rPr>
              <w:t>Ricercatori tipo A)</w:t>
            </w:r>
          </w:p>
        </w:tc>
        <w:tc>
          <w:tcPr>
            <w:tcW w:w="2415"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rsidR="155C2B82" w:rsidP="155C2B82" w14:paraId="44D6D07F" w14:textId="2A71134D">
            <w:pPr>
              <w:jc w:val="center"/>
            </w:pPr>
            <w:r w:rsidRPr="155C2B82">
              <w:rPr>
                <w:b/>
                <w:bCs/>
                <w:color w:val="000000" w:themeColor="text1"/>
              </w:rPr>
              <w:t>Finanziamenti esterni per Spese di Personale</w:t>
            </w:r>
          </w:p>
        </w:tc>
        <w:tc>
          <w:tcPr>
            <w:tcW w:w="1485"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rsidR="155C2B82" w:rsidP="155C2B82" w14:paraId="1FA717A1" w14:textId="7BE7ED85">
            <w:pPr>
              <w:jc w:val="center"/>
            </w:pPr>
            <w:r w:rsidRPr="155C2B82">
              <w:rPr>
                <w:b/>
                <w:bCs/>
                <w:color w:val="000000" w:themeColor="text1"/>
              </w:rPr>
              <w:t>Spese di personale a carico Ateneo</w:t>
            </w:r>
          </w:p>
        </w:tc>
        <w:tc>
          <w:tcPr>
            <w:tcW w:w="2625"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rsidR="155C2B82" w:rsidP="155C2B82" w14:paraId="22D440D4" w14:textId="42BA58DE">
            <w:pPr>
              <w:jc w:val="center"/>
            </w:pPr>
            <w:r w:rsidRPr="155C2B82">
              <w:rPr>
                <w:b/>
                <w:bCs/>
                <w:color w:val="000000" w:themeColor="text1"/>
              </w:rPr>
              <w:t>% a carico bilanci Ateneo</w:t>
            </w:r>
          </w:p>
        </w:tc>
      </w:tr>
      <w:tr w14:paraId="331FF2F8" w14:textId="77777777" w:rsidTr="155C2B82">
        <w:tblPrEx>
          <w:tblW w:w="0" w:type="auto"/>
          <w:tblLook w:val="04A0"/>
        </w:tblPrEx>
        <w:trPr>
          <w:trHeight w:val="285"/>
        </w:trPr>
        <w:tc>
          <w:tcPr>
            <w:tcW w:w="1425"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rsidR="155C2B82" w:rsidP="155C2B82" w14:paraId="7985DE3C" w14:textId="603E7BC7">
            <w:pPr>
              <w:jc w:val="center"/>
            </w:pPr>
            <w:r w:rsidRPr="155C2B82">
              <w:rPr>
                <w:color w:val="000000" w:themeColor="text1"/>
              </w:rPr>
              <w:t>2021</w:t>
            </w:r>
          </w:p>
        </w:tc>
        <w:tc>
          <w:tcPr>
            <w:tcW w:w="1695"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rsidR="155C2B82" w:rsidP="155C2B82" w14:paraId="7C27C69F" w14:textId="39447308">
            <w:pPr>
              <w:jc w:val="center"/>
            </w:pPr>
            <w:r w:rsidRPr="155C2B82">
              <w:rPr>
                <w:color w:val="000000" w:themeColor="text1"/>
              </w:rPr>
              <w:t>221.507.915</w:t>
            </w:r>
          </w:p>
        </w:tc>
        <w:tc>
          <w:tcPr>
            <w:tcW w:w="2415"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rsidR="155C2B82" w:rsidP="155C2B82" w14:paraId="736AC3FC" w14:textId="222D8EEE">
            <w:pPr>
              <w:jc w:val="center"/>
            </w:pPr>
            <w:r w:rsidRPr="155C2B82">
              <w:rPr>
                <w:color w:val="000000" w:themeColor="text1"/>
              </w:rPr>
              <w:t>87.943.742</w:t>
            </w:r>
          </w:p>
        </w:tc>
        <w:tc>
          <w:tcPr>
            <w:tcW w:w="1485"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rsidR="155C2B82" w:rsidP="155C2B82" w14:paraId="7FBD1620" w14:textId="77E021E8">
            <w:pPr>
              <w:jc w:val="center"/>
            </w:pPr>
            <w:r w:rsidRPr="155C2B82">
              <w:rPr>
                <w:color w:val="000000" w:themeColor="text1"/>
              </w:rPr>
              <w:t>133.564.172</w:t>
            </w:r>
          </w:p>
        </w:tc>
        <w:tc>
          <w:tcPr>
            <w:tcW w:w="2625"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rsidR="155C2B82" w:rsidP="155C2B82" w14:paraId="7156D44B" w14:textId="1BFB5304">
            <w:pPr>
              <w:jc w:val="center"/>
            </w:pPr>
            <w:r w:rsidRPr="155C2B82">
              <w:rPr>
                <w:color w:val="000000" w:themeColor="text1"/>
              </w:rPr>
              <w:t>60,3%</w:t>
            </w:r>
          </w:p>
        </w:tc>
      </w:tr>
      <w:tr w14:paraId="139F504A" w14:textId="77777777" w:rsidTr="155C2B82">
        <w:tblPrEx>
          <w:tblW w:w="0" w:type="auto"/>
          <w:tblLook w:val="04A0"/>
        </w:tblPrEx>
        <w:trPr>
          <w:trHeight w:val="285"/>
        </w:trPr>
        <w:tc>
          <w:tcPr>
            <w:tcW w:w="1425"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rsidR="155C2B82" w:rsidP="155C2B82" w14:paraId="4E68E821" w14:textId="60C79249">
            <w:pPr>
              <w:jc w:val="center"/>
            </w:pPr>
            <w:r w:rsidRPr="155C2B82">
              <w:rPr>
                <w:color w:val="000000" w:themeColor="text1"/>
              </w:rPr>
              <w:t>2022</w:t>
            </w:r>
          </w:p>
        </w:tc>
        <w:tc>
          <w:tcPr>
            <w:tcW w:w="1695"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rsidR="155C2B82" w:rsidP="155C2B82" w14:paraId="1A6A9BF4" w14:textId="3C7E5D6C">
            <w:pPr>
              <w:jc w:val="center"/>
            </w:pPr>
            <w:r w:rsidRPr="155C2B82">
              <w:rPr>
                <w:color w:val="000000" w:themeColor="text1"/>
              </w:rPr>
              <w:t>296.895.427</w:t>
            </w:r>
          </w:p>
        </w:tc>
        <w:tc>
          <w:tcPr>
            <w:tcW w:w="2415"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rsidR="155C2B82" w:rsidP="155C2B82" w14:paraId="37B33FFD" w14:textId="361A578E">
            <w:pPr>
              <w:jc w:val="center"/>
            </w:pPr>
            <w:r w:rsidRPr="155C2B82">
              <w:rPr>
                <w:color w:val="000000" w:themeColor="text1"/>
              </w:rPr>
              <w:t>167.790.044</w:t>
            </w:r>
          </w:p>
        </w:tc>
        <w:tc>
          <w:tcPr>
            <w:tcW w:w="1485"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rsidR="155C2B82" w:rsidP="155C2B82" w14:paraId="73CE7C2E" w14:textId="5B5BDD4B">
            <w:pPr>
              <w:jc w:val="center"/>
            </w:pPr>
            <w:r w:rsidRPr="155C2B82">
              <w:rPr>
                <w:color w:val="000000" w:themeColor="text1"/>
              </w:rPr>
              <w:t>129.105.383</w:t>
            </w:r>
          </w:p>
        </w:tc>
        <w:tc>
          <w:tcPr>
            <w:tcW w:w="2625"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rsidR="155C2B82" w:rsidP="155C2B82" w14:paraId="347D034B" w14:textId="2EC4C55A">
            <w:pPr>
              <w:jc w:val="center"/>
            </w:pPr>
            <w:r w:rsidRPr="155C2B82">
              <w:rPr>
                <w:color w:val="000000" w:themeColor="text1"/>
              </w:rPr>
              <w:t>43,5%</w:t>
            </w:r>
          </w:p>
        </w:tc>
      </w:tr>
      <w:tr w14:paraId="3EED3E3D" w14:textId="77777777" w:rsidTr="155C2B82">
        <w:tblPrEx>
          <w:tblW w:w="0" w:type="auto"/>
          <w:tblLook w:val="04A0"/>
        </w:tblPrEx>
        <w:trPr>
          <w:trHeight w:val="285"/>
        </w:trPr>
        <w:tc>
          <w:tcPr>
            <w:tcW w:w="1425"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rsidR="155C2B82" w:rsidP="155C2B82" w14:paraId="4CE01B4D" w14:textId="36348266">
            <w:pPr>
              <w:jc w:val="center"/>
            </w:pPr>
            <w:r w:rsidRPr="155C2B82">
              <w:t>2023</w:t>
            </w:r>
          </w:p>
        </w:tc>
        <w:tc>
          <w:tcPr>
            <w:tcW w:w="1695"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rsidR="155C2B82" w:rsidP="155C2B82" w14:paraId="1B75BEAE" w14:textId="36ECA052">
            <w:pPr>
              <w:jc w:val="center"/>
            </w:pPr>
            <w:r w:rsidRPr="155C2B82">
              <w:t>395.919.306</w:t>
            </w:r>
          </w:p>
        </w:tc>
        <w:tc>
          <w:tcPr>
            <w:tcW w:w="2415"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rsidR="155C2B82" w:rsidP="155C2B82" w14:paraId="609FDFC7" w14:textId="40CBBD23">
            <w:pPr>
              <w:jc w:val="center"/>
            </w:pPr>
            <w:r w:rsidRPr="155C2B82">
              <w:t>238.855.835</w:t>
            </w:r>
          </w:p>
        </w:tc>
        <w:tc>
          <w:tcPr>
            <w:tcW w:w="1485"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rsidR="155C2B82" w:rsidP="155C2B82" w14:paraId="469D75DD" w14:textId="1933EFE2">
            <w:pPr>
              <w:jc w:val="center"/>
            </w:pPr>
            <w:r w:rsidRPr="155C2B82">
              <w:t>157.063.471</w:t>
            </w:r>
          </w:p>
        </w:tc>
        <w:tc>
          <w:tcPr>
            <w:tcW w:w="2625"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rsidR="155C2B82" w:rsidP="155C2B82" w14:paraId="5B2656B7" w14:textId="55AD1C13">
            <w:pPr>
              <w:jc w:val="center"/>
            </w:pPr>
            <w:r w:rsidRPr="155C2B82">
              <w:t>39,7%</w:t>
            </w:r>
          </w:p>
        </w:tc>
      </w:tr>
      <w:tr w14:paraId="64BDEB93" w14:textId="77777777" w:rsidTr="155C2B82">
        <w:tblPrEx>
          <w:tblW w:w="0" w:type="auto"/>
          <w:tblLook w:val="04A0"/>
        </w:tblPrEx>
        <w:trPr>
          <w:trHeight w:val="285"/>
        </w:trPr>
        <w:tc>
          <w:tcPr>
            <w:tcW w:w="1425"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rsidR="155C2B82" w:rsidP="155C2B82" w14:paraId="43B339DD" w14:textId="0A4F1946">
            <w:pPr>
              <w:jc w:val="center"/>
            </w:pPr>
            <w:r w:rsidRPr="155C2B82">
              <w:t>2024</w:t>
            </w:r>
          </w:p>
        </w:tc>
        <w:tc>
          <w:tcPr>
            <w:tcW w:w="1695"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rsidR="155C2B82" w:rsidP="155C2B82" w14:paraId="0F271477" w14:textId="06D4E04A">
            <w:pPr>
              <w:jc w:val="center"/>
            </w:pPr>
            <w:r w:rsidRPr="155C2B82">
              <w:t>423.384.673</w:t>
            </w:r>
          </w:p>
        </w:tc>
        <w:tc>
          <w:tcPr>
            <w:tcW w:w="2415"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rsidR="155C2B82" w:rsidP="155C2B82" w14:paraId="54F3D6DE" w14:textId="1799FBAE">
            <w:pPr>
              <w:jc w:val="center"/>
            </w:pPr>
            <w:r w:rsidRPr="155C2B82">
              <w:t>255.129.019</w:t>
            </w:r>
          </w:p>
        </w:tc>
        <w:tc>
          <w:tcPr>
            <w:tcW w:w="1485"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rsidR="155C2B82" w:rsidP="155C2B82" w14:paraId="1C93C123" w14:textId="79DDD1DB">
            <w:pPr>
              <w:jc w:val="center"/>
            </w:pPr>
            <w:r w:rsidRPr="155C2B82">
              <w:t>168.255.654</w:t>
            </w:r>
          </w:p>
        </w:tc>
        <w:tc>
          <w:tcPr>
            <w:tcW w:w="2625"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rsidR="155C2B82" w:rsidP="155C2B82" w14:paraId="17B013F4" w14:textId="27ABAC77">
            <w:pPr>
              <w:jc w:val="center"/>
            </w:pPr>
            <w:r w:rsidRPr="155C2B82">
              <w:t>39,7%</w:t>
            </w:r>
          </w:p>
        </w:tc>
      </w:tr>
    </w:tbl>
    <w:p w:rsidR="007F5495" w:rsidRPr="00987C41" w:rsidP="155C2B82" w14:paraId="5575D00D" w14:textId="24C2261A">
      <w:pPr>
        <w:spacing w:after="160" w:line="257" w:lineRule="auto"/>
        <w:jc w:val="both"/>
      </w:pPr>
      <w:r w:rsidRPr="155C2B82">
        <w:rPr>
          <w:i/>
          <w:iCs/>
        </w:rPr>
        <w:t xml:space="preserve"> </w:t>
      </w:r>
      <w:r w:rsidRPr="155C2B82">
        <w:t xml:space="preserve"> </w:t>
      </w:r>
    </w:p>
    <w:tbl>
      <w:tblPr>
        <w:tblW w:w="0" w:type="auto"/>
        <w:tblLook w:val="04A0"/>
      </w:tblPr>
      <w:tblGrid>
        <w:gridCol w:w="2828"/>
        <w:gridCol w:w="2082"/>
        <w:gridCol w:w="2442"/>
        <w:gridCol w:w="2276"/>
      </w:tblGrid>
      <w:tr w14:paraId="4C82D796" w14:textId="77777777" w:rsidTr="155C2B82">
        <w:tblPrEx>
          <w:tblW w:w="0" w:type="auto"/>
          <w:tblLook w:val="04A0"/>
        </w:tblPrEx>
        <w:trPr>
          <w:trHeight w:val="1425"/>
        </w:trPr>
        <w:tc>
          <w:tcPr>
            <w:tcW w:w="2835"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rsidR="155C2B82" w:rsidP="155C2B82" w14:paraId="105AA893" w14:textId="1E3C1B47">
            <w:pPr>
              <w:jc w:val="center"/>
            </w:pPr>
            <w:r w:rsidRPr="155C2B82">
              <w:rPr>
                <w:b/>
                <w:bCs/>
                <w:color w:val="000000" w:themeColor="text1"/>
              </w:rPr>
              <w:t>Anno</w:t>
            </w:r>
          </w:p>
        </w:tc>
        <w:tc>
          <w:tcPr>
            <w:tcW w:w="2085"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rsidR="155C2B82" w:rsidP="155C2B82" w14:paraId="6F4854EA" w14:textId="6C63FEDF">
            <w:pPr>
              <w:jc w:val="center"/>
            </w:pPr>
            <w:r w:rsidRPr="155C2B82">
              <w:rPr>
                <w:b/>
                <w:bCs/>
                <w:color w:val="000000" w:themeColor="text1"/>
              </w:rPr>
              <w:t>Incidenza spesa Ricercatori tipo A) su spesa complessiva di personale</w:t>
            </w:r>
          </w:p>
        </w:tc>
        <w:tc>
          <w:tcPr>
            <w:tcW w:w="2445"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rsidR="155C2B82" w:rsidP="155C2B82" w14:paraId="29B31852" w14:textId="675A0938">
            <w:pPr>
              <w:jc w:val="center"/>
            </w:pPr>
            <w:r w:rsidRPr="155C2B82">
              <w:rPr>
                <w:b/>
                <w:bCs/>
                <w:color w:val="000000" w:themeColor="text1"/>
              </w:rPr>
              <w:t>Incidenza spesa Ricercatori tipo A) finanziamenti esterni</w:t>
            </w:r>
          </w:p>
        </w:tc>
        <w:tc>
          <w:tcPr>
            <w:tcW w:w="2280"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rsidR="155C2B82" w:rsidP="155C2B82" w14:paraId="6A72160B" w14:textId="7AB2184C">
            <w:pPr>
              <w:jc w:val="center"/>
            </w:pPr>
            <w:r w:rsidRPr="155C2B82">
              <w:rPr>
                <w:b/>
                <w:bCs/>
                <w:color w:val="000000" w:themeColor="text1"/>
              </w:rPr>
              <w:t>Incidenza spesa Ricercatori tipo A) a carico bilanci d'Ateneo</w:t>
            </w:r>
          </w:p>
        </w:tc>
      </w:tr>
      <w:tr w14:paraId="61F183A5" w14:textId="77777777" w:rsidTr="155C2B82">
        <w:tblPrEx>
          <w:tblW w:w="0" w:type="auto"/>
          <w:tblLook w:val="04A0"/>
        </w:tblPrEx>
        <w:trPr>
          <w:trHeight w:val="285"/>
        </w:trPr>
        <w:tc>
          <w:tcPr>
            <w:tcW w:w="2835"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rsidR="155C2B82" w:rsidP="155C2B82" w14:paraId="12BCE043" w14:textId="1934B3FE">
            <w:pPr>
              <w:jc w:val="center"/>
            </w:pPr>
            <w:r w:rsidRPr="155C2B82">
              <w:rPr>
                <w:color w:val="000000" w:themeColor="text1"/>
              </w:rPr>
              <w:t>2021</w:t>
            </w:r>
          </w:p>
        </w:tc>
        <w:tc>
          <w:tcPr>
            <w:tcW w:w="2085"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rsidR="155C2B82" w:rsidP="155C2B82" w14:paraId="1BD96595" w14:textId="123591FC">
            <w:pPr>
              <w:jc w:val="center"/>
            </w:pPr>
            <w:r w:rsidRPr="155C2B82">
              <w:rPr>
                <w:color w:val="000000" w:themeColor="text1"/>
              </w:rPr>
              <w:t>3,50%</w:t>
            </w:r>
          </w:p>
        </w:tc>
        <w:tc>
          <w:tcPr>
            <w:tcW w:w="2445"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rsidR="155C2B82" w:rsidP="155C2B82" w14:paraId="4666D0A2" w14:textId="32EAEF04">
            <w:pPr>
              <w:jc w:val="center"/>
            </w:pPr>
            <w:r w:rsidRPr="155C2B82">
              <w:rPr>
                <w:color w:val="000000" w:themeColor="text1"/>
              </w:rPr>
              <w:t>43,10%</w:t>
            </w:r>
          </w:p>
        </w:tc>
        <w:tc>
          <w:tcPr>
            <w:tcW w:w="2280"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rsidR="155C2B82" w:rsidP="155C2B82" w14:paraId="5DD3E734" w14:textId="0CC9478B">
            <w:pPr>
              <w:jc w:val="center"/>
            </w:pPr>
            <w:r w:rsidRPr="155C2B82">
              <w:rPr>
                <w:color w:val="000000" w:themeColor="text1"/>
              </w:rPr>
              <w:t>2,18%</w:t>
            </w:r>
          </w:p>
        </w:tc>
      </w:tr>
      <w:tr w14:paraId="3A46512E" w14:textId="77777777" w:rsidTr="155C2B82">
        <w:tblPrEx>
          <w:tblW w:w="0" w:type="auto"/>
          <w:tblLook w:val="04A0"/>
        </w:tblPrEx>
        <w:trPr>
          <w:trHeight w:val="285"/>
        </w:trPr>
        <w:tc>
          <w:tcPr>
            <w:tcW w:w="2835"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rsidR="155C2B82" w:rsidP="155C2B82" w14:paraId="091AF37C" w14:textId="4D5B8AB2">
            <w:pPr>
              <w:jc w:val="center"/>
            </w:pPr>
            <w:r w:rsidRPr="155C2B82">
              <w:rPr>
                <w:color w:val="000000" w:themeColor="text1"/>
              </w:rPr>
              <w:t>2022</w:t>
            </w:r>
          </w:p>
        </w:tc>
        <w:tc>
          <w:tcPr>
            <w:tcW w:w="2085"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rsidR="155C2B82" w:rsidP="155C2B82" w14:paraId="28CFBAD9" w14:textId="0772CF66">
            <w:pPr>
              <w:jc w:val="center"/>
            </w:pPr>
            <w:r w:rsidRPr="155C2B82">
              <w:rPr>
                <w:color w:val="000000" w:themeColor="text1"/>
              </w:rPr>
              <w:t>4,42%</w:t>
            </w:r>
          </w:p>
        </w:tc>
        <w:tc>
          <w:tcPr>
            <w:tcW w:w="2445"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rsidR="155C2B82" w:rsidP="155C2B82" w14:paraId="722B7884" w14:textId="433F7B6E">
            <w:pPr>
              <w:jc w:val="center"/>
            </w:pPr>
            <w:r w:rsidRPr="155C2B82">
              <w:rPr>
                <w:color w:val="000000" w:themeColor="text1"/>
              </w:rPr>
              <w:t>55,74%</w:t>
            </w:r>
          </w:p>
        </w:tc>
        <w:tc>
          <w:tcPr>
            <w:tcW w:w="2280"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rsidR="155C2B82" w:rsidP="155C2B82" w14:paraId="3CE00747" w14:textId="0A161D10">
            <w:pPr>
              <w:jc w:val="center"/>
            </w:pPr>
            <w:r w:rsidRPr="155C2B82">
              <w:rPr>
                <w:color w:val="000000" w:themeColor="text1"/>
              </w:rPr>
              <w:t>2,01%</w:t>
            </w:r>
          </w:p>
        </w:tc>
      </w:tr>
      <w:tr w14:paraId="48052527" w14:textId="77777777" w:rsidTr="155C2B82">
        <w:tblPrEx>
          <w:tblW w:w="0" w:type="auto"/>
          <w:tblLook w:val="04A0"/>
        </w:tblPrEx>
        <w:trPr>
          <w:trHeight w:val="495"/>
        </w:trPr>
        <w:tc>
          <w:tcPr>
            <w:tcW w:w="2835"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rsidR="155C2B82" w:rsidP="155C2B82" w14:paraId="60552F23" w14:textId="115101EF">
            <w:pPr>
              <w:jc w:val="center"/>
            </w:pPr>
            <w:r w:rsidRPr="155C2B82">
              <w:rPr>
                <w:color w:val="000000" w:themeColor="text1"/>
              </w:rPr>
              <w:t>2023</w:t>
            </w:r>
          </w:p>
        </w:tc>
        <w:tc>
          <w:tcPr>
            <w:tcW w:w="2085"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rsidR="155C2B82" w:rsidP="155C2B82" w14:paraId="4DAE26A2" w14:textId="5BD1179E">
            <w:pPr>
              <w:jc w:val="center"/>
            </w:pPr>
            <w:r w:rsidRPr="155C2B82">
              <w:rPr>
                <w:color w:val="000000" w:themeColor="text1"/>
              </w:rPr>
              <w:t>5,58%</w:t>
            </w:r>
          </w:p>
        </w:tc>
        <w:tc>
          <w:tcPr>
            <w:tcW w:w="2445"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rsidR="155C2B82" w:rsidP="155C2B82" w14:paraId="6FFFD93B" w14:textId="5D07BFB6">
            <w:pPr>
              <w:jc w:val="center"/>
            </w:pPr>
            <w:r w:rsidRPr="155C2B82">
              <w:rPr>
                <w:color w:val="000000" w:themeColor="text1"/>
              </w:rPr>
              <w:t>59,09%</w:t>
            </w:r>
          </w:p>
        </w:tc>
        <w:tc>
          <w:tcPr>
            <w:tcW w:w="2280"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rsidR="155C2B82" w:rsidP="155C2B82" w14:paraId="7DD55B24" w14:textId="281AC2F0">
            <w:pPr>
              <w:jc w:val="center"/>
            </w:pPr>
            <w:r w:rsidRPr="155C2B82">
              <w:rPr>
                <w:color w:val="000000" w:themeColor="text1"/>
              </w:rPr>
              <w:t>2,35%</w:t>
            </w:r>
          </w:p>
        </w:tc>
      </w:tr>
      <w:tr w14:paraId="0B6F6EF3" w14:textId="77777777" w:rsidTr="155C2B82">
        <w:tblPrEx>
          <w:tblW w:w="0" w:type="auto"/>
          <w:tblLook w:val="04A0"/>
        </w:tblPrEx>
        <w:trPr>
          <w:trHeight w:val="285"/>
        </w:trPr>
        <w:tc>
          <w:tcPr>
            <w:tcW w:w="2835"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rsidR="155C2B82" w:rsidP="155C2B82" w14:paraId="199247D7" w14:textId="345E0E1A">
            <w:pPr>
              <w:jc w:val="center"/>
            </w:pPr>
            <w:r w:rsidRPr="155C2B82">
              <w:t>2024</w:t>
            </w:r>
          </w:p>
        </w:tc>
        <w:tc>
          <w:tcPr>
            <w:tcW w:w="2085"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rsidR="155C2B82" w:rsidP="155C2B82" w14:paraId="47203E3A" w14:textId="5563589D">
            <w:pPr>
              <w:jc w:val="center"/>
            </w:pPr>
            <w:r w:rsidRPr="155C2B82">
              <w:t>5,50%</w:t>
            </w:r>
          </w:p>
        </w:tc>
        <w:tc>
          <w:tcPr>
            <w:tcW w:w="2445"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rsidR="155C2B82" w:rsidP="155C2B82" w14:paraId="6C79F407" w14:textId="06473D6F">
            <w:pPr>
              <w:jc w:val="center"/>
            </w:pPr>
            <w:r w:rsidRPr="155C2B82">
              <w:t>56,78%</w:t>
            </w:r>
          </w:p>
        </w:tc>
        <w:tc>
          <w:tcPr>
            <w:tcW w:w="2280"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rsidR="155C2B82" w:rsidP="155C2B82" w14:paraId="5FFD548B" w14:textId="1B433381">
            <w:pPr>
              <w:jc w:val="center"/>
            </w:pPr>
            <w:r w:rsidRPr="155C2B82">
              <w:t>2,32%</w:t>
            </w:r>
          </w:p>
        </w:tc>
      </w:tr>
    </w:tbl>
    <w:p w:rsidR="007F5495" w:rsidRPr="00987C41" w:rsidP="155C2B82" w14:paraId="44DF12CB" w14:textId="586FC7DB">
      <w:pPr>
        <w:spacing w:after="160" w:line="257" w:lineRule="auto"/>
        <w:jc w:val="both"/>
      </w:pPr>
      <w:r w:rsidRPr="155C2B82">
        <w:t xml:space="preserve"> </w:t>
      </w:r>
    </w:p>
    <w:p w:rsidR="007F5495" w:rsidRPr="00987C41" w:rsidP="155C2B82" w14:paraId="1AC98D2D" w14:textId="60E0219A">
      <w:pPr>
        <w:tabs>
          <w:tab w:val="left" w:pos="142"/>
          <w:tab w:val="left" w:pos="284"/>
        </w:tabs>
        <w:spacing w:after="160" w:line="257" w:lineRule="auto"/>
        <w:jc w:val="both"/>
      </w:pPr>
      <w:r w:rsidRPr="155C2B82">
        <w:t xml:space="preserve">Tanto premesso, al fine di consentire la sostenibilità dei bilanci delle università, coerentemente con la programmazione delle risorse finanziarie disponibili, si interviene, con la presente proposta normativa a rideterminare l’indicatore per l’applicazione del limite massimo alle spese di personale delle università il cui calcolo è disciplinato dall’articolo 5 del d.lgs. 29 marzo 2012, n. 49, escludendo dal computo: le figure ad esaurimento di tipo A (RTD-A), in analogia a quanto già avviene per gli assegni di ricerca, che non sono computati tra le spese di personale, i contratti di ricerca, introdotti dall’articolo 22 della legge n. 240 del 2010, come modificato dalla legge n. 79 del 2022, di conversione del decreto-legge n. 36 del 2022, nonché gli incarichi post-doc e gli incarichi di ricerca ai sensi degli articoli 22-bis e 22-ter della predetta legge n. 240 del 2010. </w:t>
      </w:r>
    </w:p>
    <w:p w:rsidR="007F5495" w:rsidRPr="00987C41" w:rsidP="155C2B82" w14:paraId="7F19ABA3" w14:textId="1997EC9D">
      <w:pPr>
        <w:tabs>
          <w:tab w:val="left" w:pos="142"/>
          <w:tab w:val="left" w:pos="284"/>
        </w:tabs>
        <w:spacing w:after="160" w:line="257" w:lineRule="auto"/>
        <w:jc w:val="both"/>
      </w:pPr>
      <w:r w:rsidRPr="155C2B82">
        <w:t>Con specifico riguardo ai contratti di ricerca, si rappresenta che il decreto direttoriale n. 47 del 20 febbraio 2025 ha destinato 37,5 milioni di euro al finanziamento dell’assunzione di almeno 250 giovani ricercatori post dottorato mediante la stipula di contratti di ricerca ex articolo 22 della legge n. 240 del 2010, a valere sulla dotazione finanziaria per l’investimento 1.2 della Missione 4, Componente 2 “</w:t>
      </w:r>
      <w:r w:rsidRPr="155C2B82">
        <w:rPr>
          <w:i/>
          <w:iCs/>
        </w:rPr>
        <w:t>Finanziamento di progetti presentati da Giovani Ricercatori</w:t>
      </w:r>
      <w:r w:rsidRPr="155C2B82">
        <w:t xml:space="preserve">”, con contributi </w:t>
      </w:r>
      <w:r w:rsidRPr="155C2B82">
        <w:rPr>
          <w:i/>
          <w:iCs/>
        </w:rPr>
        <w:t>pro capite</w:t>
      </w:r>
      <w:r w:rsidRPr="155C2B82">
        <w:t xml:space="preserve"> fino a 150.000 euro, a copertura esclusiva dei costi del personale (art. 11), e durata massima di 24 mesi (art. 10), con la riserva del 40 per cento alle regioni del Mezzogiorno. Attualmente risultano attivati n. 355 contratti di ricerca</w:t>
      </w:r>
      <w:r w:rsidRPr="155C2B82">
        <w:rPr>
          <w:strike/>
        </w:rPr>
        <w:t>.</w:t>
      </w:r>
      <w:r w:rsidRPr="155C2B82">
        <w:t xml:space="preserve"> </w:t>
      </w:r>
    </w:p>
    <w:p w:rsidR="007F5495" w:rsidRPr="00987C41" w:rsidP="155C2B82" w14:paraId="13701A0C" w14:textId="7D2548D3">
      <w:pPr>
        <w:tabs>
          <w:tab w:val="left" w:pos="142"/>
          <w:tab w:val="left" w:pos="284"/>
        </w:tabs>
        <w:spacing w:after="160" w:line="257" w:lineRule="auto"/>
        <w:jc w:val="both"/>
      </w:pPr>
      <w:r w:rsidRPr="155C2B82">
        <w:t>Si segnala che il costo lordo Amministrazione minimo è pari a 39.571,26 euro (corrispondente per il contrattista al trattamento annuo del ricercatore confermato a tempo definito), mentre il costo massimo è pari a 54.391,04 euro annui (equivalente al ricercatore confermato a tempo pieno), ai sensi della sequenza contrattuale del 18 marzo 2025.</w:t>
      </w:r>
    </w:p>
    <w:p w:rsidR="007F5495" w:rsidRPr="00987C41" w:rsidP="155C2B82" w14:paraId="76BCAF76" w14:textId="306E8DFA">
      <w:pPr>
        <w:tabs>
          <w:tab w:val="left" w:pos="142"/>
          <w:tab w:val="left" w:pos="284"/>
        </w:tabs>
        <w:spacing w:after="160" w:line="257" w:lineRule="auto"/>
        <w:jc w:val="both"/>
      </w:pPr>
      <w:r w:rsidRPr="155C2B82">
        <w:t>Per quanto riguarda gli incarichi postdoc e gli incarichi di ricerca di cui agli articoli 22-bis e 22-ter della legge n. 240 del 2010, in osservanza di quanto stabilito dal decreto del Ministro dell’università e della ricerca 6 agosto 2025, n. 592, il costo del trattamento economico minimo lordo Amministrazione (ossia comprensivo degli oneri fiscali e contributivi) corrisponde a 39.571,26 euro per gli incarichi postdoc (costo annuo di un contratto di ricerca, atteso che entrambi sono contratti di natura subordinata il cui trattamento minimo equivale a quello del ricercatore confermato a tempo definito) e 29.667,00 euro per gli incarichi di ricerca (ossia 22.500 di trattamento economico minimo su cui conteggiare oneri contributivi e IRAP).</w:t>
      </w:r>
    </w:p>
    <w:p w:rsidR="007F5495" w:rsidRPr="00987C41" w:rsidP="155C2B82" w14:paraId="339CFEB1" w14:textId="239F1413">
      <w:pPr>
        <w:spacing w:after="160" w:line="257" w:lineRule="auto"/>
        <w:jc w:val="both"/>
      </w:pPr>
      <w:r w:rsidRPr="155C2B82">
        <w:t>Si precisa, infatti, che l’incidenza dei contratti di ricerca che la norma esclude dall’indicatore per la determinazione delle spese per il personale non è allo stato disponibile in quanto nel 2024 non erano ancora attivabili (il contratto di ricerca per assenza della sequenza contrattuale che fissasse l’importo minimo, gli incarichi perché introdotti nel 2025).</w:t>
      </w:r>
    </w:p>
    <w:p w:rsidR="007F5495" w:rsidRPr="00987C41" w:rsidP="155C2B82" w14:paraId="116D8D41" w14:textId="7C647518">
      <w:pPr>
        <w:spacing w:after="160" w:line="257" w:lineRule="auto"/>
        <w:jc w:val="both"/>
      </w:pPr>
      <w:r w:rsidRPr="155C2B82">
        <w:t xml:space="preserve">Rispetto agli unici dati disponibili, non si ravvisano criticità in ordine all’impatto finanziario e alla sostenibilità dell’intervento normativo in questione sui bilanci delle università, tenuto conto che l’incidenza della spesa per il reclutamento dei ricercatori universitari a tempo determinato di tipo a) nell’ultimo triennio è pari al 2%. </w:t>
      </w:r>
    </w:p>
    <w:p w:rsidR="007F5495" w:rsidP="155C2B82" w14:paraId="569BF742" w14:textId="3DAD7CE2">
      <w:pPr>
        <w:tabs>
          <w:tab w:val="left" w:pos="142"/>
          <w:tab w:val="left" w:pos="284"/>
        </w:tabs>
        <w:spacing w:after="160" w:line="257" w:lineRule="auto"/>
        <w:jc w:val="both"/>
      </w:pPr>
      <w:r w:rsidRPr="155C2B82">
        <w:t xml:space="preserve">Dall’analisi dei dati forniti in ordine al numero dei ricercatori universitari di tipo a) in servizio nell’anno 2024 nelle tabelle sopra riportate, utilizzati ai fini del riparto dei punti organico per il 2025 (Decreto Ministeriale n. 719 del 9 ottobre 2025), è possibile desumere che lo scomputo degli </w:t>
      </w:r>
      <w:r w:rsidRPr="155C2B82">
        <w:t>RTDa</w:t>
      </w:r>
      <w:r w:rsidRPr="155C2B82">
        <w:t xml:space="preserve"> dall’indicatore determinerebbe un miglioramento medio dell’indicatore pari a circa 1,5 punti percentuali, con un indicatore medio che diminuirebbe dal 66,5% circa al 65%. Ciò non comporterà alcun impatto sulla spesa di personale e sulle assunzioni, dato che il totale di punti organico che vengono ripartiti rimarrebbe, in ogni caso, pari alle cessazioni rilevate.</w:t>
      </w:r>
    </w:p>
    <w:p w:rsidR="00774C67" w:rsidRPr="003C3462" w:rsidP="00774C67" w14:paraId="737BF7E5" w14:textId="3B5C1123">
      <w:pPr>
        <w:tabs>
          <w:tab w:val="left" w:pos="142"/>
          <w:tab w:val="left" w:pos="284"/>
        </w:tabs>
        <w:spacing w:after="160" w:line="257" w:lineRule="auto"/>
        <w:jc w:val="both"/>
        <w:rPr>
          <w:color w:val="FF0000"/>
        </w:rPr>
      </w:pPr>
      <w:r w:rsidRPr="003C3462">
        <w:rPr>
          <w:color w:val="FF0000"/>
        </w:rPr>
        <w:t xml:space="preserve">I </w:t>
      </w:r>
      <w:r w:rsidRPr="003C3462">
        <w:rPr>
          <w:color w:val="FF0000"/>
          <w:u w:val="single"/>
        </w:rPr>
        <w:t>commi da 5 a 7</w:t>
      </w:r>
      <w:r w:rsidRPr="003C3462">
        <w:rPr>
          <w:color w:val="FF0000"/>
        </w:rPr>
        <w:t xml:space="preserve"> contengono disposizioni di semplificazione delle scuole di specializzazione per le professioni legali, disciplinate all’articolo 16 del decreto legislativo 17 novembre 1997, n. 398 e successivo decreto ministeriale 21/12/1999, n. 537, con l’obiettivo di garantire una formazione avanzata ai laureati in giurisprudenza che desiderino accedere alle professioni di avvocato, magistrato e notaio. </w:t>
      </w:r>
      <w:r w:rsidRPr="003C3462">
        <w:rPr>
          <w:b/>
          <w:bCs/>
          <w:color w:val="FF0000"/>
        </w:rPr>
        <w:t>Dal punto di vista finanziario, essi non determinano nuovi o maggiori oneri a carico della finanza pubblica</w:t>
      </w:r>
      <w:r w:rsidRPr="003C3462">
        <w:rPr>
          <w:color w:val="FF0000"/>
        </w:rPr>
        <w:t xml:space="preserve">. Il decreto ministeriale attuativo individuerà gli standard formativi uniformi, rinviando alle singole istituzioni universitarie l’istituzione delle Scuole di specializzazione per le professioni legali e l’attivazione dei percorsi di durata anche annuale, i cui costi saranno posti a carico degli iscritti. Le università, sede delle facoltà e dei Dipartimenti di giurisprudenza, provvederanno alla istituzione delle Scuole e alla attivazione dei diversi percorsi e indirizzi nell’ambito della propria autonomia </w:t>
      </w:r>
      <w:r w:rsidRPr="003C3462" w:rsidR="00AA06E8">
        <w:rPr>
          <w:color w:val="FF0000"/>
        </w:rPr>
        <w:t>organizzativa, didattica e programmatica e nei limiti delle risorse umane, strumentali e finanziarie disponibili nelle singole istituzioni, senza nuovi o maggiori oneri a carico della finanza pubblica e con i medesimi strumenti di finanziamento a legislazione vigente.</w:t>
      </w:r>
    </w:p>
    <w:p w:rsidR="007F5495" w:rsidRPr="00987C41" w:rsidP="155C2B82" w14:paraId="4BFE43B6" w14:textId="11C6E354">
      <w:pPr>
        <w:tabs>
          <w:tab w:val="left" w:pos="142"/>
          <w:tab w:val="left" w:pos="284"/>
        </w:tabs>
        <w:spacing w:after="120"/>
        <w:jc w:val="both"/>
        <w:rPr>
          <w:rFonts w:eastAsia="Book Antiqua"/>
        </w:rPr>
      </w:pPr>
      <w:r w:rsidRPr="155C2B82">
        <w:rPr>
          <w:rFonts w:eastAsia="Book Antiqua"/>
        </w:rPr>
        <w:t xml:space="preserve">                                                              </w:t>
      </w:r>
      <w:bookmarkStart w:id="65" w:name="_Toc2044409361"/>
      <w:bookmarkStart w:id="66" w:name="_Hlk144559185"/>
    </w:p>
    <w:p w:rsidR="5DFDD096" w:rsidRPr="00987C41" w:rsidP="00987C41" w14:paraId="24021357" w14:textId="01CE3E60">
      <w:pPr>
        <w:pStyle w:val="Heading3"/>
        <w:spacing w:before="0" w:after="120"/>
        <w:rPr>
          <w:rFonts w:eastAsia="Times New Roman" w:cs="Times New Roman"/>
          <w:color w:val="000000" w:themeColor="text1"/>
          <w:szCs w:val="24"/>
        </w:rPr>
      </w:pPr>
      <w:bookmarkStart w:id="67" w:name="_Toc220077566"/>
      <w:bookmarkEnd w:id="65"/>
      <w:r w:rsidRPr="00987C41">
        <w:rPr>
          <w:rFonts w:eastAsia="Times New Roman" w:cs="Times New Roman"/>
          <w:color w:val="000000" w:themeColor="text1"/>
        </w:rPr>
        <w:t>ART</w:t>
      </w:r>
      <w:r w:rsidR="00521E79">
        <w:rPr>
          <w:rFonts w:eastAsia="Times New Roman" w:cs="Times New Roman"/>
          <w:color w:val="000000" w:themeColor="text1"/>
        </w:rPr>
        <w:t>.</w:t>
      </w:r>
      <w:r w:rsidRPr="00987C41">
        <w:rPr>
          <w:rFonts w:eastAsia="Times New Roman" w:cs="Times New Roman"/>
          <w:color w:val="000000" w:themeColor="text1"/>
        </w:rPr>
        <w:t xml:space="preserve"> </w:t>
      </w:r>
      <w:r w:rsidR="001C63D6">
        <w:rPr>
          <w:rFonts w:eastAsia="Times New Roman" w:cs="Times New Roman"/>
          <w:color w:val="000000" w:themeColor="text1"/>
        </w:rPr>
        <w:t>2</w:t>
      </w:r>
      <w:r w:rsidR="00B87A48">
        <w:rPr>
          <w:rFonts w:eastAsia="Times New Roman" w:cs="Times New Roman"/>
          <w:color w:val="000000" w:themeColor="text1"/>
        </w:rPr>
        <w:t>3</w:t>
      </w:r>
      <w:r w:rsidRPr="00987C41" w:rsidR="00465FBC">
        <w:rPr>
          <w:rFonts w:eastAsia="Times New Roman" w:cs="Times New Roman"/>
          <w:color w:val="000000" w:themeColor="text1"/>
        </w:rPr>
        <w:t xml:space="preserve">                                                                                                                                      </w:t>
      </w:r>
      <w:r w:rsidRPr="00987C41" w:rsidR="00465FBC">
        <w:rPr>
          <w:rFonts w:eastAsia="Times New Roman" w:cs="Times New Roman"/>
          <w:color w:val="000000" w:themeColor="text1"/>
        </w:rPr>
        <w:t xml:space="preserve">   </w:t>
      </w:r>
      <w:bookmarkStart w:id="68" w:name="_Toc497501724"/>
      <w:r w:rsidRPr="00987C41" w:rsidR="00AF43EB">
        <w:rPr>
          <w:rFonts w:cs="Times New Roman"/>
        </w:rPr>
        <w:t>(</w:t>
      </w:r>
      <w:r w:rsidRPr="00987C41" w:rsidR="00AF43EB">
        <w:rPr>
          <w:rFonts w:cs="Times New Roman"/>
        </w:rPr>
        <w:t xml:space="preserve">Disposizioni in materia di infrastruttura </w:t>
      </w:r>
      <w:bookmarkStart w:id="69" w:name="_Hlk215405301"/>
      <w:r w:rsidRPr="00987C41" w:rsidR="00AF43EB">
        <w:rPr>
          <w:rFonts w:cs="Times New Roman"/>
        </w:rPr>
        <w:t>ferroviaria</w:t>
      </w:r>
      <w:bookmarkEnd w:id="68"/>
      <w:r w:rsidRPr="00987C41" w:rsidR="00AF43EB">
        <w:rPr>
          <w:rFonts w:cs="Times New Roman"/>
          <w:bCs/>
        </w:rPr>
        <w:t xml:space="preserve"> e concorrenza per l’attuazione della Riforma 1.3 </w:t>
      </w:r>
      <w:bookmarkEnd w:id="69"/>
      <w:r w:rsidRPr="00504203" w:rsidR="00504203">
        <w:rPr>
          <w:rFonts w:cs="Times New Roman"/>
          <w:bCs/>
        </w:rPr>
        <w:t>«Rafforzare l'efficienza dell'infrastruttura ferroviaria in Italia» della Missione 3 – Componente 1 del PNRR</w:t>
      </w:r>
      <w:r w:rsidRPr="00987C41" w:rsidR="00AF43EB">
        <w:rPr>
          <w:rFonts w:cs="Times New Roman"/>
        </w:rPr>
        <w:t>)</w:t>
      </w:r>
      <w:bookmarkEnd w:id="67"/>
    </w:p>
    <w:p w:rsidR="5DFDD096" w:rsidRPr="00987C41" w:rsidP="00987C41" w14:paraId="2C2A5E09" w14:textId="1B0B37F4">
      <w:pPr>
        <w:spacing w:after="120"/>
        <w:jc w:val="both"/>
        <w:rPr>
          <w:rFonts w:eastAsia="Aptos"/>
          <w:highlight w:val="yellow"/>
          <w:u w:val="single"/>
        </w:rPr>
      </w:pPr>
      <w:r w:rsidRPr="00987C41">
        <w:rPr>
          <w:rFonts w:eastAsia="Aptos"/>
        </w:rPr>
        <w:t xml:space="preserve">Le norme proposte, finalizzate all'attuazione della Riforma 1.3 del PNRR, sono volte a modificare l'ordinamento e la </w:t>
      </w:r>
      <w:r w:rsidRPr="00987C41">
        <w:rPr>
          <w:rFonts w:eastAsia="Aptos"/>
          <w:i/>
        </w:rPr>
        <w:t>governance</w:t>
      </w:r>
      <w:r w:rsidRPr="00987C41">
        <w:rPr>
          <w:rFonts w:eastAsia="Aptos"/>
        </w:rPr>
        <w:t xml:space="preserve"> del settore ferroviario e non comportano nuovi o maggiori oneri per la finanza pubblica.</w:t>
      </w:r>
    </w:p>
    <w:p w:rsidR="00EC32C5" w:rsidRPr="006E0785" w:rsidP="00EC32C5" w14:paraId="650BE491" w14:textId="37E28606">
      <w:pPr>
        <w:spacing w:before="120" w:after="120"/>
        <w:jc w:val="both"/>
        <w:rPr>
          <w:rFonts w:eastAsia="Book Antiqua"/>
          <w:bCs/>
        </w:rPr>
      </w:pPr>
      <w:r w:rsidRPr="00987C41">
        <w:rPr>
          <w:rFonts w:eastAsia="Aptos"/>
        </w:rPr>
        <w:t xml:space="preserve">La disposizione di cui </w:t>
      </w:r>
      <w:r w:rsidRPr="00987C41" w:rsidR="698EC582">
        <w:rPr>
          <w:rFonts w:eastAsia="Aptos"/>
        </w:rPr>
        <w:t xml:space="preserve">al </w:t>
      </w:r>
      <w:r w:rsidRPr="00E84AC6" w:rsidR="698EC582">
        <w:rPr>
          <w:rFonts w:eastAsia="Aptos"/>
          <w:b/>
          <w:bCs/>
          <w:u w:val="single"/>
        </w:rPr>
        <w:t>comma 1,</w:t>
      </w:r>
      <w:r w:rsidRPr="00E84AC6">
        <w:rPr>
          <w:rFonts w:eastAsia="Aptos"/>
          <w:b/>
          <w:bCs/>
          <w:u w:val="single"/>
        </w:rPr>
        <w:t xml:space="preserve"> lettera </w:t>
      </w:r>
      <w:r w:rsidRPr="00AA23A4">
        <w:rPr>
          <w:rFonts w:eastAsia="Aptos"/>
          <w:b/>
          <w:bCs/>
          <w:i/>
          <w:iCs/>
          <w:u w:val="single"/>
        </w:rPr>
        <w:t>a</w:t>
      </w:r>
      <w:r w:rsidRPr="00E84AC6">
        <w:rPr>
          <w:rFonts w:eastAsia="Aptos"/>
          <w:b/>
          <w:bCs/>
          <w:u w:val="single"/>
        </w:rPr>
        <w:t>),</w:t>
      </w:r>
      <w:r w:rsidR="00E060C7">
        <w:rPr>
          <w:rFonts w:eastAsia="Aptos"/>
          <w:b/>
          <w:bCs/>
          <w:u w:val="single"/>
        </w:rPr>
        <w:t xml:space="preserve"> n.1</w:t>
      </w:r>
      <w:r w:rsidR="00D51CDE">
        <w:rPr>
          <w:rFonts w:eastAsia="Aptos"/>
          <w:b/>
          <w:bCs/>
          <w:u w:val="single"/>
        </w:rPr>
        <w:t>,</w:t>
      </w:r>
      <w:r w:rsidRPr="00987C41">
        <w:rPr>
          <w:rFonts w:eastAsia="Aptos"/>
        </w:rPr>
        <w:t xml:space="preserve"> che modifica </w:t>
      </w:r>
      <w:r w:rsidRPr="00BF041D">
        <w:rPr>
          <w:rFonts w:eastAsia="Aptos"/>
          <w:b/>
          <w:bCs/>
        </w:rPr>
        <w:t>l'articolo 1, comma 7</w:t>
      </w:r>
      <w:r w:rsidRPr="00E84AC6">
        <w:rPr>
          <w:rFonts w:eastAsia="Aptos"/>
        </w:rPr>
        <w:t>, del</w:t>
      </w:r>
      <w:r w:rsidRPr="00987C41">
        <w:rPr>
          <w:rFonts w:eastAsia="Aptos"/>
        </w:rPr>
        <w:t xml:space="preserve"> </w:t>
      </w:r>
      <w:r w:rsidR="00AA23A4">
        <w:rPr>
          <w:rFonts w:eastAsia="Aptos"/>
        </w:rPr>
        <w:t>d</w:t>
      </w:r>
      <w:r w:rsidRPr="00987C41">
        <w:rPr>
          <w:rFonts w:eastAsia="Aptos"/>
        </w:rPr>
        <w:t>.</w:t>
      </w:r>
      <w:r w:rsidR="00BF5575">
        <w:rPr>
          <w:rFonts w:eastAsia="Aptos"/>
        </w:rPr>
        <w:t>l</w:t>
      </w:r>
      <w:r w:rsidRPr="00987C41">
        <w:rPr>
          <w:rFonts w:eastAsia="Aptos"/>
        </w:rPr>
        <w:t xml:space="preserve">gs. 112/2015, interviene sulla natura e sui contenuti del Documento Strategico Pluriennale della Mobilità (DSPM). La norma ne estende la </w:t>
      </w:r>
      <w:r w:rsidRPr="00987C41" w:rsidR="00AE55C1">
        <w:rPr>
          <w:rFonts w:eastAsia="Aptos"/>
        </w:rPr>
        <w:t xml:space="preserve">durata </w:t>
      </w:r>
      <w:r w:rsidRPr="00987C41">
        <w:rPr>
          <w:rFonts w:eastAsia="Aptos"/>
        </w:rPr>
        <w:t>temporale (da quinquennale ad almeno decennale) e ne arricchisce i contenuti strategici (multimodalità, integrazione logistica)</w:t>
      </w:r>
      <w:r>
        <w:rPr>
          <w:rFonts w:eastAsia="Aptos"/>
        </w:rPr>
        <w:t xml:space="preserve">, </w:t>
      </w:r>
      <w:r w:rsidRPr="006E0785">
        <w:rPr>
          <w:rFonts w:eastAsia="Aptos"/>
          <w:bCs/>
        </w:rPr>
        <w:t xml:space="preserve">prevedendo, altresì, </w:t>
      </w:r>
      <w:r w:rsidRPr="006E0785">
        <w:rPr>
          <w:rFonts w:eastAsia="Book Antiqua"/>
          <w:bCs/>
        </w:rPr>
        <w:t xml:space="preserve">in coerenza con le modifiche apportate al comma 7-bis, che il DSPM sia contestualmente trasmesso </w:t>
      </w:r>
      <w:r w:rsidRPr="006E0785" w:rsidR="0068197D">
        <w:rPr>
          <w:rFonts w:eastAsia="Book Antiqua"/>
          <w:bCs/>
        </w:rPr>
        <w:t xml:space="preserve">anche </w:t>
      </w:r>
      <w:r w:rsidRPr="006E0785" w:rsidR="0068197D">
        <w:rPr>
          <w:bCs/>
        </w:rPr>
        <w:t>all’Autorità</w:t>
      </w:r>
      <w:r w:rsidRPr="006E0785" w:rsidR="00343040">
        <w:rPr>
          <w:bCs/>
        </w:rPr>
        <w:t xml:space="preserve"> di regolazione dei trasporti</w:t>
      </w:r>
      <w:r w:rsidRPr="006E0785" w:rsidR="00451C38">
        <w:rPr>
          <w:bCs/>
        </w:rPr>
        <w:t xml:space="preserve"> (ART)</w:t>
      </w:r>
      <w:r w:rsidRPr="006E0785">
        <w:rPr>
          <w:bCs/>
        </w:rPr>
        <w:t>.</w:t>
      </w:r>
    </w:p>
    <w:p w:rsidR="00032EB9" w:rsidP="00987C41" w14:paraId="6CB74160" w14:textId="3BDB4710">
      <w:pPr>
        <w:spacing w:after="120"/>
        <w:jc w:val="both"/>
        <w:rPr>
          <w:rFonts w:eastAsia="Book Antiqua"/>
          <w:color w:val="000000" w:themeColor="text1"/>
        </w:rPr>
      </w:pPr>
      <w:r w:rsidRPr="2BF38C40">
        <w:rPr>
          <w:rFonts w:eastAsia="Book Antiqua"/>
        </w:rPr>
        <w:t>Con</w:t>
      </w:r>
      <w:r w:rsidRPr="00590844">
        <w:rPr>
          <w:rFonts w:eastAsia="Book Antiqua"/>
        </w:rPr>
        <w:t xml:space="preserve"> la</w:t>
      </w:r>
      <w:r w:rsidRPr="00590844">
        <w:rPr>
          <w:rFonts w:eastAsia="Book Antiqua"/>
          <w:b/>
        </w:rPr>
        <w:t xml:space="preserve"> lettera a) numero 2)</w:t>
      </w:r>
      <w:r w:rsidRPr="00590844">
        <w:rPr>
          <w:rFonts w:eastAsia="Book Antiqua"/>
        </w:rPr>
        <w:t xml:space="preserve"> si modifica l’articolo 1, comma 7-bis, del </w:t>
      </w:r>
      <w:r w:rsidRPr="2BF38C40">
        <w:rPr>
          <w:rFonts w:eastAsia="Book Antiqua"/>
        </w:rPr>
        <w:t>decreto legislativo</w:t>
      </w:r>
      <w:r w:rsidRPr="00590844">
        <w:rPr>
          <w:rFonts w:eastAsia="Book Antiqua"/>
        </w:rPr>
        <w:t xml:space="preserve"> 112/2015, al fine di prevedere espressamente</w:t>
      </w:r>
      <w:r w:rsidRPr="2BF38C40">
        <w:rPr>
          <w:rFonts w:eastAsia="Book Antiqua"/>
        </w:rPr>
        <w:t>,</w:t>
      </w:r>
      <w:r w:rsidRPr="00590844">
        <w:rPr>
          <w:rFonts w:eastAsia="Book Antiqua"/>
        </w:rPr>
        <w:t xml:space="preserve"> nell’ambito del procedimento di approvazione del DSPM</w:t>
      </w:r>
      <w:r w:rsidRPr="2BF38C40">
        <w:rPr>
          <w:rFonts w:eastAsia="Book Antiqua"/>
        </w:rPr>
        <w:t>,</w:t>
      </w:r>
      <w:r w:rsidRPr="00590844">
        <w:rPr>
          <w:rFonts w:eastAsia="Book Antiqua"/>
        </w:rPr>
        <w:t xml:space="preserve"> il coinvolgimento dell’Autorità di regolazione dei trasporti di cui all’articolo 37 del decreto-legge del 6 dicembre 2011, n. 201, convertito con modificazioni dalla legge 22 dicembre 2011, n. 214, che si esprime</w:t>
      </w:r>
      <w:r>
        <w:rPr>
          <w:rFonts w:eastAsia="Book Antiqua"/>
        </w:rPr>
        <w:t xml:space="preserve"> </w:t>
      </w:r>
      <w:r w:rsidRPr="00590844">
        <w:rPr>
          <w:rFonts w:eastAsia="Book Antiqua"/>
        </w:rPr>
        <w:t>in relazione alla coerenza degli investimenti previsti nel DSPM con le esigenze del mercato raccolte mediante i meccanismi di coordinamento tra gli Stati membri di cui all’articolo 7</w:t>
      </w:r>
      <w:r>
        <w:rPr>
          <w:rFonts w:eastAsia="Book Antiqua"/>
        </w:rPr>
        <w:t>-</w:t>
      </w:r>
      <w:r w:rsidRPr="00590844">
        <w:rPr>
          <w:rFonts w:eastAsia="Book Antiqua"/>
        </w:rPr>
        <w:t>sexies della direttiva 2012/34/U</w:t>
      </w:r>
      <w:r w:rsidRPr="00585D32">
        <w:rPr>
          <w:rFonts w:eastAsia="Book Antiqua"/>
          <w:color w:val="000000" w:themeColor="text1"/>
        </w:rPr>
        <w:t>E</w:t>
      </w:r>
      <w:r w:rsidRPr="00585D32" w:rsidR="00585D32">
        <w:rPr>
          <w:rFonts w:eastAsia="Book Antiqua"/>
          <w:color w:val="000000" w:themeColor="text1"/>
        </w:rPr>
        <w:t>.</w:t>
      </w:r>
    </w:p>
    <w:p w:rsidR="00E54DB6" w:rsidP="00E54DB6" w14:paraId="02C6CAB3" w14:textId="71171452">
      <w:pPr>
        <w:spacing w:after="120"/>
        <w:jc w:val="both"/>
        <w:rPr>
          <w:rFonts w:eastAsia="Aptos"/>
          <w:b/>
        </w:rPr>
      </w:pPr>
      <w:r w:rsidRPr="00987C41">
        <w:rPr>
          <w:rFonts w:eastAsia="Aptos"/>
          <w:b/>
        </w:rPr>
        <w:t>Trattandosi di modific</w:t>
      </w:r>
      <w:r>
        <w:rPr>
          <w:rFonts w:eastAsia="Aptos"/>
          <w:b/>
        </w:rPr>
        <w:t>he</w:t>
      </w:r>
      <w:r w:rsidRPr="00987C41">
        <w:rPr>
          <w:rFonts w:eastAsia="Aptos"/>
          <w:b/>
        </w:rPr>
        <w:t xml:space="preserve"> alla strumentazione programmatoria e strategica, ess</w:t>
      </w:r>
      <w:r>
        <w:rPr>
          <w:rFonts w:eastAsia="Aptos"/>
          <w:b/>
        </w:rPr>
        <w:t>e</w:t>
      </w:r>
      <w:r w:rsidRPr="00987C41">
        <w:rPr>
          <w:rFonts w:eastAsia="Aptos"/>
          <w:b/>
        </w:rPr>
        <w:t xml:space="preserve"> att</w:t>
      </w:r>
      <w:r>
        <w:rPr>
          <w:rFonts w:eastAsia="Aptos"/>
          <w:b/>
        </w:rPr>
        <w:t>engono</w:t>
      </w:r>
      <w:r w:rsidRPr="00987C41">
        <w:rPr>
          <w:rFonts w:eastAsia="Aptos"/>
          <w:b/>
        </w:rPr>
        <w:t xml:space="preserve"> alla definizione degli indirizzi, senza generare, </w:t>
      </w:r>
      <w:r w:rsidRPr="00987C41">
        <w:rPr>
          <w:rFonts w:eastAsia="Aptos"/>
          <w:b/>
          <w:i/>
        </w:rPr>
        <w:t>ex se</w:t>
      </w:r>
      <w:r w:rsidRPr="00987C41">
        <w:rPr>
          <w:rFonts w:eastAsia="Aptos"/>
          <w:b/>
        </w:rPr>
        <w:t>, alcun impatto finanziario diretto. I profili di spesa restano disciplinati dagli stanziamenti autorizzati a legislazione vigente per l'attuazione dei Contratti di Programma. L</w:t>
      </w:r>
      <w:r>
        <w:rPr>
          <w:rFonts w:eastAsia="Aptos"/>
          <w:b/>
        </w:rPr>
        <w:t>e</w:t>
      </w:r>
      <w:r w:rsidRPr="00987C41">
        <w:rPr>
          <w:rFonts w:eastAsia="Aptos"/>
          <w:b/>
        </w:rPr>
        <w:t xml:space="preserve"> disposizion</w:t>
      </w:r>
      <w:r>
        <w:rPr>
          <w:rFonts w:eastAsia="Aptos"/>
          <w:b/>
        </w:rPr>
        <w:t>i</w:t>
      </w:r>
      <w:r w:rsidRPr="00987C41">
        <w:rPr>
          <w:rFonts w:eastAsia="Aptos"/>
          <w:b/>
        </w:rPr>
        <w:t>, pertanto, non comporta</w:t>
      </w:r>
      <w:r>
        <w:rPr>
          <w:rFonts w:eastAsia="Aptos"/>
          <w:b/>
        </w:rPr>
        <w:t>no</w:t>
      </w:r>
      <w:r w:rsidRPr="00987C41">
        <w:rPr>
          <w:rFonts w:eastAsia="Aptos"/>
          <w:b/>
        </w:rPr>
        <w:t xml:space="preserve"> nuovi o maggiori oneri</w:t>
      </w:r>
      <w:r>
        <w:rPr>
          <w:rFonts w:eastAsia="Aptos"/>
          <w:b/>
        </w:rPr>
        <w:t xml:space="preserve"> a carico della finanza pubblica</w:t>
      </w:r>
      <w:r w:rsidRPr="00987C41">
        <w:rPr>
          <w:rFonts w:eastAsia="Aptos"/>
          <w:b/>
        </w:rPr>
        <w:t>.</w:t>
      </w:r>
    </w:p>
    <w:p w:rsidR="5DFDD096" w:rsidRPr="00987C41" w:rsidP="00987C41" w14:paraId="5C067C1E" w14:textId="7A10ED72">
      <w:pPr>
        <w:spacing w:after="120"/>
        <w:jc w:val="both"/>
        <w:rPr>
          <w:rFonts w:eastAsia="Aptos"/>
        </w:rPr>
      </w:pPr>
      <w:r w:rsidRPr="00987C41">
        <w:rPr>
          <w:rFonts w:eastAsia="Aptos"/>
        </w:rPr>
        <w:t xml:space="preserve">La disposizione di cui </w:t>
      </w:r>
      <w:r w:rsidRPr="00987C41" w:rsidR="0639544B">
        <w:rPr>
          <w:rFonts w:eastAsia="Aptos"/>
        </w:rPr>
        <w:t xml:space="preserve">al </w:t>
      </w:r>
      <w:r w:rsidRPr="00BF041D" w:rsidR="0639544B">
        <w:rPr>
          <w:rFonts w:eastAsia="Aptos"/>
          <w:b/>
          <w:bCs/>
          <w:u w:val="single"/>
        </w:rPr>
        <w:t>comma 1</w:t>
      </w:r>
      <w:r w:rsidRPr="00BF041D" w:rsidR="0639544B">
        <w:rPr>
          <w:rFonts w:eastAsia="Aptos"/>
          <w:u w:val="single"/>
        </w:rPr>
        <w:t>,</w:t>
      </w:r>
      <w:r w:rsidRPr="00BF041D">
        <w:rPr>
          <w:rFonts w:eastAsia="Aptos"/>
          <w:u w:val="single"/>
        </w:rPr>
        <w:t xml:space="preserve"> </w:t>
      </w:r>
      <w:r w:rsidRPr="00BF041D">
        <w:rPr>
          <w:rFonts w:eastAsia="Aptos"/>
          <w:b/>
          <w:u w:val="single"/>
        </w:rPr>
        <w:t>lettera b)</w:t>
      </w:r>
      <w:r w:rsidRPr="00BF041D">
        <w:rPr>
          <w:rFonts w:eastAsia="Aptos"/>
          <w:u w:val="single"/>
        </w:rPr>
        <w:t>,</w:t>
      </w:r>
      <w:r w:rsidRPr="00987C41">
        <w:rPr>
          <w:rFonts w:eastAsia="Aptos"/>
        </w:rPr>
        <w:t xml:space="preserve"> che novella l'</w:t>
      </w:r>
      <w:r w:rsidRPr="00987C41">
        <w:rPr>
          <w:rFonts w:eastAsia="Aptos"/>
          <w:b/>
        </w:rPr>
        <w:t>articolo 15</w:t>
      </w:r>
      <w:r w:rsidRPr="00987C41">
        <w:rPr>
          <w:rFonts w:eastAsia="Aptos"/>
        </w:rPr>
        <w:t xml:space="preserve"> del </w:t>
      </w:r>
      <w:r w:rsidRPr="00987C41">
        <w:rPr>
          <w:rFonts w:eastAsia="Aptos"/>
        </w:rPr>
        <w:t>D.Lgs.</w:t>
      </w:r>
      <w:r w:rsidRPr="00987C41">
        <w:rPr>
          <w:rFonts w:eastAsia="Aptos"/>
        </w:rPr>
        <w:t xml:space="preserve"> 112/2015, introduce una serie di modifiche alla </w:t>
      </w:r>
      <w:r w:rsidRPr="00987C41">
        <w:rPr>
          <w:rFonts w:eastAsia="Aptos"/>
          <w:i/>
        </w:rPr>
        <w:t>governance</w:t>
      </w:r>
      <w:r w:rsidRPr="00987C41">
        <w:rPr>
          <w:rFonts w:eastAsia="Aptos"/>
        </w:rPr>
        <w:t xml:space="preserve"> del Contratto di Programma (</w:t>
      </w:r>
      <w:r w:rsidRPr="00987C41">
        <w:rPr>
          <w:rFonts w:eastAsia="Aptos"/>
        </w:rPr>
        <w:t>CdP</w:t>
      </w:r>
      <w:r w:rsidRPr="00987C41">
        <w:rPr>
          <w:rFonts w:eastAsia="Aptos"/>
        </w:rPr>
        <w:t>). Nello specifico:</w:t>
      </w:r>
    </w:p>
    <w:p w:rsidR="5DFDD096" w:rsidRPr="00987C41" w:rsidP="00A42770" w14:paraId="2B3E4DC3" w14:textId="297B7EA6">
      <w:pPr>
        <w:pStyle w:val="ListParagraph"/>
        <w:numPr>
          <w:ilvl w:val="0"/>
          <w:numId w:val="8"/>
        </w:numPr>
        <w:spacing w:after="120"/>
        <w:ind w:left="360"/>
        <w:contextualSpacing w:val="0"/>
        <w:jc w:val="both"/>
        <w:rPr>
          <w:rFonts w:eastAsia="Aptos"/>
        </w:rPr>
      </w:pPr>
      <w:r w:rsidRPr="00987C41">
        <w:rPr>
          <w:rFonts w:eastAsia="Aptos"/>
        </w:rPr>
        <w:t xml:space="preserve">l'introduzione di un vincolo di coerenza gerarchica tra DSPM, </w:t>
      </w:r>
      <w:r w:rsidRPr="00987C41">
        <w:rPr>
          <w:rFonts w:eastAsia="Aptos"/>
        </w:rPr>
        <w:t>CdP</w:t>
      </w:r>
      <w:r w:rsidRPr="00987C41">
        <w:rPr>
          <w:rFonts w:eastAsia="Aptos"/>
        </w:rPr>
        <w:t xml:space="preserve"> e Piano Commerciale;</w:t>
      </w:r>
    </w:p>
    <w:p w:rsidR="5DFDD096" w:rsidRPr="00987C41" w:rsidP="00A42770" w14:paraId="2EDADFB8" w14:textId="525C2271">
      <w:pPr>
        <w:pStyle w:val="ListParagraph"/>
        <w:numPr>
          <w:ilvl w:val="0"/>
          <w:numId w:val="8"/>
        </w:numPr>
        <w:spacing w:after="120"/>
        <w:ind w:left="360"/>
        <w:contextualSpacing w:val="0"/>
        <w:jc w:val="both"/>
        <w:rPr>
          <w:rFonts w:eastAsia="Aptos"/>
        </w:rPr>
      </w:pPr>
      <w:r w:rsidRPr="00987C41">
        <w:rPr>
          <w:rFonts w:eastAsia="Aptos"/>
        </w:rPr>
        <w:t xml:space="preserve">l'inserimento di </w:t>
      </w:r>
      <w:r w:rsidRPr="00987C41">
        <w:rPr>
          <w:rFonts w:eastAsia="Aptos"/>
          <w:i/>
        </w:rPr>
        <w:t>milestones</w:t>
      </w:r>
      <w:r w:rsidRPr="00987C41">
        <w:rPr>
          <w:rFonts w:eastAsia="Aptos"/>
        </w:rPr>
        <w:t xml:space="preserve">, </w:t>
      </w:r>
      <w:r w:rsidRPr="00987C41">
        <w:rPr>
          <w:rFonts w:eastAsia="Aptos"/>
          <w:i/>
        </w:rPr>
        <w:t>target</w:t>
      </w:r>
      <w:r w:rsidRPr="00987C41">
        <w:rPr>
          <w:rFonts w:eastAsia="Aptos"/>
        </w:rPr>
        <w:t xml:space="preserve"> e indicatori di performance;</w:t>
      </w:r>
    </w:p>
    <w:p w:rsidR="5DFDD096" w:rsidRPr="00987C41" w:rsidP="00A42770" w14:paraId="70884F15" w14:textId="01EE66AC">
      <w:pPr>
        <w:pStyle w:val="ListParagraph"/>
        <w:numPr>
          <w:ilvl w:val="0"/>
          <w:numId w:val="8"/>
        </w:numPr>
        <w:spacing w:after="120"/>
        <w:ind w:left="360"/>
        <w:contextualSpacing w:val="0"/>
        <w:jc w:val="both"/>
        <w:rPr>
          <w:rFonts w:eastAsia="Aptos"/>
        </w:rPr>
      </w:pPr>
      <w:r w:rsidRPr="00987C41">
        <w:rPr>
          <w:rFonts w:eastAsia="Aptos"/>
        </w:rPr>
        <w:t xml:space="preserve">l'introduzione di un obbligo di </w:t>
      </w:r>
      <w:r w:rsidRPr="00987C41">
        <w:rPr>
          <w:rFonts w:eastAsia="Aptos"/>
          <w:i/>
        </w:rPr>
        <w:t>corporate governance</w:t>
      </w:r>
      <w:r w:rsidRPr="00987C41">
        <w:rPr>
          <w:rFonts w:eastAsia="Aptos"/>
        </w:rPr>
        <w:t xml:space="preserve"> (bonus management);</w:t>
      </w:r>
    </w:p>
    <w:p w:rsidR="5DFDD096" w:rsidRPr="00987C41" w:rsidP="00A42770" w14:paraId="663CFA76" w14:textId="636CE180">
      <w:pPr>
        <w:pStyle w:val="ListParagraph"/>
        <w:numPr>
          <w:ilvl w:val="0"/>
          <w:numId w:val="8"/>
        </w:numPr>
        <w:spacing w:after="120"/>
        <w:ind w:left="360"/>
        <w:contextualSpacing w:val="0"/>
        <w:jc w:val="both"/>
        <w:rPr>
          <w:rFonts w:eastAsia="Aptos"/>
        </w:rPr>
      </w:pPr>
      <w:r w:rsidRPr="00987C41">
        <w:rPr>
          <w:rFonts w:eastAsia="Aptos"/>
        </w:rPr>
        <w:t xml:space="preserve">l'introduzione dei poteri di ART (definizione e monitoraggio </w:t>
      </w:r>
      <w:r w:rsidRPr="00987C41">
        <w:rPr>
          <w:rFonts w:eastAsia="Aptos"/>
        </w:rPr>
        <w:t>KPIs</w:t>
      </w:r>
      <w:r w:rsidRPr="00987C41">
        <w:rPr>
          <w:rFonts w:eastAsia="Aptos"/>
        </w:rPr>
        <w:t xml:space="preserve">) e dell'obbligo di Analisi Costi-Benefici (CBA). </w:t>
      </w:r>
    </w:p>
    <w:p w:rsidR="5DFDD096" w:rsidP="00987C41" w14:paraId="296648F6" w14:textId="6F2D8F45">
      <w:pPr>
        <w:spacing w:after="120"/>
        <w:jc w:val="both"/>
        <w:rPr>
          <w:rFonts w:eastAsia="Aptos"/>
          <w:b/>
        </w:rPr>
      </w:pPr>
      <w:r w:rsidRPr="00987C41">
        <w:rPr>
          <w:rFonts w:eastAsia="Aptos"/>
          <w:b/>
        </w:rPr>
        <w:t xml:space="preserve">Tali modifiche attengono alla revisione delle procedure, all'introduzione di criteri di </w:t>
      </w:r>
      <w:r w:rsidRPr="00987C41">
        <w:rPr>
          <w:rFonts w:eastAsia="Aptos"/>
          <w:b/>
          <w:i/>
        </w:rPr>
        <w:t>performance management</w:t>
      </w:r>
      <w:r w:rsidRPr="00987C41">
        <w:rPr>
          <w:rFonts w:eastAsia="Aptos"/>
          <w:b/>
        </w:rPr>
        <w:t xml:space="preserve"> e al rafforzamento dei poteri di regolazione e monitoraggio. Le attività descritte sono svolte dalle amministrazioni competenti (MIT e ART) con le risorse umane, finanziarie e strumentali disponibili a legislazione vigente. Le disposizioni, pertanto, non comportano nuovi o maggiori oneri a carico della finanza pubblica.</w:t>
      </w:r>
    </w:p>
    <w:p w:rsidR="00A44DBC" w:rsidRPr="00590844" w:rsidP="00A44DBC" w14:paraId="77EDB1CD" w14:textId="5D5654D2">
      <w:pPr>
        <w:spacing w:before="120" w:after="120"/>
        <w:jc w:val="both"/>
        <w:rPr>
          <w:rFonts w:eastAsia="Book Antiqua"/>
        </w:rPr>
      </w:pPr>
      <w:r w:rsidRPr="00590844">
        <w:rPr>
          <w:rFonts w:eastAsia="Book Antiqua"/>
        </w:rPr>
        <w:t xml:space="preserve">In </w:t>
      </w:r>
      <w:r w:rsidRPr="2BF38C40">
        <w:rPr>
          <w:rFonts w:eastAsia="Book Antiqua"/>
        </w:rPr>
        <w:t xml:space="preserve">particolare, alla </w:t>
      </w:r>
      <w:r w:rsidRPr="2BF38C40">
        <w:rPr>
          <w:rFonts w:eastAsia="Book Antiqua"/>
          <w:b/>
          <w:bCs/>
        </w:rPr>
        <w:t>lettera b) numero 1</w:t>
      </w:r>
      <w:r w:rsidRPr="2BF38C40">
        <w:rPr>
          <w:rFonts w:eastAsia="Book Antiqua"/>
        </w:rPr>
        <w:t>,</w:t>
      </w:r>
      <w:r w:rsidRPr="00590844">
        <w:rPr>
          <w:rFonts w:eastAsia="Book Antiqua"/>
        </w:rPr>
        <w:t xml:space="preserve"> </w:t>
      </w:r>
      <w:r w:rsidRPr="00590844">
        <w:rPr>
          <w:rFonts w:eastAsia="Book Antiqua"/>
          <w:b/>
        </w:rPr>
        <w:t>punto 1.1)</w:t>
      </w:r>
      <w:r w:rsidRPr="00590844">
        <w:rPr>
          <w:rFonts w:eastAsia="Book Antiqua"/>
        </w:rPr>
        <w:t xml:space="preserve">, si prevede l’attuazione della milestone che impone di assicurare che il Contratto di Programma sia redatto in linea con gli obiettivi del Documento Strategico Pluriennale della Mobilità </w:t>
      </w:r>
      <w:r w:rsidRPr="2BF38C40">
        <w:rPr>
          <w:rFonts w:eastAsia="Book Antiqua"/>
        </w:rPr>
        <w:t>ed in conformità alla direttiva</w:t>
      </w:r>
      <w:r w:rsidRPr="00590844">
        <w:rPr>
          <w:rFonts w:eastAsia="Book Antiqua"/>
        </w:rPr>
        <w:t xml:space="preserve"> 2012/34/UE</w:t>
      </w:r>
      <w:r w:rsidRPr="2BF38C40">
        <w:rPr>
          <w:rFonts w:eastAsia="Book Antiqua"/>
        </w:rPr>
        <w:t xml:space="preserve"> del Parlamento europeo e del Consiglio che istituisce uno spazio ferroviario europeo unico.</w:t>
      </w:r>
      <w:r w:rsidRPr="00590844">
        <w:rPr>
          <w:rFonts w:eastAsia="Book Antiqua"/>
        </w:rPr>
        <w:t xml:space="preserve"> Si sostituisce la precedente dicitura, più debole, con un vincolo di coerenza gerarchica cogente.</w:t>
      </w:r>
    </w:p>
    <w:p w:rsidR="00A44DBC" w:rsidRPr="00590844" w:rsidP="00A44DBC" w14:paraId="74CAF6C3" w14:textId="77777777">
      <w:pPr>
        <w:spacing w:before="120" w:after="120"/>
        <w:jc w:val="both"/>
        <w:rPr>
          <w:rFonts w:eastAsia="Book Antiqua"/>
        </w:rPr>
      </w:pPr>
      <w:r w:rsidRPr="00590844">
        <w:rPr>
          <w:rFonts w:eastAsia="Book Antiqua"/>
        </w:rPr>
        <w:t xml:space="preserve">La modifica di cui </w:t>
      </w:r>
      <w:r w:rsidRPr="2BF38C40">
        <w:rPr>
          <w:rFonts w:eastAsia="Book Antiqua"/>
        </w:rPr>
        <w:t>alla</w:t>
      </w:r>
      <w:r w:rsidRPr="2BF38C40">
        <w:rPr>
          <w:rFonts w:eastAsia="Book Antiqua"/>
          <w:b/>
          <w:bCs/>
        </w:rPr>
        <w:t xml:space="preserve"> lettera b) numero 1</w:t>
      </w:r>
      <w:r w:rsidRPr="2BF38C40">
        <w:rPr>
          <w:rFonts w:eastAsia="Book Antiqua"/>
        </w:rPr>
        <w:t>,</w:t>
      </w:r>
      <w:r w:rsidRPr="00590844">
        <w:rPr>
          <w:rFonts w:eastAsia="Book Antiqua"/>
        </w:rPr>
        <w:t xml:space="preserve"> </w:t>
      </w:r>
      <w:r w:rsidRPr="00590844">
        <w:rPr>
          <w:rFonts w:eastAsia="Book Antiqua"/>
          <w:b/>
        </w:rPr>
        <w:t>punto 1.2)</w:t>
      </w:r>
      <w:r w:rsidRPr="00590844">
        <w:rPr>
          <w:rFonts w:eastAsia="Book Antiqua"/>
        </w:rPr>
        <w:t xml:space="preserve"> attua la milestone che richiede di introdurre nel </w:t>
      </w:r>
      <w:r w:rsidRPr="00590844">
        <w:rPr>
          <w:rFonts w:eastAsia="Book Antiqua"/>
        </w:rPr>
        <w:t>CdP</w:t>
      </w:r>
      <w:r w:rsidRPr="00590844">
        <w:rPr>
          <w:rFonts w:eastAsia="Book Antiqua"/>
        </w:rPr>
        <w:t xml:space="preserve"> un sistema di milestones e targets (obiettivi intermedi e finali, traguardi), scadenze e indicatori di performance (</w:t>
      </w:r>
      <w:r w:rsidRPr="00590844">
        <w:rPr>
          <w:rFonts w:eastAsia="Book Antiqua"/>
        </w:rPr>
        <w:t>KPIs</w:t>
      </w:r>
      <w:r w:rsidRPr="00590844">
        <w:rPr>
          <w:rFonts w:eastAsia="Book Antiqua"/>
        </w:rPr>
        <w:t xml:space="preserve">) conformi all’Allegato V della </w:t>
      </w:r>
      <w:r w:rsidRPr="2BF38C40">
        <w:rPr>
          <w:rFonts w:eastAsia="Book Antiqua"/>
        </w:rPr>
        <w:t>citata</w:t>
      </w:r>
      <w:r w:rsidRPr="00590844">
        <w:rPr>
          <w:rFonts w:eastAsia="Book Antiqua"/>
        </w:rPr>
        <w:t xml:space="preserve"> Direttiva 2012/34/UE. L’inserimento di questi elementi è fondamentale per la misurabilità dei risultati.</w:t>
      </w:r>
    </w:p>
    <w:p w:rsidR="00A44DBC" w:rsidRPr="00590844" w:rsidP="00A44DBC" w14:paraId="29698942" w14:textId="77777777">
      <w:pPr>
        <w:spacing w:before="120" w:after="120"/>
        <w:jc w:val="both"/>
        <w:rPr>
          <w:rFonts w:eastAsia="Book Antiqua"/>
        </w:rPr>
      </w:pPr>
      <w:r w:rsidRPr="00590844">
        <w:rPr>
          <w:rFonts w:eastAsia="Book Antiqua"/>
        </w:rPr>
        <w:t xml:space="preserve">Mediante la modifica di cui </w:t>
      </w:r>
      <w:r w:rsidRPr="2BF38C40">
        <w:rPr>
          <w:rFonts w:eastAsia="Book Antiqua"/>
        </w:rPr>
        <w:t xml:space="preserve">alla </w:t>
      </w:r>
      <w:r w:rsidRPr="00A32DDB">
        <w:rPr>
          <w:rFonts w:eastAsia="Book Antiqua"/>
          <w:b/>
          <w:bCs/>
          <w:u w:val="single"/>
        </w:rPr>
        <w:t>lettera b) numero</w:t>
      </w:r>
      <w:r w:rsidRPr="00A32DDB">
        <w:rPr>
          <w:rFonts w:eastAsia="Book Antiqua"/>
          <w:b/>
          <w:u w:val="single"/>
        </w:rPr>
        <w:t xml:space="preserve"> 2</w:t>
      </w:r>
      <w:r w:rsidRPr="00590844">
        <w:rPr>
          <w:rFonts w:eastAsia="Book Antiqua"/>
          <w:b/>
          <w:bCs/>
        </w:rPr>
        <w:t>)</w:t>
      </w:r>
      <w:r w:rsidRPr="00590844">
        <w:rPr>
          <w:rFonts w:eastAsia="Book Antiqua"/>
        </w:rPr>
        <w:t>, si inserisce un nuovo comma 4-bis. Tale</w:t>
      </w:r>
      <w:r w:rsidRPr="00590844">
        <w:rPr>
          <w:rFonts w:eastAsia="Book Antiqua"/>
          <w:b/>
        </w:rPr>
        <w:t xml:space="preserve"> </w:t>
      </w:r>
      <w:r w:rsidRPr="00590844">
        <w:rPr>
          <w:rFonts w:eastAsia="Book Antiqua"/>
        </w:rPr>
        <w:t xml:space="preserve">disposizione è la diretta conseguenza dell’introduzione di </w:t>
      </w:r>
      <w:r w:rsidRPr="00590844">
        <w:rPr>
          <w:rFonts w:eastAsia="Book Antiqua"/>
          <w:i/>
        </w:rPr>
        <w:t>milestones</w:t>
      </w:r>
      <w:r w:rsidRPr="00590844">
        <w:rPr>
          <w:rFonts w:eastAsia="Book Antiqua"/>
        </w:rPr>
        <w:t xml:space="preserve"> e </w:t>
      </w:r>
      <w:r w:rsidRPr="00590844">
        <w:rPr>
          <w:rFonts w:eastAsia="Book Antiqua"/>
          <w:i/>
        </w:rPr>
        <w:t>target</w:t>
      </w:r>
      <w:r w:rsidRPr="00590844">
        <w:rPr>
          <w:rFonts w:eastAsia="Book Antiqua"/>
        </w:rPr>
        <w:t xml:space="preserve"> ed attua la milestone PNRR che impone di legare il sistema di bonus per il management di RFI ai risultati del </w:t>
      </w:r>
      <w:r w:rsidRPr="00590844">
        <w:rPr>
          <w:rFonts w:eastAsia="Book Antiqua"/>
        </w:rPr>
        <w:t>CdP</w:t>
      </w:r>
      <w:r w:rsidRPr="00590844">
        <w:rPr>
          <w:rFonts w:eastAsia="Book Antiqua"/>
        </w:rPr>
        <w:t xml:space="preserve">. Il nuovo comma 4-bis stabilisce un obbligo di </w:t>
      </w:r>
      <w:r w:rsidRPr="00590844">
        <w:rPr>
          <w:rFonts w:eastAsia="Book Antiqua"/>
          <w:i/>
        </w:rPr>
        <w:t>corporate governance</w:t>
      </w:r>
      <w:r w:rsidRPr="00590844">
        <w:rPr>
          <w:rFonts w:eastAsia="Book Antiqua"/>
        </w:rPr>
        <w:t xml:space="preserve"> per il gestore dell’infrastruttura, imponendo che la remunerazione variabile del management sia correlata al raggiungimento </w:t>
      </w:r>
      <w:r w:rsidRPr="00815CC6">
        <w:rPr>
          <w:rFonts w:eastAsia="Book Antiqua"/>
          <w:b/>
          <w:bCs/>
        </w:rPr>
        <w:t xml:space="preserve">degli obiettivi intermedi e finali e </w:t>
      </w:r>
      <w:r>
        <w:rPr>
          <w:rFonts w:eastAsia="Book Antiqua"/>
          <w:b/>
          <w:bCs/>
        </w:rPr>
        <w:t>dei</w:t>
      </w:r>
      <w:r w:rsidRPr="00815CC6">
        <w:rPr>
          <w:rFonts w:eastAsia="Book Antiqua"/>
          <w:b/>
          <w:bCs/>
        </w:rPr>
        <w:t xml:space="preserve"> traguardi intermedi e f</w:t>
      </w:r>
      <w:r>
        <w:rPr>
          <w:rFonts w:eastAsia="Book Antiqua"/>
          <w:b/>
          <w:bCs/>
        </w:rPr>
        <w:t>i</w:t>
      </w:r>
      <w:r w:rsidRPr="00815CC6">
        <w:rPr>
          <w:rFonts w:eastAsia="Book Antiqua"/>
          <w:b/>
          <w:bCs/>
        </w:rPr>
        <w:t>nali</w:t>
      </w:r>
      <w:r>
        <w:rPr>
          <w:rFonts w:eastAsia="Book Antiqua"/>
        </w:rPr>
        <w:t xml:space="preserve">, </w:t>
      </w:r>
      <w:r w:rsidRPr="00D73A19">
        <w:rPr>
          <w:rFonts w:eastAsia="Book Antiqua"/>
          <w:b/>
          <w:bCs/>
        </w:rPr>
        <w:t>nonché dei risultati ottenuti rispetto agli indicatori di performance definiti nel contratto di programma ai sensi del comma 1</w:t>
      </w:r>
      <w:r>
        <w:rPr>
          <w:rFonts w:eastAsia="Book Antiqua"/>
        </w:rPr>
        <w:t xml:space="preserve">. </w:t>
      </w:r>
      <w:r w:rsidRPr="00A32DDB">
        <w:rPr>
          <w:rFonts w:eastAsia="Book Antiqua"/>
        </w:rPr>
        <w:t xml:space="preserve">Si prevede inoltre che, al fine di garantire la trasparenza, il gestore dia evidenza dei criteri e delle modalità di applicazione dei </w:t>
      </w:r>
      <w:r w:rsidRPr="00A32DDB">
        <w:rPr>
          <w:rFonts w:eastAsia="Book Antiqua"/>
        </w:rPr>
        <w:t>predetti</w:t>
      </w:r>
      <w:r w:rsidRPr="00A32DDB">
        <w:rPr>
          <w:rFonts w:eastAsia="Book Antiqua"/>
        </w:rPr>
        <w:t xml:space="preserve"> sistemi di incentivazione nell’ambito del proprio bilancio di esercizio.</w:t>
      </w:r>
    </w:p>
    <w:p w:rsidR="00A44DBC" w:rsidRPr="00590844" w:rsidP="00A44DBC" w14:paraId="50C36A8A" w14:textId="77777777">
      <w:pPr>
        <w:spacing w:before="120" w:after="120"/>
        <w:jc w:val="both"/>
        <w:rPr>
          <w:rFonts w:eastAsia="Book Antiqua"/>
        </w:rPr>
      </w:pPr>
      <w:r w:rsidRPr="00590844">
        <w:rPr>
          <w:rFonts w:eastAsia="Book Antiqua"/>
        </w:rPr>
        <w:t xml:space="preserve">La modifica di cui </w:t>
      </w:r>
      <w:r w:rsidRPr="2BF38C40">
        <w:rPr>
          <w:rFonts w:eastAsia="Book Antiqua"/>
        </w:rPr>
        <w:t xml:space="preserve">alla </w:t>
      </w:r>
      <w:r w:rsidRPr="2BF38C40">
        <w:rPr>
          <w:rFonts w:eastAsia="Book Antiqua"/>
          <w:b/>
          <w:bCs/>
        </w:rPr>
        <w:t>lettera b) numero</w:t>
      </w:r>
      <w:r w:rsidRPr="00590844">
        <w:rPr>
          <w:rFonts w:eastAsia="Book Antiqua"/>
          <w:b/>
        </w:rPr>
        <w:t xml:space="preserve"> 3)</w:t>
      </w:r>
      <w:r w:rsidRPr="00590844">
        <w:rPr>
          <w:rFonts w:eastAsia="Book Antiqua"/>
        </w:rPr>
        <w:t xml:space="preserve"> rafforza la gerarchia della pianificazione, in parallelo a quanto fatto al comma 1. Attua la milestone che richiede di assicurare che il “business plan” (identificato nel “piano commerciale” del gestore) sia “redatto in linea con” il DSPM. In particolare: </w:t>
      </w:r>
    </w:p>
    <w:p w:rsidR="00A44DBC" w:rsidRPr="00590844" w:rsidP="00A44DBC" w14:paraId="73DB077F" w14:textId="77777777">
      <w:pPr>
        <w:pStyle w:val="ListParagraph"/>
        <w:numPr>
          <w:ilvl w:val="0"/>
          <w:numId w:val="29"/>
        </w:numPr>
        <w:spacing w:before="120" w:after="120"/>
        <w:ind w:left="360"/>
        <w:jc w:val="both"/>
        <w:rPr>
          <w:rFonts w:eastAsia="Book Antiqua"/>
        </w:rPr>
      </w:pPr>
      <w:r w:rsidRPr="1B9F9FB7">
        <w:rPr>
          <w:rFonts w:eastAsia="Book Antiqua"/>
        </w:rPr>
        <w:t xml:space="preserve">Il </w:t>
      </w:r>
      <w:r w:rsidRPr="1B9F9FB7">
        <w:rPr>
          <w:rFonts w:eastAsia="Book Antiqua"/>
          <w:b/>
          <w:bCs/>
        </w:rPr>
        <w:t>punto 3.1)</w:t>
      </w:r>
      <w:r w:rsidRPr="1B9F9FB7">
        <w:rPr>
          <w:rFonts w:eastAsia="Book Antiqua"/>
        </w:rPr>
        <w:t xml:space="preserve"> </w:t>
      </w:r>
      <w:r w:rsidRPr="1B9F9FB7">
        <w:rPr>
          <w:rFonts w:eastAsia="Book Antiqua"/>
          <w:b/>
          <w:bCs/>
        </w:rPr>
        <w:t>sopprime</w:t>
      </w:r>
      <w:r w:rsidRPr="1B9F9FB7">
        <w:rPr>
          <w:rFonts w:eastAsia="Book Antiqua"/>
        </w:rPr>
        <w:t xml:space="preserve"> al comma 5, primo periodo, dell’articolo 15 del decreto legislativo 112/2015 il debole vincolo del gestore dell’infrastruttura ferroviaria di “tener conto” del DSPM ai fini dell’elaborazione e aggiornamento di un piano commerciale, comprendente i programmi di finanziamento e di investimento, da trasmettere al Ministero delle infrastrutture e dei trasporti e all’organismo di relazione. </w:t>
      </w:r>
    </w:p>
    <w:p w:rsidR="00A44DBC" w:rsidRPr="00590844" w:rsidP="00A44DBC" w14:paraId="34BB8B66" w14:textId="77777777">
      <w:pPr>
        <w:pStyle w:val="ListParagraph"/>
        <w:numPr>
          <w:ilvl w:val="0"/>
          <w:numId w:val="29"/>
        </w:numPr>
        <w:spacing w:before="120" w:after="120"/>
        <w:ind w:left="360"/>
        <w:jc w:val="both"/>
        <w:rPr>
          <w:rFonts w:eastAsia="Book Antiqua"/>
        </w:rPr>
      </w:pPr>
      <w:r w:rsidRPr="00590844">
        <w:rPr>
          <w:rFonts w:eastAsia="Book Antiqua"/>
        </w:rPr>
        <w:t xml:space="preserve">Il </w:t>
      </w:r>
      <w:r w:rsidRPr="00590844">
        <w:rPr>
          <w:rFonts w:eastAsia="Book Antiqua"/>
          <w:b/>
        </w:rPr>
        <w:t>punto 3.2)</w:t>
      </w:r>
      <w:r w:rsidRPr="00590844">
        <w:rPr>
          <w:rFonts w:eastAsia="Book Antiqua"/>
        </w:rPr>
        <w:t xml:space="preserve"> </w:t>
      </w:r>
      <w:r w:rsidRPr="00590844">
        <w:rPr>
          <w:rFonts w:eastAsia="Book Antiqua"/>
          <w:b/>
        </w:rPr>
        <w:t>inserisce</w:t>
      </w:r>
      <w:r w:rsidRPr="00590844">
        <w:rPr>
          <w:rFonts w:eastAsia="Book Antiqua"/>
        </w:rPr>
        <w:t xml:space="preserve"> </w:t>
      </w:r>
      <w:r w:rsidRPr="1B9F9FB7">
        <w:rPr>
          <w:rFonts w:eastAsia="Book Antiqua"/>
        </w:rPr>
        <w:t xml:space="preserve">al comma 5, secondo periodo, dell’articolo 15 del decreto legislativo 112/2015 </w:t>
      </w:r>
      <w:r w:rsidRPr="00590844">
        <w:rPr>
          <w:rFonts w:eastAsia="Book Antiqua"/>
        </w:rPr>
        <w:t>un precetto esplicito che impone al piano di essere “redatto in linea con” il DSPM e “</w:t>
      </w:r>
      <w:r w:rsidRPr="0B30048D">
        <w:rPr>
          <w:rFonts w:eastAsia="Book Antiqua"/>
        </w:rPr>
        <w:t xml:space="preserve">in </w:t>
      </w:r>
      <w:r w:rsidRPr="4EAEBED8">
        <w:rPr>
          <w:rFonts w:eastAsia="Book Antiqua"/>
        </w:rPr>
        <w:t>conformità</w:t>
      </w:r>
      <w:r w:rsidRPr="00590844">
        <w:rPr>
          <w:rFonts w:eastAsia="Book Antiqua"/>
        </w:rPr>
        <w:t xml:space="preserve"> alla Direttiva 2012/34/UE”, assicurando la piena coerenza tra strategia (DSPM), pianificazione (Piano Commerciale) e attuazione (</w:t>
      </w:r>
      <w:r w:rsidRPr="00590844">
        <w:rPr>
          <w:rFonts w:eastAsia="Book Antiqua"/>
        </w:rPr>
        <w:t>CdP</w:t>
      </w:r>
      <w:r w:rsidRPr="00590844">
        <w:rPr>
          <w:rFonts w:eastAsia="Book Antiqua"/>
        </w:rPr>
        <w:t>).</w:t>
      </w:r>
    </w:p>
    <w:p w:rsidR="00C75897" w:rsidRPr="00C75897" w:rsidP="00C75897" w14:paraId="6D068E21" w14:textId="77777777">
      <w:pPr>
        <w:spacing w:after="120"/>
        <w:jc w:val="both"/>
        <w:rPr>
          <w:rFonts w:eastAsia="Aptos"/>
        </w:rPr>
      </w:pPr>
      <w:r w:rsidRPr="00C75897">
        <w:rPr>
          <w:rFonts w:eastAsia="Aptos"/>
        </w:rPr>
        <w:t xml:space="preserve">La modifica di cui alla lettera b) </w:t>
      </w:r>
      <w:r w:rsidRPr="00C75897">
        <w:rPr>
          <w:rFonts w:eastAsia="Aptos"/>
          <w:b/>
          <w:bCs/>
        </w:rPr>
        <w:t>numero 4)</w:t>
      </w:r>
      <w:r w:rsidRPr="00C75897">
        <w:rPr>
          <w:rFonts w:eastAsia="Aptos"/>
        </w:rPr>
        <w:t xml:space="preserve"> inserisce all’articolo 15 del decreto legislativo 112/2015 i commi 5-bis, 5-ter e 5-quater, volti a introdurre i nuovi poteri di vigilanza e i requisiti di trasparenza previsti dal PNRR. </w:t>
      </w:r>
    </w:p>
    <w:p w:rsidR="00C75897" w:rsidRPr="00C75897" w:rsidP="00C75897" w14:paraId="2F877D07" w14:textId="77777777">
      <w:pPr>
        <w:spacing w:after="120"/>
        <w:jc w:val="both"/>
        <w:rPr>
          <w:rFonts w:eastAsia="Aptos"/>
        </w:rPr>
      </w:pPr>
      <w:r w:rsidRPr="00C75897">
        <w:rPr>
          <w:rFonts w:eastAsia="Aptos"/>
        </w:rPr>
        <w:t xml:space="preserve">In particolare, il </w:t>
      </w:r>
      <w:r w:rsidRPr="003D3547">
        <w:rPr>
          <w:rFonts w:eastAsia="Aptos"/>
          <w:b/>
          <w:bCs/>
        </w:rPr>
        <w:t>comma 5-bis</w:t>
      </w:r>
      <w:r w:rsidRPr="00C75897">
        <w:rPr>
          <w:rFonts w:eastAsia="Aptos"/>
        </w:rPr>
        <w:t xml:space="preserve"> attua due distinte </w:t>
      </w:r>
      <w:r w:rsidRPr="003D3547">
        <w:rPr>
          <w:rFonts w:eastAsia="Aptos"/>
          <w:i/>
          <w:iCs/>
        </w:rPr>
        <w:t>milestone</w:t>
      </w:r>
      <w:r w:rsidRPr="00C75897">
        <w:rPr>
          <w:rFonts w:eastAsia="Aptos"/>
        </w:rPr>
        <w:t xml:space="preserve">, attribuendo all’Autorità di regolazione dei trasporti (ART), d’intesa con il Ministero delle infrastrutture e dei trasporti </w:t>
      </w:r>
      <w:r w:rsidRPr="003D3547">
        <w:rPr>
          <w:rFonts w:eastAsia="Aptos"/>
          <w:b/>
          <w:bCs/>
        </w:rPr>
        <w:t>e, per i profili finanziari, sentito il Ministero dell’economia e delle finanze,</w:t>
      </w:r>
      <w:r w:rsidRPr="00C75897">
        <w:rPr>
          <w:rFonts w:eastAsia="Aptos"/>
        </w:rPr>
        <w:t xml:space="preserve"> il potere di identificazione degli indicatori di performance da allegare al </w:t>
      </w:r>
      <w:r w:rsidRPr="00C75897">
        <w:rPr>
          <w:rFonts w:eastAsia="Aptos"/>
        </w:rPr>
        <w:t>CdP</w:t>
      </w:r>
      <w:r w:rsidRPr="00C75897">
        <w:rPr>
          <w:rFonts w:eastAsia="Aptos"/>
        </w:rPr>
        <w:t xml:space="preserve"> e, contestualmente, il potere di monitoraggio sul conseguimento degli obiettivi intermedi e finali e i traguardi intermedi e finali, nonché l’adempimento degli indicatori di performance e dei criteri di qualità contenuti nel contratto di programma. </w:t>
      </w:r>
    </w:p>
    <w:p w:rsidR="00C75897" w:rsidRPr="00C75897" w:rsidP="00C75897" w14:paraId="7BD444E4" w14:textId="77777777">
      <w:pPr>
        <w:spacing w:after="120"/>
        <w:jc w:val="both"/>
        <w:rPr>
          <w:rFonts w:eastAsia="Aptos"/>
        </w:rPr>
      </w:pPr>
      <w:r w:rsidRPr="00C75897">
        <w:rPr>
          <w:rFonts w:eastAsia="Aptos"/>
        </w:rPr>
        <w:t xml:space="preserve">Quale norma funzionale e attuativa, il </w:t>
      </w:r>
      <w:r w:rsidRPr="003D3547">
        <w:rPr>
          <w:rFonts w:eastAsia="Aptos"/>
          <w:b/>
          <w:bCs/>
        </w:rPr>
        <w:t>comma 5-ter</w:t>
      </w:r>
      <w:r w:rsidRPr="00C75897">
        <w:rPr>
          <w:rFonts w:eastAsia="Aptos"/>
        </w:rPr>
        <w:t xml:space="preserve"> affida a un decreto del Ministero delle infrastrutture e dei trasporti </w:t>
      </w:r>
      <w:r w:rsidRPr="003D3547">
        <w:rPr>
          <w:rFonts w:eastAsia="Aptos"/>
          <w:b/>
          <w:bCs/>
        </w:rPr>
        <w:t>e, per i profili finanziari, di concerto con il Ministero dell’economia e delle finanze,</w:t>
      </w:r>
      <w:r w:rsidRPr="00C75897">
        <w:rPr>
          <w:rFonts w:eastAsia="Aptos"/>
        </w:rPr>
        <w:t xml:space="preserve"> la definizione delle modalità di rendicontazione e verifica del raggiungimento degli obiettivi e la conseguente attivazione del circuito finanziario e delle penalità per il gestore in caso di mancato conseguimento degli stessi.  </w:t>
      </w:r>
    </w:p>
    <w:p w:rsidR="00B260EA" w:rsidP="00C75897" w14:paraId="23520188" w14:textId="2CFE7F89">
      <w:pPr>
        <w:spacing w:after="120"/>
        <w:jc w:val="both"/>
        <w:rPr>
          <w:rFonts w:eastAsia="Aptos"/>
        </w:rPr>
      </w:pPr>
      <w:r w:rsidRPr="00C75897">
        <w:rPr>
          <w:rFonts w:eastAsia="Aptos"/>
        </w:rPr>
        <w:t xml:space="preserve">Il </w:t>
      </w:r>
      <w:r w:rsidRPr="003D3547">
        <w:rPr>
          <w:rFonts w:eastAsia="Aptos"/>
          <w:b/>
          <w:bCs/>
        </w:rPr>
        <w:t>comma 5-quater</w:t>
      </w:r>
      <w:r w:rsidRPr="00C75897">
        <w:rPr>
          <w:rFonts w:eastAsia="Aptos"/>
        </w:rPr>
        <w:t xml:space="preserve"> attua puntualmente la milestone relativa all’obbligo di integrare i progetti di fattibilità tecnica ed economica relativa ai grandi investimenti infrastrutturali ferroviari (di importo pari o superiore a 50 milioni di euro da inserire nel </w:t>
      </w:r>
      <w:r w:rsidRPr="00C75897">
        <w:rPr>
          <w:rFonts w:eastAsia="Aptos"/>
        </w:rPr>
        <w:t>CdP</w:t>
      </w:r>
      <w:r w:rsidRPr="00C75897">
        <w:rPr>
          <w:rFonts w:eastAsia="Aptos"/>
        </w:rPr>
        <w:t xml:space="preserve">, con un’analisi costi-benefici (CBA) </w:t>
      </w:r>
      <w:r w:rsidRPr="003D3547">
        <w:rPr>
          <w:rFonts w:eastAsia="Aptos"/>
          <w:b/>
          <w:bCs/>
        </w:rPr>
        <w:t>predisposta dall'Unità di missione per il PNRR del Ministero delle infrastrutture e dei trasporti</w:t>
      </w:r>
      <w:r w:rsidRPr="00C75897">
        <w:rPr>
          <w:rFonts w:eastAsia="Aptos"/>
        </w:rPr>
        <w:t>. Tale disposizione recepisce integralmente i requisiti PNRR, imponendo l’uso di benchmark internazionali, la conformità alle linee guida europee, la consultazione pubblica (ex ante) dei risultati e la loro successiva pubblicazione sul sito istituzionale del Ministero delle infrastrutture e dei trasporti, assicurando in tal modo trasparenza e rigore analitico nel processo di selezione degli investimenti.</w:t>
      </w:r>
      <w:r w:rsidRPr="00A976F6" w:rsidR="00A976F6">
        <w:rPr>
          <w:rFonts w:eastAsia="Book Antiqua"/>
          <w:b/>
        </w:rPr>
        <w:t xml:space="preserve"> </w:t>
      </w:r>
      <w:r w:rsidR="00A976F6">
        <w:rPr>
          <w:rFonts w:eastAsia="Book Antiqua"/>
          <w:b/>
        </w:rPr>
        <w:t>Si</w:t>
      </w:r>
      <w:r w:rsidRPr="00A143C9" w:rsidR="00A976F6">
        <w:rPr>
          <w:rFonts w:eastAsia="Book Antiqua"/>
          <w:b/>
        </w:rPr>
        <w:t xml:space="preserve"> precisa </w:t>
      </w:r>
      <w:r w:rsidR="00A976F6">
        <w:rPr>
          <w:rFonts w:eastAsia="Book Antiqua"/>
          <w:b/>
        </w:rPr>
        <w:t xml:space="preserve">al riguardo </w:t>
      </w:r>
      <w:r w:rsidRPr="00A143C9" w:rsidR="00A976F6">
        <w:rPr>
          <w:rFonts w:eastAsia="Book Antiqua"/>
          <w:b/>
        </w:rPr>
        <w:t>che l’Unità provvederà a</w:t>
      </w:r>
      <w:r w:rsidR="006903BC">
        <w:rPr>
          <w:rFonts w:eastAsia="Book Antiqua"/>
          <w:b/>
        </w:rPr>
        <w:t xml:space="preserve">llo svolgimento </w:t>
      </w:r>
      <w:r w:rsidR="00C90500">
        <w:rPr>
          <w:rFonts w:eastAsia="Book Antiqua"/>
          <w:b/>
        </w:rPr>
        <w:t>di</w:t>
      </w:r>
      <w:r w:rsidRPr="00A143C9" w:rsidR="00A976F6">
        <w:rPr>
          <w:rFonts w:eastAsia="Book Antiqua"/>
          <w:b/>
        </w:rPr>
        <w:t xml:space="preserve"> tale attività con le risorse umane, strumentali e finanziarie disponibili a legislazione vigente.</w:t>
      </w:r>
    </w:p>
    <w:p w:rsidR="5DFDD096" w:rsidRPr="00987C41" w:rsidP="00987C41" w14:paraId="0CB4CEA8" w14:textId="30FB89CF">
      <w:pPr>
        <w:spacing w:after="120"/>
        <w:jc w:val="both"/>
      </w:pPr>
      <w:r w:rsidRPr="00987C41">
        <w:rPr>
          <w:rFonts w:eastAsia="Aptos"/>
        </w:rPr>
        <w:t>La disposizione</w:t>
      </w:r>
      <w:r w:rsidRPr="00987C41" w:rsidR="0E54D9F0">
        <w:rPr>
          <w:rFonts w:eastAsia="Aptos"/>
        </w:rPr>
        <w:t xml:space="preserve"> di cui al </w:t>
      </w:r>
      <w:r w:rsidRPr="008676DA" w:rsidR="241C3F06">
        <w:rPr>
          <w:rFonts w:eastAsia="Aptos"/>
          <w:b/>
          <w:u w:val="single"/>
        </w:rPr>
        <w:t>comma</w:t>
      </w:r>
      <w:r w:rsidRPr="008676DA" w:rsidR="0E54D9F0">
        <w:rPr>
          <w:rFonts w:eastAsia="Aptos"/>
          <w:b/>
          <w:u w:val="single"/>
        </w:rPr>
        <w:t xml:space="preserve"> 2</w:t>
      </w:r>
      <w:r w:rsidRPr="00987C41" w:rsidR="0E54D9F0">
        <w:rPr>
          <w:rFonts w:eastAsia="Aptos"/>
        </w:rPr>
        <w:t xml:space="preserve"> </w:t>
      </w:r>
      <w:r w:rsidRPr="00987C41">
        <w:rPr>
          <w:rFonts w:eastAsia="Aptos"/>
        </w:rPr>
        <w:t xml:space="preserve">introduce la </w:t>
      </w:r>
      <w:r w:rsidRPr="00987C41">
        <w:rPr>
          <w:rFonts w:eastAsia="Aptos"/>
          <w:b/>
        </w:rPr>
        <w:t>lettera n-bis)</w:t>
      </w:r>
      <w:r w:rsidRPr="00987C41">
        <w:rPr>
          <w:rFonts w:eastAsia="Aptos"/>
        </w:rPr>
        <w:t xml:space="preserve"> all'</w:t>
      </w:r>
      <w:r w:rsidRPr="00987C41">
        <w:rPr>
          <w:rFonts w:eastAsia="Aptos"/>
          <w:b/>
        </w:rPr>
        <w:t>articolo 37, comma 2</w:t>
      </w:r>
      <w:r w:rsidRPr="00987C41">
        <w:rPr>
          <w:rFonts w:eastAsia="Aptos"/>
        </w:rPr>
        <w:t xml:space="preserve">, del D.L. 201/2011, rafforzando i poteri di ART in materia di monitoraggio e pareri sugli affidamenti dei servizi ferroviari. </w:t>
      </w:r>
      <w:r w:rsidRPr="00987C41">
        <w:rPr>
          <w:rFonts w:eastAsia="Aptos"/>
          <w:b/>
        </w:rPr>
        <w:t>L'attribuzione di tali compiti rientra nelle funzioni istituzionali dell'Autorità, che vi provvede con le risorse umane, finanziarie e strumentali disponibili a legislazione vigente, senza che ciò determini nuovi o maggiori oneri</w:t>
      </w:r>
      <w:r w:rsidRPr="00987C41" w:rsidR="0E99B48C">
        <w:rPr>
          <w:rFonts w:eastAsia="Aptos"/>
          <w:b/>
        </w:rPr>
        <w:t xml:space="preserve"> a carico della finanza pubblica</w:t>
      </w:r>
      <w:r w:rsidRPr="00987C41">
        <w:rPr>
          <w:rFonts w:eastAsia="Aptos"/>
          <w:b/>
        </w:rPr>
        <w:t>.</w:t>
      </w:r>
    </w:p>
    <w:p w:rsidR="5DFDD096" w:rsidP="00987C41" w14:paraId="2057F629" w14:textId="1DBCAA1F">
      <w:pPr>
        <w:spacing w:after="120"/>
        <w:jc w:val="both"/>
        <w:rPr>
          <w:rFonts w:eastAsia="Aptos"/>
          <w:b/>
        </w:rPr>
      </w:pPr>
      <w:r w:rsidRPr="00987C41">
        <w:rPr>
          <w:rFonts w:eastAsia="Aptos"/>
        </w:rPr>
        <w:t>La disposizione di cui</w:t>
      </w:r>
      <w:r w:rsidRPr="00987C41" w:rsidR="756C2ED3">
        <w:rPr>
          <w:rFonts w:eastAsia="Aptos"/>
        </w:rPr>
        <w:t xml:space="preserve"> al </w:t>
      </w:r>
      <w:r w:rsidRPr="00A4257D" w:rsidR="060EC05C">
        <w:rPr>
          <w:rFonts w:eastAsia="Aptos"/>
          <w:b/>
          <w:bCs/>
          <w:u w:val="single"/>
        </w:rPr>
        <w:t>comma</w:t>
      </w:r>
      <w:r w:rsidRPr="00A4257D" w:rsidR="756C2ED3">
        <w:rPr>
          <w:rFonts w:eastAsia="Aptos"/>
          <w:b/>
          <w:bCs/>
          <w:u w:val="single"/>
        </w:rPr>
        <w:t xml:space="preserve"> 3</w:t>
      </w:r>
      <w:r w:rsidR="00C95742">
        <w:rPr>
          <w:rFonts w:eastAsia="Aptos"/>
          <w:b/>
          <w:bCs/>
          <w:u w:val="single"/>
        </w:rPr>
        <w:t>,</w:t>
      </w:r>
      <w:r w:rsidRPr="008676DA">
        <w:rPr>
          <w:rFonts w:eastAsia="Aptos"/>
          <w:b/>
          <w:u w:val="single"/>
        </w:rPr>
        <w:t xml:space="preserve"> lettera a)</w:t>
      </w:r>
      <w:r w:rsidR="00795AED">
        <w:rPr>
          <w:rFonts w:eastAsia="Aptos"/>
          <w:b/>
          <w:u w:val="single"/>
        </w:rPr>
        <w:t xml:space="preserve"> </w:t>
      </w:r>
      <w:r w:rsidR="005A366D">
        <w:rPr>
          <w:rFonts w:eastAsia="Aptos"/>
          <w:b/>
          <w:u w:val="single"/>
        </w:rPr>
        <w:t>punto 1)</w:t>
      </w:r>
      <w:r w:rsidRPr="008676DA" w:rsidR="1586B771">
        <w:rPr>
          <w:rFonts w:eastAsia="Aptos"/>
          <w:b/>
          <w:u w:val="single"/>
        </w:rPr>
        <w:t>,</w:t>
      </w:r>
      <w:r w:rsidRPr="00987C41" w:rsidR="2F57E0A8">
        <w:rPr>
          <w:rFonts w:eastAsia="Aptos"/>
          <w:b/>
        </w:rPr>
        <w:t xml:space="preserve"> </w:t>
      </w:r>
      <w:r w:rsidRPr="00987C41">
        <w:rPr>
          <w:rFonts w:eastAsia="Aptos"/>
        </w:rPr>
        <w:t>che modifica l'</w:t>
      </w:r>
      <w:r w:rsidRPr="00987C41">
        <w:rPr>
          <w:rFonts w:eastAsia="Aptos"/>
          <w:b/>
        </w:rPr>
        <w:t>articolo 9, comma 1</w:t>
      </w:r>
      <w:r w:rsidRPr="00987C41">
        <w:rPr>
          <w:rFonts w:eastAsia="Aptos"/>
        </w:rPr>
        <w:t xml:space="preserve">, della L. 118/2022, estende l'obbligo di conformità agli atti di ART (attualmente previsto per le "procedure di gara") a tutte le "procedure di affidamento". </w:t>
      </w:r>
      <w:r w:rsidRPr="00987C41">
        <w:rPr>
          <w:rFonts w:eastAsia="Aptos"/>
          <w:b/>
        </w:rPr>
        <w:t>Si tratta di un intervento di natura ordinamentale, che non ha impatti sui saldi di finanza pubblica.</w:t>
      </w:r>
    </w:p>
    <w:p w:rsidR="003D11CF" w:rsidRPr="00F61A65" w:rsidP="00E938F4" w14:paraId="76E0B0A3" w14:textId="70EFCB88">
      <w:pPr>
        <w:spacing w:after="120"/>
        <w:jc w:val="both"/>
        <w:rPr>
          <w:rFonts w:eastAsia="Aptos"/>
        </w:rPr>
      </w:pPr>
      <w:r w:rsidRPr="00F61A65">
        <w:rPr>
          <w:rFonts w:eastAsia="Aptos"/>
        </w:rPr>
        <w:t xml:space="preserve">La disposizione di cui al </w:t>
      </w:r>
      <w:r w:rsidRPr="00C95742">
        <w:rPr>
          <w:rFonts w:eastAsia="Aptos"/>
          <w:b/>
          <w:bCs/>
          <w:u w:val="single"/>
        </w:rPr>
        <w:t>comma 3</w:t>
      </w:r>
      <w:r w:rsidR="00C95742">
        <w:rPr>
          <w:rFonts w:eastAsia="Aptos"/>
          <w:b/>
          <w:bCs/>
          <w:u w:val="single"/>
        </w:rPr>
        <w:t>,</w:t>
      </w:r>
      <w:r w:rsidRPr="00F61A65">
        <w:rPr>
          <w:rFonts w:eastAsia="Aptos"/>
          <w:b/>
          <w:u w:val="single"/>
        </w:rPr>
        <w:t xml:space="preserve"> lettera a) punto 2), </w:t>
      </w:r>
      <w:r w:rsidRPr="00F61A65" w:rsidR="00E938F4">
        <w:rPr>
          <w:rFonts w:eastAsia="Aptos"/>
        </w:rPr>
        <w:t>sostituisce integralmente il vigente comma 1‑</w:t>
      </w:r>
      <w:r w:rsidRPr="00F61A65" w:rsidR="00E938F4">
        <w:rPr>
          <w:rFonts w:eastAsia="Aptos"/>
          <w:i/>
        </w:rPr>
        <w:t>bis</w:t>
      </w:r>
      <w:r w:rsidRPr="00F61A65" w:rsidR="00E938F4">
        <w:rPr>
          <w:rFonts w:eastAsia="Aptos"/>
        </w:rPr>
        <w:t xml:space="preserve"> </w:t>
      </w:r>
      <w:r w:rsidRPr="00F61A65" w:rsidR="00034D47">
        <w:rPr>
          <w:rFonts w:eastAsia="Aptos"/>
        </w:rPr>
        <w:t>i</w:t>
      </w:r>
      <w:r w:rsidRPr="00F61A65" w:rsidR="0053253B">
        <w:rPr>
          <w:rFonts w:eastAsia="Aptos"/>
        </w:rPr>
        <w:t>nterv</w:t>
      </w:r>
      <w:r w:rsidRPr="00F61A65" w:rsidR="00034D47">
        <w:rPr>
          <w:rFonts w:eastAsia="Aptos"/>
        </w:rPr>
        <w:t xml:space="preserve">enendo </w:t>
      </w:r>
      <w:r w:rsidRPr="00F61A65" w:rsidR="0053253B">
        <w:rPr>
          <w:rFonts w:eastAsia="Aptos"/>
        </w:rPr>
        <w:t>sul trasporto pubblico ferroviario di competenza regionale</w:t>
      </w:r>
      <w:r w:rsidRPr="00F61A65" w:rsidR="00034D47">
        <w:rPr>
          <w:rFonts w:eastAsia="Aptos"/>
        </w:rPr>
        <w:t xml:space="preserve">. In particolare, </w:t>
      </w:r>
      <w:r w:rsidRPr="00F61A65" w:rsidR="006F0C9E">
        <w:rPr>
          <w:rFonts w:eastAsia="Aptos"/>
        </w:rPr>
        <w:t xml:space="preserve">si prevede che </w:t>
      </w:r>
      <w:r w:rsidRPr="00F61A65" w:rsidR="002C0899">
        <w:rPr>
          <w:rFonts w:eastAsia="Aptos"/>
        </w:rPr>
        <w:t xml:space="preserve">le Regioni trasmettano </w:t>
      </w:r>
      <w:r w:rsidRPr="00F61A65" w:rsidR="00E938F4">
        <w:rPr>
          <w:rFonts w:eastAsia="Aptos"/>
        </w:rPr>
        <w:t>all'Osservatorio di cui all'articolo 1, comma 300, della legge 24 dicembre 2007, n. 244 i calendari delle procedure ad evidenza pubblica programmate per i servizi ferroviari regionali</w:t>
      </w:r>
      <w:r w:rsidRPr="00F61A65" w:rsidR="00724B37">
        <w:rPr>
          <w:rFonts w:eastAsia="Aptos"/>
        </w:rPr>
        <w:t xml:space="preserve"> e che l’Osservatorio proceda ad un’analisi degli stessi,</w:t>
      </w:r>
      <w:r w:rsidRPr="00F61A65" w:rsidR="00E938F4">
        <w:rPr>
          <w:rFonts w:eastAsia="Aptos"/>
        </w:rPr>
        <w:t xml:space="preserve"> al </w:t>
      </w:r>
      <w:r w:rsidRPr="00F61A65" w:rsidR="00724B37">
        <w:rPr>
          <w:rFonts w:eastAsia="Aptos"/>
        </w:rPr>
        <w:t>fine specifico di identificare</w:t>
      </w:r>
      <w:r w:rsidRPr="00F61A65" w:rsidR="00E938F4">
        <w:rPr>
          <w:rFonts w:eastAsia="Aptos"/>
        </w:rPr>
        <w:t xml:space="preserve"> le sovrapposizioni temporali </w:t>
      </w:r>
      <w:r w:rsidRPr="00F61A65" w:rsidR="00724B37">
        <w:rPr>
          <w:rFonts w:eastAsia="Aptos"/>
        </w:rPr>
        <w:t>potenzialmente lesive della concorrenza</w:t>
      </w:r>
      <w:r w:rsidRPr="00F61A65" w:rsidR="00AB5636">
        <w:rPr>
          <w:rFonts w:eastAsia="Aptos"/>
        </w:rPr>
        <w:t>.</w:t>
      </w:r>
      <w:r w:rsidRPr="003D11CF">
        <w:rPr>
          <w:rFonts w:ascii="Segoe UI" w:hAnsi="Segoe UI" w:cs="Segoe UI"/>
          <w:sz w:val="18"/>
          <w:szCs w:val="18"/>
        </w:rPr>
        <w:t xml:space="preserve"> </w:t>
      </w:r>
      <w:r w:rsidRPr="00F61A65">
        <w:rPr>
          <w:rFonts w:eastAsia="Aptos"/>
        </w:rPr>
        <w:t>Sulla base</w:t>
      </w:r>
      <w:r w:rsidRPr="00F61A65" w:rsidR="00E938F4">
        <w:rPr>
          <w:rFonts w:eastAsia="Aptos"/>
        </w:rPr>
        <w:t xml:space="preserve"> di </w:t>
      </w:r>
      <w:r w:rsidRPr="00F61A65">
        <w:rPr>
          <w:rFonts w:eastAsia="Aptos"/>
        </w:rPr>
        <w:t xml:space="preserve">tale analisi, si affida al medesimo Osservatorio il compito di promuovere il </w:t>
      </w:r>
      <w:r w:rsidRPr="00F61A65" w:rsidR="00E938F4">
        <w:rPr>
          <w:rFonts w:eastAsia="Aptos"/>
        </w:rPr>
        <w:t>necessario</w:t>
      </w:r>
      <w:r w:rsidRPr="00F61A65">
        <w:rPr>
          <w:rFonts w:eastAsia="Aptos"/>
        </w:rPr>
        <w:t xml:space="preserve"> </w:t>
      </w:r>
      <w:r w:rsidRPr="00F61A65" w:rsidR="00E938F4">
        <w:rPr>
          <w:rFonts w:eastAsia="Aptos"/>
        </w:rPr>
        <w:t xml:space="preserve">coordinamento tra gli enti </w:t>
      </w:r>
      <w:r w:rsidRPr="00F61A65">
        <w:rPr>
          <w:rFonts w:eastAsia="Aptos"/>
        </w:rPr>
        <w:t>concedenti</w:t>
      </w:r>
      <w:r w:rsidRPr="00F61A65" w:rsidR="00E938F4">
        <w:rPr>
          <w:rFonts w:eastAsia="Aptos"/>
        </w:rPr>
        <w:t xml:space="preserve"> interessati</w:t>
      </w:r>
      <w:r w:rsidRPr="00F61A65">
        <w:rPr>
          <w:rFonts w:eastAsia="Aptos"/>
        </w:rPr>
        <w:t>. L’obiettivo esplicitato è quello di favorire</w:t>
      </w:r>
      <w:r w:rsidRPr="00F61A65" w:rsidR="00E938F4">
        <w:rPr>
          <w:rFonts w:eastAsia="Aptos"/>
        </w:rPr>
        <w:t xml:space="preserve"> un adeguato scaglionamento temporale delle procedure</w:t>
      </w:r>
      <w:r w:rsidRPr="00F61A65">
        <w:rPr>
          <w:rFonts w:eastAsia="Aptos"/>
        </w:rPr>
        <w:t xml:space="preserve"> di gara, massimizzando così le opportunità di partecipazione al mercato.</w:t>
      </w:r>
      <w:r w:rsidRPr="00F61A65" w:rsidR="00E938F4">
        <w:rPr>
          <w:rFonts w:eastAsia="Aptos"/>
        </w:rPr>
        <w:t xml:space="preserve"> </w:t>
      </w:r>
    </w:p>
    <w:p w:rsidR="00D82582" w:rsidP="00D82582" w14:paraId="360DE6FC" w14:textId="4820D904">
      <w:pPr>
        <w:spacing w:after="120"/>
        <w:jc w:val="both"/>
        <w:rPr>
          <w:rFonts w:eastAsia="Aptos"/>
          <w:b/>
        </w:rPr>
      </w:pPr>
      <w:r w:rsidRPr="00F61A65">
        <w:rPr>
          <w:rFonts w:eastAsia="Aptos"/>
          <w:bCs/>
        </w:rPr>
        <w:t xml:space="preserve">Sono poi </w:t>
      </w:r>
      <w:r w:rsidRPr="00F61A65" w:rsidR="0040181A">
        <w:rPr>
          <w:rFonts w:eastAsia="Aptos"/>
          <w:bCs/>
        </w:rPr>
        <w:t xml:space="preserve">previsti </w:t>
      </w:r>
      <w:r w:rsidRPr="00F61A65">
        <w:rPr>
          <w:rFonts w:eastAsia="Aptos"/>
          <w:bCs/>
        </w:rPr>
        <w:t xml:space="preserve">ulteriori </w:t>
      </w:r>
      <w:r w:rsidRPr="00F61A65" w:rsidR="0040181A">
        <w:rPr>
          <w:rFonts w:eastAsia="Aptos"/>
          <w:bCs/>
        </w:rPr>
        <w:t xml:space="preserve">adempimenti di pubblicazione e trasparenza dei calendari e </w:t>
      </w:r>
      <w:r w:rsidR="00A5357B">
        <w:rPr>
          <w:rFonts w:eastAsia="Aptos"/>
          <w:bCs/>
        </w:rPr>
        <w:t>dettagliati</w:t>
      </w:r>
      <w:r w:rsidRPr="00F61A65" w:rsidR="0040181A">
        <w:rPr>
          <w:rFonts w:eastAsia="Aptos"/>
          <w:bCs/>
        </w:rPr>
        <w:t xml:space="preserve"> i relativi contenuti. </w:t>
      </w:r>
      <w:r w:rsidRPr="00D82582">
        <w:rPr>
          <w:rFonts w:eastAsia="Aptos"/>
          <w:b/>
        </w:rPr>
        <w:t>L’intervento normativo non introduce nuovi o maggiori oneri per la finanza pubblica, in quanto le nuove funzioni di analisi e promozione del coordinamento attribuite all’Osservatorio sono svolte nell’ambito delle risorse umane, strumentali e finanziarie già previste.</w:t>
      </w:r>
    </w:p>
    <w:p w:rsidR="008F402E" w:rsidP="00D82582" w14:paraId="4265AA7C" w14:textId="6C14A276">
      <w:pPr>
        <w:spacing w:after="120"/>
        <w:jc w:val="both"/>
        <w:rPr>
          <w:rFonts w:eastAsia="Aptos"/>
        </w:rPr>
      </w:pPr>
      <w:r w:rsidRPr="00F61A65">
        <w:rPr>
          <w:rFonts w:eastAsia="Aptos"/>
        </w:rPr>
        <w:t xml:space="preserve">La disposizione di cui al </w:t>
      </w:r>
      <w:r w:rsidRPr="00F735E4">
        <w:rPr>
          <w:rFonts w:eastAsia="Aptos"/>
          <w:b/>
          <w:bCs/>
          <w:u w:val="single"/>
        </w:rPr>
        <w:t>comma 3</w:t>
      </w:r>
      <w:r w:rsidR="00F735E4">
        <w:rPr>
          <w:rFonts w:eastAsia="Aptos"/>
          <w:b/>
          <w:bCs/>
          <w:u w:val="single"/>
        </w:rPr>
        <w:t>,</w:t>
      </w:r>
      <w:r w:rsidRPr="00F61A65">
        <w:rPr>
          <w:rFonts w:eastAsia="Aptos"/>
          <w:b/>
          <w:u w:val="single"/>
        </w:rPr>
        <w:t xml:space="preserve"> lettera a) punto 3),</w:t>
      </w:r>
      <w:r w:rsidRPr="00F61A65" w:rsidR="00CC55BF">
        <w:rPr>
          <w:rFonts w:eastAsia="Aptos"/>
        </w:rPr>
        <w:t xml:space="preserve"> introduce un nuovo comma 5-bis che si limita a incidere sulle modalità di gestione dei contratti di servizio pubblico già in essere, senza determinazione effetti finanziari diretti e quantificabili a carico della finanza pubblica.​</w:t>
      </w:r>
    </w:p>
    <w:p w:rsidR="5DFDD096" w:rsidRPr="00987C41" w:rsidP="000C11D1" w14:paraId="5CB12B04" w14:textId="5AFF89DB">
      <w:pPr>
        <w:spacing w:before="120"/>
        <w:jc w:val="both"/>
      </w:pPr>
      <w:r w:rsidRPr="008F402E">
        <w:rPr>
          <w:rFonts w:eastAsia="Aptos"/>
          <w:sz w:val="4"/>
          <w:szCs w:val="4"/>
        </w:rPr>
        <w:br/>
      </w:r>
      <w:r w:rsidRPr="00987C41">
        <w:rPr>
          <w:rFonts w:eastAsia="Aptos"/>
        </w:rPr>
        <w:t>La disposizione di cui al</w:t>
      </w:r>
      <w:r w:rsidRPr="00987C41" w:rsidR="40BDFA29">
        <w:rPr>
          <w:rFonts w:eastAsia="Aptos"/>
        </w:rPr>
        <w:t xml:space="preserve"> </w:t>
      </w:r>
      <w:r w:rsidRPr="00F735E4" w:rsidR="44C338D0">
        <w:rPr>
          <w:rFonts w:eastAsia="Aptos"/>
          <w:b/>
          <w:u w:val="single"/>
        </w:rPr>
        <w:t>comma</w:t>
      </w:r>
      <w:r w:rsidRPr="00F735E4" w:rsidR="40BDFA29">
        <w:rPr>
          <w:rFonts w:eastAsia="Aptos"/>
          <w:b/>
          <w:u w:val="single"/>
        </w:rPr>
        <w:t xml:space="preserve"> 3</w:t>
      </w:r>
      <w:r w:rsidR="00F735E4">
        <w:rPr>
          <w:rFonts w:eastAsia="Aptos"/>
          <w:b/>
          <w:u w:val="single"/>
        </w:rPr>
        <w:t>,</w:t>
      </w:r>
      <w:r w:rsidRPr="00F735E4">
        <w:rPr>
          <w:rFonts w:eastAsia="Aptos"/>
          <w:b/>
          <w:u w:val="single"/>
        </w:rPr>
        <w:t xml:space="preserve"> lettera</w:t>
      </w:r>
      <w:r w:rsidRPr="008676DA">
        <w:rPr>
          <w:rFonts w:eastAsia="Aptos"/>
          <w:b/>
          <w:u w:val="single"/>
        </w:rPr>
        <w:t xml:space="preserve"> b)</w:t>
      </w:r>
      <w:r w:rsidRPr="00987C41">
        <w:rPr>
          <w:rFonts w:eastAsia="Aptos"/>
        </w:rPr>
        <w:t xml:space="preserve"> introduce</w:t>
      </w:r>
      <w:r w:rsidR="00402BA0">
        <w:rPr>
          <w:rFonts w:eastAsia="Aptos"/>
        </w:rPr>
        <w:t xml:space="preserve"> </w:t>
      </w:r>
      <w:r w:rsidR="006A7345">
        <w:t>nell’ambito del</w:t>
      </w:r>
      <w:r w:rsidRPr="000B6705" w:rsidR="006A7345">
        <w:t>la legge 5 agosto 2022, n. 118</w:t>
      </w:r>
      <w:r w:rsidRPr="00987C41" w:rsidR="006A7345">
        <w:rPr>
          <w:rFonts w:eastAsia="Aptos"/>
        </w:rPr>
        <w:t>,</w:t>
      </w:r>
      <w:r w:rsidR="006A7345">
        <w:rPr>
          <w:rFonts w:eastAsia="Aptos"/>
        </w:rPr>
        <w:t xml:space="preserve"> </w:t>
      </w:r>
      <w:r w:rsidR="00402BA0">
        <w:rPr>
          <w:rFonts w:eastAsia="Aptos"/>
        </w:rPr>
        <w:t xml:space="preserve">gli </w:t>
      </w:r>
      <w:r w:rsidRPr="00987C41">
        <w:rPr>
          <w:rFonts w:eastAsia="Aptos"/>
          <w:b/>
        </w:rPr>
        <w:t>articol</w:t>
      </w:r>
      <w:r w:rsidR="00402BA0">
        <w:rPr>
          <w:rFonts w:eastAsia="Aptos"/>
          <w:b/>
        </w:rPr>
        <w:t>i</w:t>
      </w:r>
      <w:r w:rsidRPr="00987C41">
        <w:rPr>
          <w:rFonts w:eastAsia="Aptos"/>
          <w:b/>
        </w:rPr>
        <w:t xml:space="preserve"> 9-bis</w:t>
      </w:r>
      <w:r w:rsidRPr="00987C41">
        <w:rPr>
          <w:rFonts w:eastAsia="Aptos"/>
        </w:rPr>
        <w:t xml:space="preserve"> </w:t>
      </w:r>
      <w:r w:rsidR="00402BA0">
        <w:rPr>
          <w:rFonts w:eastAsia="Aptos"/>
        </w:rPr>
        <w:t xml:space="preserve">e </w:t>
      </w:r>
      <w:r w:rsidRPr="00402BA0" w:rsidR="00402BA0">
        <w:rPr>
          <w:rFonts w:eastAsia="Aptos"/>
          <w:b/>
          <w:bCs/>
        </w:rPr>
        <w:t>9-ter</w:t>
      </w:r>
      <w:r w:rsidR="00402BA0">
        <w:rPr>
          <w:rFonts w:eastAsia="Aptos"/>
        </w:rPr>
        <w:t xml:space="preserve">.  </w:t>
      </w:r>
      <w:r w:rsidRPr="00987C41">
        <w:rPr>
          <w:rFonts w:eastAsia="Aptos"/>
        </w:rPr>
        <w:t xml:space="preserve"> </w:t>
      </w:r>
    </w:p>
    <w:p w:rsidR="5DFDD096" w:rsidRPr="00987C41" w:rsidP="000C11D1" w14:paraId="575423BD" w14:textId="5068BA31">
      <w:pPr>
        <w:spacing w:before="120"/>
        <w:jc w:val="both"/>
      </w:pPr>
      <w:r>
        <w:rPr>
          <w:rFonts w:eastAsia="Aptos"/>
        </w:rPr>
        <w:t>Con riferimento al nuovo articolo 9-</w:t>
      </w:r>
      <w:r w:rsidR="00422FCB">
        <w:rPr>
          <w:rFonts w:eastAsia="Aptos"/>
        </w:rPr>
        <w:t>bis, i</w:t>
      </w:r>
      <w:r w:rsidRPr="00987C41">
        <w:rPr>
          <w:rFonts w:eastAsia="Aptos"/>
        </w:rPr>
        <w:t xml:space="preserve"> commi 1 e 2 </w:t>
      </w:r>
      <w:r w:rsidR="006A7345">
        <w:rPr>
          <w:rFonts w:eastAsia="Aptos"/>
        </w:rPr>
        <w:t xml:space="preserve">prevedono, </w:t>
      </w:r>
      <w:r w:rsidRPr="00987C41">
        <w:rPr>
          <w:rFonts w:eastAsia="Aptos"/>
        </w:rPr>
        <w:t xml:space="preserve">rispettivamente, obblighi di trasparenza per gli affidamenti diretti e l'obbligo di avvio della procedura competitiva </w:t>
      </w:r>
      <w:r w:rsidR="006A7345">
        <w:rPr>
          <w:rFonts w:eastAsia="Aptos"/>
        </w:rPr>
        <w:t xml:space="preserve">di </w:t>
      </w:r>
      <w:r w:rsidRPr="00987C41">
        <w:rPr>
          <w:rFonts w:eastAsia="Aptos"/>
        </w:rPr>
        <w:t xml:space="preserve">gara. </w:t>
      </w:r>
    </w:p>
    <w:p w:rsidR="5DFDD096" w:rsidP="000C11D1" w14:paraId="58A84D78" w14:textId="77F2AEEB">
      <w:pPr>
        <w:spacing w:before="120"/>
        <w:jc w:val="both"/>
        <w:rPr>
          <w:rFonts w:eastAsia="Aptos"/>
          <w:b/>
        </w:rPr>
      </w:pPr>
      <w:r w:rsidRPr="00987C41">
        <w:rPr>
          <w:rFonts w:eastAsia="Aptos"/>
          <w:b/>
        </w:rPr>
        <w:t>Si tratta di norme di principio e ordinamentali, volte a promuovere la concorrenza, che non determinano effetti finanziari diretti. Le attività istruttorie (market test, definizione lotti) sono svolte da MIT e ART nell'ambito delle risorse disponibili a legislazione vigente. Pertanto, la disposizione non comporta nuovi o maggiori oneri</w:t>
      </w:r>
      <w:r w:rsidRPr="00987C41" w:rsidR="03D4A249">
        <w:rPr>
          <w:rFonts w:eastAsia="Aptos"/>
          <w:b/>
        </w:rPr>
        <w:t xml:space="preserve"> a carico della finanza pubblica</w:t>
      </w:r>
      <w:r w:rsidRPr="00987C41">
        <w:rPr>
          <w:rFonts w:eastAsia="Aptos"/>
          <w:b/>
        </w:rPr>
        <w:t>.</w:t>
      </w:r>
    </w:p>
    <w:p w:rsidR="006A7345" w:rsidRPr="006E78B2" w:rsidP="00916CBE" w14:paraId="2BD14ACB" w14:textId="7CB241D7">
      <w:pPr>
        <w:spacing w:before="120" w:after="120"/>
        <w:jc w:val="both"/>
        <w:rPr>
          <w:rFonts w:eastAsia="Book Antiqua"/>
          <w:color w:val="FF0000"/>
        </w:rPr>
      </w:pPr>
      <w:r w:rsidRPr="006E78B2">
        <w:rPr>
          <w:rFonts w:eastAsia="Book Antiqua"/>
          <w:color w:val="FF0000"/>
        </w:rPr>
        <w:t>Con l’articolo 9-ter vengono attribuite talune specifiche funzioni</w:t>
      </w:r>
      <w:r w:rsidRPr="006E78B2">
        <w:rPr>
          <w:color w:val="FF0000"/>
        </w:rPr>
        <w:t xml:space="preserve"> </w:t>
      </w:r>
      <w:bookmarkStart w:id="70" w:name="_Hlk219815034"/>
      <w:r w:rsidRPr="006E78B2">
        <w:rPr>
          <w:color w:val="FF0000"/>
        </w:rPr>
        <w:t>all’</w:t>
      </w:r>
      <w:r w:rsidRPr="006E78B2">
        <w:rPr>
          <w:color w:val="FF0000"/>
          <w14:textOutline w14:w="12700">
            <w14:noFill/>
            <w14:prstDash w14:val="solid"/>
            <w14:miter w14:lim="400000"/>
          </w14:textOutline>
        </w:rPr>
        <w:t>Unità di missione per il Piano Nazionale di Ripresa e Resilienza del Ministero delle infrastrutture e dei trasporti</w:t>
      </w:r>
      <w:bookmarkEnd w:id="70"/>
      <w:r w:rsidRPr="006E78B2">
        <w:rPr>
          <w:rFonts w:eastAsia="Book Antiqua"/>
          <w:color w:val="FF0000"/>
        </w:rPr>
        <w:t>. Al riguardo, si precisa che l</w:t>
      </w:r>
      <w:r w:rsidRPr="006E78B2">
        <w:rPr>
          <w:color w:val="FF0000"/>
        </w:rPr>
        <w:t>’</w:t>
      </w:r>
      <w:r w:rsidRPr="006E78B2">
        <w:rPr>
          <w:color w:val="FF0000"/>
          <w14:textOutline w14:w="12700">
            <w14:noFill/>
            <w14:prstDash w14:val="solid"/>
            <w14:miter w14:lim="400000"/>
          </w14:textOutline>
        </w:rPr>
        <w:t xml:space="preserve">Unità </w:t>
      </w:r>
      <w:r w:rsidRPr="006E78B2">
        <w:rPr>
          <w:color w:val="FF0000"/>
        </w:rPr>
        <w:t>provvederà allo svolgimento delle attività contemplate dalla norma con le risorse umane, strumentali e</w:t>
      </w:r>
      <w:r w:rsidRPr="006E78B2">
        <w:rPr>
          <w:rFonts w:eastAsia="Book Antiqua"/>
          <w:color w:val="FF0000"/>
        </w:rPr>
        <w:t xml:space="preserve"> finanziarie disponibili e, pertanto, senza nuovi o maggiori oneri a carico della finanza pubblica. Invero, con la scadenza del termine finale per il conseguimento degli obiettivi previsti dal cronoprogramma del PNRR, si assisterà ad una progressiva liberazione di capacità operativa della </w:t>
      </w:r>
      <w:r w:rsidRPr="006E78B2">
        <w:rPr>
          <w:rFonts w:eastAsia="Book Antiqua"/>
          <w:color w:val="FF0000"/>
        </w:rPr>
        <w:t>predetta</w:t>
      </w:r>
      <w:r w:rsidRPr="006E78B2">
        <w:rPr>
          <w:rFonts w:eastAsia="Book Antiqua"/>
          <w:color w:val="FF0000"/>
        </w:rPr>
        <w:t xml:space="preserve"> Unità e la stessa potrà, dunque, svolgere le funzioni attribuite con l’introducendo articolo 9-ter senza la necessità di ulteriori unità di personale e risorse. La scelta di attribuire le citate attività all’Unità di missione PNRR del Ministero delle infrastrutture e dei trasporti è stata dettata dalla volontà di avvalersi di un'unità operativa già strutturata, dotata delle necessarie risorse e competenze, massimizzando così l’efficienza organizzativa.</w:t>
      </w:r>
    </w:p>
    <w:p w:rsidR="5DFDD096" w:rsidP="00987C41" w14:paraId="4577A938" w14:textId="58AA0480">
      <w:pPr>
        <w:spacing w:after="120"/>
        <w:jc w:val="both"/>
        <w:rPr>
          <w:rFonts w:eastAsia="Aptos"/>
          <w:b/>
        </w:rPr>
      </w:pPr>
      <w:r w:rsidRPr="00987C41">
        <w:rPr>
          <w:rFonts w:eastAsia="Aptos"/>
        </w:rPr>
        <w:t xml:space="preserve">Il </w:t>
      </w:r>
      <w:r w:rsidRPr="009B69E1">
        <w:rPr>
          <w:rFonts w:eastAsia="Aptos"/>
          <w:b/>
          <w:u w:val="single"/>
        </w:rPr>
        <w:t>comma 4</w:t>
      </w:r>
      <w:r w:rsidRPr="00987C41">
        <w:rPr>
          <w:rFonts w:eastAsia="Aptos"/>
        </w:rPr>
        <w:t xml:space="preserve"> modifica l'</w:t>
      </w:r>
      <w:r w:rsidRPr="00987C41">
        <w:rPr>
          <w:rFonts w:eastAsia="Aptos"/>
          <w:b/>
        </w:rPr>
        <w:t>articolo 27, comma 2, lettera c)</w:t>
      </w:r>
      <w:r w:rsidRPr="00987C41">
        <w:rPr>
          <w:rFonts w:eastAsia="Aptos"/>
        </w:rPr>
        <w:t>, del D.L. 50/2017, estendendo la fattispecie che attiva il meccanismo sanzionatorio (riduzione delle risorse del Fondo TPL) da</w:t>
      </w:r>
      <w:r w:rsidRPr="00987C41" w:rsidR="0968A4AD">
        <w:rPr>
          <w:rFonts w:eastAsia="Aptos"/>
        </w:rPr>
        <w:t>lle</w:t>
      </w:r>
      <w:r w:rsidRPr="00987C41">
        <w:rPr>
          <w:rFonts w:eastAsia="Aptos"/>
        </w:rPr>
        <w:t xml:space="preserve"> "gare non conformi" agli "affidamenti non conformi". Tale modifica, di natura ordinamentale, non ha impatti negativi sui saldi, in quanto mira a garantire l'efficacia di un meccanismo sanzionatorio già esistente, le cui eventuali maggiori entrate (derivanti da un'eventuale maggiore incidenza della sanzione) verrebbero comunque ripartite tra le altre regioni, come già previsto dalla norma vigente, garantendo l'invarianza del saldo complessivo del Fondo. </w:t>
      </w:r>
      <w:r w:rsidRPr="00987C41">
        <w:rPr>
          <w:rFonts w:eastAsia="Aptos"/>
          <w:b/>
        </w:rPr>
        <w:t>La disposizione, pertanto, non comporta nuovi o maggiori oneri.</w:t>
      </w:r>
    </w:p>
    <w:p w:rsidR="00FB1855" w:rsidRPr="00FB1855" w:rsidP="00FB1855" w14:paraId="5DB47CA8" w14:textId="6C85565E">
      <w:pPr>
        <w:spacing w:before="120" w:after="120"/>
        <w:jc w:val="both"/>
        <w:rPr>
          <w:rFonts w:eastAsia="Book Antiqua"/>
          <w:b/>
          <w:bCs/>
        </w:rPr>
      </w:pPr>
      <w:r>
        <w:rPr>
          <w:rFonts w:eastAsia="Book Antiqua"/>
          <w:b/>
          <w:bCs/>
        </w:rPr>
        <w:t>Il</w:t>
      </w:r>
      <w:r w:rsidRPr="00FB1855">
        <w:rPr>
          <w:rFonts w:eastAsia="Book Antiqua"/>
          <w:b/>
          <w:bCs/>
        </w:rPr>
        <w:t xml:space="preserve"> </w:t>
      </w:r>
      <w:r w:rsidRPr="00FB1855">
        <w:rPr>
          <w:rFonts w:eastAsia="Book Antiqua"/>
          <w:b/>
          <w:bCs/>
          <w:u w:val="single"/>
        </w:rPr>
        <w:t>comma 5</w:t>
      </w:r>
      <w:r w:rsidRPr="00FB1855">
        <w:rPr>
          <w:rFonts w:eastAsia="Book Antiqua"/>
          <w:b/>
          <w:bCs/>
        </w:rPr>
        <w:t xml:space="preserve"> prevede che dall’attuazione delle disposizioni di cui </w:t>
      </w:r>
      <w:r>
        <w:rPr>
          <w:rFonts w:eastAsia="Book Antiqua"/>
          <w:b/>
          <w:bCs/>
        </w:rPr>
        <w:t>al presenta articolo</w:t>
      </w:r>
      <w:r w:rsidRPr="00FB1855">
        <w:rPr>
          <w:rFonts w:eastAsia="Book Antiqua"/>
          <w:b/>
          <w:bCs/>
        </w:rPr>
        <w:t xml:space="preserve"> non debbano derivare nuovi o maggiori oneri a carico della finanza pubblica. Invero, le amministrazioni e le autorità interessate provvedono agli adempimenti </w:t>
      </w:r>
      <w:r w:rsidR="0028488B">
        <w:rPr>
          <w:rFonts w:eastAsia="Book Antiqua"/>
          <w:b/>
          <w:bCs/>
        </w:rPr>
        <w:t>previsti</w:t>
      </w:r>
      <w:r w:rsidRPr="00FB1855">
        <w:rPr>
          <w:rFonts w:eastAsia="Book Antiqua"/>
          <w:b/>
          <w:bCs/>
        </w:rPr>
        <w:t xml:space="preserve"> con le risorse umane, strumentali e finanziarie disponibili a legislazione vigente.</w:t>
      </w:r>
    </w:p>
    <w:p w:rsidR="00FB1855" w:rsidRPr="00987C41" w:rsidP="00987C41" w14:paraId="707BF009" w14:textId="77777777">
      <w:pPr>
        <w:spacing w:after="120"/>
        <w:jc w:val="both"/>
      </w:pPr>
    </w:p>
    <w:p w:rsidR="358174ED" w:rsidRPr="00987C41" w:rsidP="00987C41" w14:paraId="62FA3ED2" w14:textId="16C7A21A">
      <w:pPr>
        <w:spacing w:after="120"/>
        <w:jc w:val="both"/>
        <w:rPr>
          <w:rFonts w:eastAsia="Aptos"/>
          <w:sz w:val="22"/>
          <w:szCs w:val="22"/>
        </w:rPr>
      </w:pPr>
    </w:p>
    <w:p w:rsidR="1165D19C" w:rsidRPr="00465FBC" w:rsidP="00987C41" w14:paraId="5DD89CDF" w14:textId="6757B7FC">
      <w:pPr>
        <w:pStyle w:val="Heading3"/>
        <w:spacing w:before="0" w:after="120"/>
        <w:rPr>
          <w:rFonts w:eastAsia="Times New Roman" w:cs="Times New Roman"/>
          <w:color w:val="000000" w:themeColor="text1"/>
        </w:rPr>
      </w:pPr>
      <w:bookmarkStart w:id="71" w:name="_Toc220077567"/>
      <w:r w:rsidRPr="00987C41">
        <w:rPr>
          <w:rFonts w:eastAsia="Times New Roman" w:cs="Times New Roman"/>
          <w:color w:val="000000" w:themeColor="text1"/>
        </w:rPr>
        <w:t xml:space="preserve">ART. </w:t>
      </w:r>
      <w:r w:rsidR="00044DC0">
        <w:t>2</w:t>
      </w:r>
      <w:r w:rsidR="00B87A48">
        <w:t>4</w:t>
      </w:r>
      <w:r w:rsidR="00465FBC">
        <w:rPr>
          <w:b w:val="0"/>
        </w:rPr>
        <w:t xml:space="preserve">                                                                                                                                                   </w:t>
      </w:r>
      <w:r w:rsidR="00465FBC">
        <w:rPr>
          <w:b w:val="0"/>
        </w:rPr>
        <w:t xml:space="preserve">   </w:t>
      </w:r>
      <w:r w:rsidRPr="00987C41">
        <w:rPr>
          <w:rFonts w:eastAsia="Times New Roman" w:cs="Times New Roman"/>
          <w:color w:val="000000" w:themeColor="text1"/>
        </w:rPr>
        <w:t>(</w:t>
      </w:r>
      <w:r w:rsidRPr="00987C41">
        <w:rPr>
          <w:rFonts w:eastAsia="Times New Roman" w:cs="Times New Roman"/>
          <w:color w:val="000000" w:themeColor="text1"/>
        </w:rPr>
        <w:t xml:space="preserve">Disposizioni </w:t>
      </w:r>
      <w:r w:rsidRPr="1C3B12C6" w:rsidR="10796E9B">
        <w:rPr>
          <w:rFonts w:eastAsia="Times New Roman" w:cs="Times New Roman"/>
          <w:color w:val="000000" w:themeColor="text1"/>
        </w:rPr>
        <w:t>in materia</w:t>
      </w:r>
      <w:r w:rsidRPr="1C3B12C6" w:rsidR="12646E8E">
        <w:rPr>
          <w:rFonts w:eastAsia="Times New Roman" w:cs="Times New Roman"/>
          <w:color w:val="000000" w:themeColor="text1"/>
        </w:rPr>
        <w:t xml:space="preserve"> </w:t>
      </w:r>
      <w:r w:rsidRPr="00540742">
        <w:rPr>
          <w:rFonts w:eastAsia="Times New Roman" w:cs="Times New Roman"/>
          <w:color w:val="000000" w:themeColor="text1"/>
        </w:rPr>
        <w:t xml:space="preserve">di </w:t>
      </w:r>
      <w:r w:rsidRPr="00987C41">
        <w:rPr>
          <w:rFonts w:eastAsia="Times New Roman" w:cs="Times New Roman"/>
          <w:color w:val="000000" w:themeColor="text1"/>
        </w:rPr>
        <w:t>investimenti ferroviari</w:t>
      </w:r>
      <w:r w:rsidR="005C5327">
        <w:rPr>
          <w:rFonts w:eastAsia="Times New Roman" w:cs="Times New Roman"/>
          <w:color w:val="000000" w:themeColor="text1"/>
        </w:rPr>
        <w:t xml:space="preserve"> </w:t>
      </w:r>
      <w:r w:rsidRPr="005C5327" w:rsidR="005C5327">
        <w:rPr>
          <w:rStyle w:val="Titolo3Carattere"/>
          <w:b/>
        </w:rPr>
        <w:t>relativi alle infrastrutture ferroviarie di cui alla Missione 3 – Componente 1 del PNRR</w:t>
      </w:r>
      <w:r w:rsidRPr="00987C41">
        <w:rPr>
          <w:rFonts w:eastAsia="Times New Roman" w:cs="Times New Roman"/>
          <w:color w:val="000000" w:themeColor="text1"/>
        </w:rPr>
        <w:t>)</w:t>
      </w:r>
      <w:bookmarkEnd w:id="71"/>
    </w:p>
    <w:p w:rsidR="00DB33C0" w:rsidRPr="00987C41" w:rsidP="00987C41" w14:paraId="383ECAC3" w14:textId="572EE034">
      <w:pPr>
        <w:spacing w:after="120"/>
        <w:jc w:val="both"/>
        <w:rPr>
          <w:rFonts w:eastAsiaTheme="minorHAnsi"/>
          <w:kern w:val="2"/>
          <w:lang w:eastAsia="en-US"/>
          <w14:ligatures w14:val="standardContextual"/>
        </w:rPr>
      </w:pPr>
      <w:r w:rsidRPr="00987C41">
        <w:t xml:space="preserve">La </w:t>
      </w:r>
      <w:r w:rsidRPr="00987C41" w:rsidR="2E4B7912">
        <w:t>norma</w:t>
      </w:r>
      <w:r w:rsidRPr="00987C41">
        <w:t xml:space="preserve"> in esame è volta ad introdurre disposizioni di semplificazione in materia di investimenti ferroviari.</w:t>
      </w:r>
      <w:r w:rsidRPr="00987C41" w:rsidR="00646CA6">
        <w:t xml:space="preserve"> </w:t>
      </w:r>
      <w:r w:rsidRPr="00987C41" w:rsidR="00034C80">
        <w:rPr>
          <w:rFonts w:eastAsiaTheme="minorHAnsi"/>
          <w:kern w:val="2"/>
          <w:lang w:eastAsia="en-US"/>
          <w14:ligatures w14:val="standardContextual"/>
        </w:rPr>
        <w:t xml:space="preserve">Allo scopo di garantire la prosecuzione degli interventi ferroviari, </w:t>
      </w:r>
      <w:r w:rsidR="005C5327">
        <w:rPr>
          <w:rFonts w:eastAsiaTheme="minorHAnsi"/>
          <w:kern w:val="2"/>
          <w:lang w:eastAsia="en-US"/>
          <w14:ligatures w14:val="standardContextual"/>
        </w:rPr>
        <w:t>i</w:t>
      </w:r>
      <w:r w:rsidRPr="00987C41" w:rsidR="00034C80">
        <w:rPr>
          <w:rFonts w:eastAsiaTheme="minorHAnsi"/>
          <w:kern w:val="2"/>
          <w:lang w:eastAsia="en-US"/>
          <w14:ligatures w14:val="standardContextual"/>
        </w:rPr>
        <w:t>l</w:t>
      </w:r>
      <w:r w:rsidRPr="00987C41">
        <w:rPr>
          <w:rFonts w:eastAsiaTheme="minorHAnsi"/>
          <w:b/>
          <w:kern w:val="2"/>
          <w:u w:val="single"/>
          <w:lang w:eastAsia="en-US"/>
          <w14:ligatures w14:val="standardContextual"/>
        </w:rPr>
        <w:t xml:space="preserve"> comma 1</w:t>
      </w:r>
      <w:r w:rsidRPr="00987C41">
        <w:rPr>
          <w:rFonts w:eastAsiaTheme="minorHAnsi"/>
          <w:kern w:val="2"/>
          <w:lang w:eastAsia="en-US"/>
          <w14:ligatures w14:val="standardContextual"/>
        </w:rPr>
        <w:t xml:space="preserve"> autorizza, fino al 30 marzo 2026, </w:t>
      </w:r>
      <w:r w:rsidR="00995D65">
        <w:rPr>
          <w:rFonts w:eastAsiaTheme="minorHAnsi"/>
          <w:kern w:val="2"/>
          <w:lang w:eastAsia="en-US"/>
          <w14:ligatures w14:val="standardContextual"/>
        </w:rPr>
        <w:t xml:space="preserve">la società </w:t>
      </w:r>
      <w:r w:rsidRPr="00987C41">
        <w:rPr>
          <w:rFonts w:eastAsiaTheme="minorHAnsi"/>
          <w:kern w:val="2"/>
          <w:lang w:eastAsia="en-US"/>
          <w14:ligatures w14:val="standardContextual"/>
        </w:rPr>
        <w:t>Rete Ferroviaria Italiana S.p.A. (RFI) a erogare ai soggetti affidatari una anticipazione provvisoria fino al 10 per cento dell’ammontare delle riserve già iscritte in contabilità alla data di entrata in vigore della legge, per le quali il collegio consultivo tecnico non si sia ancora espresso.</w:t>
      </w:r>
      <w:r w:rsidRPr="00987C41" w:rsidR="00BB7F18">
        <w:rPr>
          <w:rFonts w:eastAsiaTheme="minorHAnsi"/>
          <w:kern w:val="2"/>
          <w:lang w:eastAsia="en-US"/>
          <w14:ligatures w14:val="standardContextual"/>
        </w:rPr>
        <w:t xml:space="preserve"> </w:t>
      </w:r>
      <w:r w:rsidRPr="00987C41">
        <w:rPr>
          <w:rFonts w:eastAsiaTheme="minorHAnsi"/>
          <w:kern w:val="2"/>
          <w:lang w:eastAsia="en-US"/>
          <w14:ligatures w14:val="standardContextual"/>
        </w:rPr>
        <w:t>L’anticipazione è concessa:</w:t>
      </w:r>
    </w:p>
    <w:p w:rsidR="00DB33C0" w:rsidRPr="00987C41" w:rsidP="00987C41" w14:paraId="5BF56983" w14:textId="77777777">
      <w:pPr>
        <w:tabs>
          <w:tab w:val="left" w:pos="284"/>
        </w:tabs>
        <w:spacing w:after="120"/>
        <w:jc w:val="both"/>
        <w:rPr>
          <w:rFonts w:eastAsiaTheme="minorHAnsi"/>
          <w:kern w:val="2"/>
          <w:lang w:eastAsia="en-US"/>
          <w14:ligatures w14:val="standardContextual"/>
        </w:rPr>
      </w:pPr>
      <w:r w:rsidRPr="00987C41">
        <w:rPr>
          <w:rFonts w:eastAsiaTheme="minorHAnsi"/>
          <w:kern w:val="2"/>
          <w:lang w:eastAsia="en-US"/>
          <w14:ligatures w14:val="standardContextual"/>
        </w:rPr>
        <w:t>•</w:t>
      </w:r>
      <w:r w:rsidRPr="00987C41">
        <w:rPr>
          <w:rFonts w:eastAsiaTheme="minorHAnsi"/>
          <w:kern w:val="2"/>
          <w:lang w:eastAsia="en-US"/>
          <w14:ligatures w14:val="standardContextual"/>
        </w:rPr>
        <w:tab/>
        <w:t>nel limite delle risorse finanziarie disponibili a legislazione vigente per ciascun intervento, in coerenza con le modalità di gestione delle risorse nazionali e comunitarie previste dal Contratto di Programma 2022–2026 – parte investimenti;</w:t>
      </w:r>
    </w:p>
    <w:p w:rsidR="00DB33C0" w:rsidRPr="00987C41" w:rsidP="00987C41" w14:paraId="70DDBC26" w14:textId="77777777">
      <w:pPr>
        <w:tabs>
          <w:tab w:val="left" w:pos="284"/>
        </w:tabs>
        <w:spacing w:after="120"/>
        <w:jc w:val="both"/>
        <w:rPr>
          <w:rFonts w:eastAsiaTheme="minorHAnsi"/>
          <w:color w:val="FF0000"/>
          <w:kern w:val="2"/>
          <w:lang w:eastAsia="en-US"/>
          <w14:ligatures w14:val="standardContextual"/>
        </w:rPr>
      </w:pPr>
      <w:r w:rsidRPr="00987C41">
        <w:rPr>
          <w:rFonts w:eastAsiaTheme="minorHAnsi"/>
          <w:kern w:val="2"/>
          <w:lang w:eastAsia="en-US"/>
          <w14:ligatures w14:val="standardContextual"/>
        </w:rPr>
        <w:t>•</w:t>
      </w:r>
      <w:r w:rsidRPr="00987C41">
        <w:rPr>
          <w:rFonts w:eastAsiaTheme="minorHAnsi"/>
          <w:kern w:val="2"/>
          <w:lang w:eastAsia="en-US"/>
          <w14:ligatures w14:val="standardContextual"/>
        </w:rPr>
        <w:tab/>
        <w:t>a titolo provvisorio, previa presentazione da parte dell’affidatario di idonea garanzia bancaria o assicurativa a prima richiesta, di importo pari alla somma anticipata</w:t>
      </w:r>
      <w:r w:rsidRPr="00987C41">
        <w:rPr>
          <w:rFonts w:eastAsiaTheme="minorHAnsi"/>
          <w:kern w:val="2"/>
          <w:sz w:val="22"/>
          <w:szCs w:val="22"/>
          <w:lang w:eastAsia="en-US"/>
          <w14:ligatures w14:val="standardContextual"/>
        </w:rPr>
        <w:t xml:space="preserve"> </w:t>
      </w:r>
      <w:r w:rsidRPr="00987C41">
        <w:rPr>
          <w:rFonts w:eastAsiaTheme="minorHAnsi"/>
          <w:kern w:val="2"/>
          <w:lang w:eastAsia="en-US"/>
          <w14:ligatures w14:val="standardContextual"/>
        </w:rPr>
        <w:t>maggiorato di interessi legali per il periodo di 270 giorni</w:t>
      </w:r>
      <w:r w:rsidRPr="00987C41">
        <w:rPr>
          <w:rFonts w:eastAsiaTheme="minorHAnsi"/>
          <w:color w:val="FF0000"/>
          <w:kern w:val="2"/>
          <w:lang w:eastAsia="en-US"/>
          <w14:ligatures w14:val="standardContextual"/>
        </w:rPr>
        <w:t>.</w:t>
      </w:r>
    </w:p>
    <w:p w:rsidR="00DB33C0" w:rsidRPr="00987C41" w:rsidP="00987C41" w14:paraId="0587FDC9" w14:textId="4F7922B2">
      <w:pPr>
        <w:spacing w:after="120"/>
        <w:jc w:val="both"/>
        <w:rPr>
          <w:rFonts w:eastAsiaTheme="minorHAnsi"/>
          <w:kern w:val="2"/>
          <w:lang w:eastAsia="en-US"/>
          <w14:ligatures w14:val="standardContextual"/>
        </w:rPr>
      </w:pPr>
      <w:r w:rsidRPr="00987C41">
        <w:rPr>
          <w:rFonts w:eastAsiaTheme="minorHAnsi"/>
          <w:kern w:val="2"/>
          <w:lang w:eastAsia="en-US"/>
          <w14:ligatures w14:val="standardContextual"/>
        </w:rPr>
        <w:t>Dal punto di vista procedura</w:t>
      </w:r>
      <w:r w:rsidRPr="00987C41" w:rsidR="002845AA">
        <w:rPr>
          <w:rFonts w:eastAsiaTheme="minorHAnsi"/>
          <w:kern w:val="2"/>
          <w:lang w:eastAsia="en-US"/>
          <w14:ligatures w14:val="standardContextual"/>
        </w:rPr>
        <w:t>le</w:t>
      </w:r>
      <w:r w:rsidRPr="00987C41">
        <w:rPr>
          <w:rFonts w:eastAsiaTheme="minorHAnsi"/>
          <w:kern w:val="2"/>
          <w:lang w:eastAsia="en-US"/>
          <w14:ligatures w14:val="standardContextual"/>
        </w:rPr>
        <w:t xml:space="preserve">, la norma prevede che l’erogazione dell’importo è subordinata alla costituzione da parte dell’affidatario di idonea garanzia bancaria o assicurativa a prima domanda di valore pari all’importo erogato maggiorato di interessi legali per il periodo di 270 giorni, da escutere nel caso di inadempimento all’obbligo di restituzione delle somme eventualmente risultanti non dovute. Entro 270 giorni dall’avvenuta erogazione del </w:t>
      </w:r>
      <w:r w:rsidRPr="00987C41">
        <w:rPr>
          <w:rFonts w:eastAsiaTheme="minorHAnsi"/>
          <w:kern w:val="2"/>
          <w:lang w:eastAsia="en-US"/>
          <w14:ligatures w14:val="standardContextual"/>
        </w:rPr>
        <w:t>predetto</w:t>
      </w:r>
      <w:r w:rsidRPr="00987C41">
        <w:rPr>
          <w:rFonts w:eastAsiaTheme="minorHAnsi"/>
          <w:kern w:val="2"/>
          <w:lang w:eastAsia="en-US"/>
          <w14:ligatures w14:val="standardContextual"/>
        </w:rPr>
        <w:t xml:space="preserve"> importo, l’Affidatario sottopone, anche in modo frazionato, le riserve al collegio consultivo tecnico che si esprime entro il termine di cui all’articolo 4 dell’allegato V.2 al decreto legislativo 31 marzo 2023 n. 36. Decorso inutilmente il termine di 270 giorni, l’affidatario restituisce a RFI S.p.A. senza ritardo, e comunque entro il termine di quindici giorni, l’importo ricevuto, in relazione alle riserve non sottoposte al collegio consultivo tecnico entro il </w:t>
      </w:r>
      <w:r w:rsidRPr="00987C41">
        <w:rPr>
          <w:rFonts w:eastAsiaTheme="minorHAnsi"/>
          <w:kern w:val="2"/>
          <w:lang w:eastAsia="en-US"/>
          <w14:ligatures w14:val="standardContextual"/>
        </w:rPr>
        <w:t>predetto</w:t>
      </w:r>
      <w:r w:rsidRPr="00987C41">
        <w:rPr>
          <w:rFonts w:eastAsiaTheme="minorHAnsi"/>
          <w:kern w:val="2"/>
          <w:lang w:eastAsia="en-US"/>
          <w14:ligatures w14:val="standardContextual"/>
        </w:rPr>
        <w:t xml:space="preserve"> termine, maggiorato di interessi legali. In caso di mancata restituzione delle somme RFI S.p.A. è autorizzata a escutere la garanzia. Sulla base delle determinazioni assunte dal collegio consultivo tecnico, l’importo erogato è soggetto a conguaglio, in aumento o in diminuzione.</w:t>
      </w:r>
    </w:p>
    <w:p w:rsidR="00DB33C0" w:rsidRPr="00987C41" w:rsidP="00987C41" w14:paraId="4D1FC4C9" w14:textId="77777777">
      <w:pPr>
        <w:spacing w:after="120"/>
        <w:jc w:val="both"/>
      </w:pPr>
      <w:r w:rsidRPr="00987C41">
        <w:t>Con particolare riferimento ai profili di carattere finanziario, si rappresenta che la disposizione in esame non comporta nuovi o maggiori oneri a carico della finanza pubblica. Al riguardo, si evidenzia che gli importi a titolo di anticipazione provvisoria potranno essere erogati da RFI S.p.A. nel limite delle risorse finanziarie disponibili a legislazione vigente, tenuto conto delle modalità di gestione delle risorse comunitarie e nazionali previste dal contratto di programma 2022-2026 - parte investimenti e delle risorse disponibili per ciascun intervento.</w:t>
      </w:r>
    </w:p>
    <w:p w:rsidR="00DB33C0" w:rsidRPr="00987C41" w:rsidP="00987C41" w14:paraId="56CD38C5" w14:textId="77777777">
      <w:pPr>
        <w:spacing w:after="120"/>
        <w:jc w:val="both"/>
      </w:pPr>
      <w:r w:rsidRPr="00987C41">
        <w:t>Si evidenzia, dunque, che trattasi di disposizione avente neutralità finanziaria in quanto:</w:t>
      </w:r>
    </w:p>
    <w:p w:rsidR="00DB33C0" w:rsidRPr="00987C41" w:rsidP="00A42770" w14:paraId="1A07D109" w14:textId="77777777">
      <w:pPr>
        <w:numPr>
          <w:ilvl w:val="0"/>
          <w:numId w:val="14"/>
        </w:numPr>
        <w:spacing w:after="120"/>
        <w:ind w:left="426"/>
        <w:jc w:val="both"/>
      </w:pPr>
      <w:r w:rsidRPr="00987C41">
        <w:t>l’anticipazione disposta da RFI non comporta nuovi o maggiori oneri a carico della finanza pubblica, in quanto le erogazioni avvengono entro il limite delle risorse già stanziate a legislazione vigente per ciascun intervento ovvero nel contratto di programma;</w:t>
      </w:r>
    </w:p>
    <w:p w:rsidR="00DB33C0" w:rsidRPr="00987C41" w:rsidP="00A42770" w14:paraId="38EAF639" w14:textId="77777777">
      <w:pPr>
        <w:numPr>
          <w:ilvl w:val="0"/>
          <w:numId w:val="14"/>
        </w:numPr>
        <w:spacing w:after="120"/>
        <w:ind w:left="426"/>
        <w:jc w:val="both"/>
      </w:pPr>
      <w:r w:rsidRPr="00987C41">
        <w:t>l’importo eventualmente anticipato ha natura provvisoria e potrà essere oggetto di restituzione o conguaglio in base agli esiti delle determinazioni del Collegio consultivo tecnico;</w:t>
      </w:r>
    </w:p>
    <w:p w:rsidR="00DB33C0" w:rsidRPr="00987C41" w:rsidP="00A42770" w14:paraId="28F4CC23" w14:textId="77777777">
      <w:pPr>
        <w:numPr>
          <w:ilvl w:val="0"/>
          <w:numId w:val="14"/>
        </w:numPr>
        <w:spacing w:after="120"/>
        <w:ind w:left="426"/>
        <w:jc w:val="both"/>
      </w:pPr>
      <w:r w:rsidRPr="00987C41">
        <w:t>le somme non giustificate verranno recuperate mediante restituzione diretta o escussione delle garanzie.</w:t>
      </w:r>
    </w:p>
    <w:p w:rsidR="00DB33C0" w:rsidRPr="00987C41" w:rsidP="00987C41" w14:paraId="524835FA" w14:textId="77777777">
      <w:pPr>
        <w:spacing w:after="120"/>
        <w:jc w:val="both"/>
        <w:rPr>
          <w:rFonts w:eastAsiaTheme="minorHAnsi"/>
          <w:kern w:val="2"/>
          <w:lang w:eastAsia="en-US"/>
          <w14:ligatures w14:val="standardContextual"/>
        </w:rPr>
      </w:pPr>
      <w:r w:rsidRPr="00987C41">
        <w:rPr>
          <w:rFonts w:eastAsiaTheme="minorHAnsi"/>
          <w:kern w:val="2"/>
          <w:lang w:eastAsia="en-US"/>
          <w14:ligatures w14:val="standardContextual"/>
        </w:rPr>
        <w:t>In relazione all’ambito di applicazione della norma, si precisa che gli interventi per cui è possibile chiedere l’acconto sulle riserve sono solo quelli per i quali è già prevista l’obbligatoria presenza del collegio ai sensi dell’articolo 216 del Codice dei contratti e, pertanto, non sussiste, alcun ampliamento delle ipotesi di obbligatorietà dell’istituzione di collegi consultivi. Conseguentemente, in relazione ai compensi dei membri dei collegi consultivi, la disposizione ha carattere di neutralità finanziaria.</w:t>
      </w:r>
    </w:p>
    <w:p w:rsidR="00DB33C0" w:rsidRPr="00987C41" w:rsidP="00987C41" w14:paraId="374B9ACD" w14:textId="77777777">
      <w:pPr>
        <w:spacing w:after="120"/>
        <w:jc w:val="both"/>
        <w:rPr>
          <w:rFonts w:eastAsiaTheme="minorHAnsi"/>
          <w:kern w:val="2"/>
          <w:lang w:eastAsia="en-US"/>
          <w14:ligatures w14:val="standardContextual"/>
        </w:rPr>
      </w:pPr>
      <w:r w:rsidRPr="00987C41">
        <w:rPr>
          <w:rFonts w:eastAsiaTheme="minorHAnsi"/>
          <w:kern w:val="2"/>
          <w:lang w:eastAsia="en-US"/>
          <w14:ligatures w14:val="standardContextual"/>
        </w:rPr>
        <w:t>Si chiarisce, inoltre, nella norma che le determinazioni del collegio consultivo tecnico, acquisiscono valore di lodo contrattuale, escludendo, pertanto, la possibilità di eventuali accordi bonari che determinano possibili costi.</w:t>
      </w:r>
    </w:p>
    <w:p w:rsidR="00DB33C0" w:rsidRPr="00987C41" w:rsidP="00987C41" w14:paraId="6A7E8249" w14:textId="77777777">
      <w:pPr>
        <w:spacing w:after="120"/>
        <w:jc w:val="both"/>
        <w:rPr>
          <w:rFonts w:eastAsiaTheme="minorHAnsi"/>
          <w:kern w:val="2"/>
          <w:lang w:eastAsia="en-US"/>
          <w14:ligatures w14:val="standardContextual"/>
        </w:rPr>
      </w:pPr>
      <w:r w:rsidRPr="00987C41">
        <w:rPr>
          <w:rFonts w:eastAsiaTheme="minorHAnsi"/>
          <w:kern w:val="2"/>
          <w:lang w:eastAsia="en-US"/>
          <w14:ligatures w14:val="standardContextual"/>
        </w:rPr>
        <w:t>Con specifico riferimento ai profili finanziari, in considerazione del fatto che la norma condiziona l’erogazione dell’anticipazione a riserve già poste in relazione a lavori già contabilizzati e, pertanto, le stesse non sono apposte per il mero ritardo nel pagamento dei lavori come previsto nel contratto di appalto, si precisa che l’erogazione dell’anticipazione provvisoria introdotta dalla proposta di cui al comma 1 non contrasta con le esigenze finanziarie legate all’avanzamento dell’opera secondo le contabilizzazioni dei lavori effettuati e da effettuare. Ciò in quanto la procedura introdotta si configura come una misura di gestione di flessibilità finanziaria interna ai quadri economici delle opere e del contratto di programma e non determina effetti negativi sul saldo netto da finanziare o sull’indebitamento netto della pubblica amministrazione.</w:t>
      </w:r>
    </w:p>
    <w:p w:rsidR="00AF6445" w:rsidRPr="00BF63AD" w:rsidP="00193727" w14:paraId="6323B7FA" w14:textId="4D2EB6A0">
      <w:pPr>
        <w:spacing w:after="120"/>
        <w:jc w:val="both"/>
      </w:pPr>
      <w:r w:rsidRPr="00987C41">
        <w:t>Il</w:t>
      </w:r>
      <w:r w:rsidRPr="00987C41">
        <w:rPr>
          <w:b/>
          <w:bCs/>
        </w:rPr>
        <w:t xml:space="preserve"> </w:t>
      </w:r>
      <w:r w:rsidRPr="00987C41">
        <w:rPr>
          <w:b/>
          <w:u w:val="single"/>
        </w:rPr>
        <w:t xml:space="preserve">comma </w:t>
      </w:r>
      <w:r w:rsidRPr="00BF63AD">
        <w:rPr>
          <w:b/>
          <w:u w:val="single"/>
        </w:rPr>
        <w:t>2</w:t>
      </w:r>
      <w:r w:rsidRPr="00BF63AD">
        <w:t xml:space="preserve"> </w:t>
      </w:r>
      <w:r w:rsidRPr="00BF63AD" w:rsidR="000C7BB8">
        <w:rPr>
          <w:b/>
          <w:bCs/>
        </w:rPr>
        <w:t>apporta modifiche al decreto-legge n. 77 del 2021</w:t>
      </w:r>
      <w:r w:rsidRPr="00BF63AD" w:rsidR="000C7BB8">
        <w:t>.</w:t>
      </w:r>
    </w:p>
    <w:p w:rsidR="00193727" w:rsidRPr="00BF63AD" w:rsidP="00193727" w14:paraId="655DD9A2" w14:textId="05476988">
      <w:pPr>
        <w:spacing w:after="120"/>
        <w:jc w:val="both"/>
      </w:pPr>
      <w:r w:rsidRPr="00BF63AD">
        <w:t>I</w:t>
      </w:r>
      <w:r w:rsidRPr="00BF63AD" w:rsidR="00985DBE">
        <w:t>n particolare</w:t>
      </w:r>
      <w:r w:rsidRPr="00BF63AD">
        <w:t>,</w:t>
      </w:r>
      <w:r w:rsidRPr="00BF63AD" w:rsidR="00985DBE">
        <w:t xml:space="preserve"> </w:t>
      </w:r>
      <w:r w:rsidRPr="00BF63AD" w:rsidR="00014C50">
        <w:t>la</w:t>
      </w:r>
      <w:r w:rsidRPr="00BF63AD" w:rsidR="00AF6B5E">
        <w:rPr>
          <w:b/>
          <w:u w:val="single"/>
        </w:rPr>
        <w:t xml:space="preserve"> lettera a) </w:t>
      </w:r>
      <w:r w:rsidRPr="00BF63AD">
        <w:t xml:space="preserve"> è volta a consentire a RFI, in qualità di soggetto attuatore, di delegare, in tutto o in parte, il potere di esproprio relativamente agli interventi infrastrutturali ferroviari finanziati con le risorse previste dal PNRR, dal PNC o dai programmi cofinanziati dai fondi strutturali dell’Unione europea</w:t>
      </w:r>
      <w:r w:rsidRPr="00BF63AD" w:rsidR="00E9429D">
        <w:t>,</w:t>
      </w:r>
      <w:r w:rsidRPr="00BF63AD">
        <w:t xml:space="preserve"> a una società collegata al gestore stesso o appartenente al gruppo FS, purché, per maggiore tutela delle parti, la delega risulti conferita nell’ambito di un apposito atto convenzionale i cui estremi devono essere specificati in ogni atto del procedimento espropriativo.</w:t>
      </w:r>
    </w:p>
    <w:p w:rsidR="00193727" w:rsidRPr="00BF63AD" w:rsidP="00193727" w14:paraId="5C7309B2" w14:textId="77777777">
      <w:pPr>
        <w:spacing w:after="120"/>
        <w:jc w:val="both"/>
      </w:pPr>
      <w:r w:rsidRPr="00BF63AD">
        <w:rPr>
          <w:b/>
          <w:bCs/>
        </w:rPr>
        <w:t>Trattasi di disposizione avente carattere ordinamentale, dalla quale non derivano, pertanto, nuovi o maggiori oneri a carico della finanza pubblica.</w:t>
      </w:r>
    </w:p>
    <w:p w:rsidR="48CE9D39" w:rsidRPr="00987C41" w:rsidP="00987C41" w14:paraId="2F216314" w14:textId="0008D698">
      <w:pPr>
        <w:spacing w:after="120"/>
        <w:jc w:val="both"/>
      </w:pPr>
      <w:r w:rsidRPr="00BF63AD">
        <w:rPr>
          <w:b/>
          <w:u w:val="single"/>
        </w:rPr>
        <w:t xml:space="preserve">La </w:t>
      </w:r>
      <w:r w:rsidRPr="00BF63AD" w:rsidR="000B5F3F">
        <w:rPr>
          <w:b/>
          <w:u w:val="single"/>
        </w:rPr>
        <w:t>lettera b)</w:t>
      </w:r>
      <w:r w:rsidRPr="00BF63AD" w:rsidR="00BA367D">
        <w:rPr>
          <w:b/>
          <w:u w:val="single"/>
        </w:rPr>
        <w:t xml:space="preserve"> del comma 2</w:t>
      </w:r>
      <w:r w:rsidRPr="00BF63AD" w:rsidR="000B5F3F">
        <w:rPr>
          <w:b/>
          <w:u w:val="single"/>
        </w:rPr>
        <w:t xml:space="preserve"> </w:t>
      </w:r>
      <w:r w:rsidRPr="00BF63AD">
        <w:t xml:space="preserve">attribuisce a RFI S.p.A. il potere di esproprio delle aree individuate quali siti di conferimento. Per tale finalità, si prevede che il progetto dell’opera ferroviaria includa anche gli interventi di </w:t>
      </w:r>
      <w:r w:rsidRPr="00BF63AD">
        <w:t>riambientalizzazione</w:t>
      </w:r>
      <w:r w:rsidRPr="00BF63AD">
        <w:t xml:space="preserve"> delle suddette aree, individuati d’intesa con il Comune e la Regione interessata, al fine di acquisire</w:t>
      </w:r>
      <w:r w:rsidRPr="00987C41">
        <w:t>, nell’ambito dell’</w:t>
      </w:r>
      <w:r w:rsidRPr="00987C41">
        <w:rPr>
          <w:i/>
          <w:iCs/>
        </w:rPr>
        <w:t>iter</w:t>
      </w:r>
      <w:r w:rsidRPr="00987C41">
        <w:t xml:space="preserve"> autorizzativo del progetto ferroviario, anche le autorizzazioni occorrenti alla realizzazione del progetto di </w:t>
      </w:r>
      <w:r w:rsidRPr="00987C41">
        <w:t>riambientalizzazione</w:t>
      </w:r>
      <w:r w:rsidRPr="00987C41">
        <w:t xml:space="preserve">, ivi incluse le valutazioni ambientali da rilasciare da parte degli organi competenti. </w:t>
      </w:r>
    </w:p>
    <w:p w:rsidR="48CE9D39" w:rsidRPr="00987C41" w:rsidP="00987C41" w14:paraId="0FE5C665" w14:textId="5C192BFA">
      <w:pPr>
        <w:spacing w:after="120"/>
        <w:jc w:val="both"/>
      </w:pPr>
      <w:r w:rsidRPr="00987C41">
        <w:t xml:space="preserve">La disposizione in argomento prevede, altresì, l’attribuzione dell’utilizzo, a titolo gratuito, delle aree e delle opere di </w:t>
      </w:r>
      <w:r w:rsidRPr="00987C41">
        <w:t>riambientalizzazione</w:t>
      </w:r>
      <w:r w:rsidRPr="00987C41">
        <w:t xml:space="preserve"> realizzate da RFI S.p.A</w:t>
      </w:r>
      <w:r w:rsidR="00933935">
        <w:t>.</w:t>
      </w:r>
      <w:r w:rsidRPr="00987C41">
        <w:t xml:space="preserve"> in favore del Comune in cui è localizzato l’intervento e le procedure ivi previste si applicheranno anche con riferimento alle infrastrutture ferroviarie i cui progetti siano stati già approvati alla data di entrata in vigore della disposizione stessa, per le quali gli interventi di </w:t>
      </w:r>
      <w:r w:rsidRPr="00987C41">
        <w:t>riambientalizzazione</w:t>
      </w:r>
      <w:r w:rsidRPr="00987C41">
        <w:t xml:space="preserve"> delle aree destinate al conferimento delle terre e rocce da scavo costituiscono variante al progetto approvato.</w:t>
      </w:r>
    </w:p>
    <w:p w:rsidR="005E5E03" w:rsidRPr="00BF63AD" w:rsidP="005E5E03" w14:paraId="06885277" w14:textId="1459221B">
      <w:pPr>
        <w:spacing w:after="120"/>
        <w:jc w:val="both"/>
        <w:rPr>
          <w:b/>
        </w:rPr>
      </w:pPr>
      <w:r w:rsidRPr="00AB73BC">
        <w:rPr>
          <w:b/>
          <w:color w:val="0070C0"/>
        </w:rPr>
        <w:t xml:space="preserve">In ordine </w:t>
      </w:r>
      <w:r w:rsidRPr="72CEAB6B">
        <w:rPr>
          <w:b/>
          <w:color w:val="0070C0"/>
        </w:rPr>
        <w:t xml:space="preserve">ai profili di carattere finanziario, si evidenzia che, in forza della clausola di invarianza finanziaria, dall’attuazione della disposizione in commento non derivano nuovi o maggiori oneri a carico della finanza pubblica. Invero, gli oneri relativi agli interventi di </w:t>
      </w:r>
      <w:r w:rsidRPr="72CEAB6B">
        <w:rPr>
          <w:b/>
          <w:color w:val="0070C0"/>
        </w:rPr>
        <w:t>riambientalizzazione</w:t>
      </w:r>
      <w:r w:rsidRPr="72CEAB6B">
        <w:rPr>
          <w:b/>
          <w:color w:val="0070C0"/>
        </w:rPr>
        <w:t xml:space="preserve"> delle aree soggette ad esproprio, ivi inclusi quelli per l’acquisizione delle aree stesse, saranno a carico del quadro economico relativo all’infrastruttura ferroviaria. </w:t>
      </w:r>
      <w:r w:rsidRPr="72CEAB6B">
        <w:rPr>
          <w:b/>
          <w:color w:val="0070C0"/>
        </w:rPr>
        <w:t>Le risorse necessarie per lo svolgimento di detti interventi saranno, infatti, a valere sui quadri economici delle opere alla voce di costo A “IMPORTO LAVORI”, tenuto conto che le operazioni di smaltimento dei materiali, anche di rifiuti, erano già comunque previste nel complesso delle attività da realizzare per l’esecuzione degli interventi.</w:t>
      </w:r>
    </w:p>
    <w:p w:rsidR="48CE9D39" w:rsidRPr="00987C41" w:rsidP="00987C41" w14:paraId="0DE2845D" w14:textId="58DA64A0">
      <w:pPr>
        <w:spacing w:after="120"/>
        <w:jc w:val="both"/>
      </w:pPr>
      <w:r w:rsidRPr="00987C41">
        <w:t xml:space="preserve">A ciò si aggiunga che la </w:t>
      </w:r>
      <w:r w:rsidRPr="00987C41" w:rsidR="32AA4998">
        <w:t>disposizione</w:t>
      </w:r>
      <w:r w:rsidRPr="00987C41">
        <w:t xml:space="preserve"> in esame consente di registrare una significativa riduzione dei costi attualmente sostenuti da RFI per le attività connesse al conferimento delle terre e rocce da scavo, agendo su quattro principali voci di spesa:</w:t>
      </w:r>
    </w:p>
    <w:p w:rsidR="48CE9D39" w:rsidRPr="00987C41" w:rsidP="00987C41" w14:paraId="78964514" w14:textId="6D14E413">
      <w:pPr>
        <w:spacing w:after="120"/>
        <w:jc w:val="both"/>
      </w:pPr>
      <w:r w:rsidRPr="00987C41">
        <w:rPr>
          <w:u w:val="single"/>
        </w:rPr>
        <w:t>1. Riduzione dei costi di trasporto</w:t>
      </w:r>
    </w:p>
    <w:p w:rsidR="48CE9D39" w:rsidRPr="00987C41" w:rsidP="00987C41" w14:paraId="73B0F2C1" w14:textId="3DEC8CA8">
      <w:pPr>
        <w:spacing w:after="120"/>
        <w:jc w:val="both"/>
      </w:pPr>
      <w:r w:rsidRPr="00987C41">
        <w:t>Attualmente, la localizzazione dei siti di conferimento delle terre e rocce da scavo dipende da fattori non pienamente governabili da RFI, poiché la distanza dal cantiere non dipende unicamente dalla disponibilità dei siti idonei ma anche dalla volontà dei rispettivi gestori di ricevere il materiale in questione.</w:t>
      </w:r>
      <w:r w:rsidRPr="00987C41">
        <w:br/>
        <w:t>Ciò determina, in molti casi, l’impossibilità di utilizzare siti prossimi all’area di scavo, obbligando RFI a ricorrere a siti collocati anche a notevole distanza dal cantiere.</w:t>
      </w:r>
    </w:p>
    <w:p w:rsidR="48CE9D39" w:rsidRPr="00987C41" w:rsidP="00987C41" w14:paraId="484A0338" w14:textId="1D6E334A">
      <w:pPr>
        <w:spacing w:after="120"/>
        <w:jc w:val="both"/>
      </w:pPr>
      <w:r w:rsidRPr="00987C41">
        <w:t xml:space="preserve">La disposizione normativa </w:t>
      </w:r>
      <w:r w:rsidRPr="00987C41" w:rsidR="1B49FAF7">
        <w:t>in esame</w:t>
      </w:r>
      <w:r w:rsidRPr="00987C41">
        <w:t xml:space="preserve"> consente, dunque, a RFI di acquisire i siti di destinazione del materiale tramite procedura espropriativa, prescindendo dal consenso dei gestori.</w:t>
      </w:r>
      <w:r w:rsidRPr="00987C41">
        <w:br/>
        <w:t>Ciò comport</w:t>
      </w:r>
      <w:r w:rsidRPr="00987C41" w:rsidR="2210F753">
        <w:t>a</w:t>
      </w:r>
      <w:r w:rsidRPr="00987C41">
        <w:t xml:space="preserve"> un rilevante abbattimento dei costi di trasporto, attualmente pari a 11,5 €/mc fino a 30 km, con una maggiorazione di 0,3 €/mc per ogni km aggiuntivo tra i 30 e i 200 km (in base al tariffario RFI).</w:t>
      </w:r>
    </w:p>
    <w:p w:rsidR="48CE9D39" w:rsidRPr="00987C41" w:rsidP="00987C41" w14:paraId="4D025354" w14:textId="44E0D947">
      <w:pPr>
        <w:spacing w:after="120"/>
        <w:jc w:val="both"/>
      </w:pPr>
      <w:r w:rsidRPr="00987C41">
        <w:t>Oltre al risparmio economico diretto, la riduzione delle distanze di trasporto determin</w:t>
      </w:r>
      <w:r w:rsidRPr="00987C41" w:rsidR="2356600B">
        <w:t>a</w:t>
      </w:r>
      <w:r w:rsidRPr="00987C41">
        <w:t xml:space="preserve"> una diminuzione delle emissioni di CO₂, generando un’esternalità positiva con benefici ambientali e sociali, ancorché non direttamente contabilizzati.</w:t>
      </w:r>
    </w:p>
    <w:p w:rsidR="48CE9D39" w:rsidRPr="00987C41" w:rsidP="00987C41" w14:paraId="5C9DE543" w14:textId="308EFB12">
      <w:pPr>
        <w:spacing w:after="120"/>
        <w:jc w:val="both"/>
      </w:pPr>
      <w:r w:rsidRPr="00987C41">
        <w:rPr>
          <w:u w:val="single"/>
        </w:rPr>
        <w:t>2. Riduzione dei costi di conferimento</w:t>
      </w:r>
    </w:p>
    <w:p w:rsidR="48CE9D39" w:rsidRPr="00987C41" w:rsidP="00987C41" w14:paraId="05C13D3B" w14:textId="0E2C05E3">
      <w:pPr>
        <w:spacing w:after="120"/>
        <w:jc w:val="both"/>
      </w:pPr>
      <w:r w:rsidRPr="00987C41">
        <w:t>RFI riconosce attualmente ai proprietari delle cave un corrispettivo medio di circa 13 €/mc per il conferimento delle terre e rocce da scavo, a copertura delle spese operative (abbancamento, sistemazione a verde, gestione del sito) e del margine di profitto.</w:t>
      </w:r>
    </w:p>
    <w:p w:rsidR="48CE9D39" w:rsidRPr="00987C41" w:rsidP="00987C41" w14:paraId="22FEBCFD" w14:textId="6D2D888B">
      <w:pPr>
        <w:spacing w:after="120"/>
        <w:jc w:val="both"/>
      </w:pPr>
      <w:r w:rsidRPr="00987C41">
        <w:t>L’abilitazione di RFI ad acquisire i siti tramite esproprio consente di internalizzare tali attività, affidandole direttamente all’appaltatore dei lavori.</w:t>
      </w:r>
    </w:p>
    <w:p w:rsidR="48CE9D39" w:rsidRPr="00987C41" w:rsidP="00987C41" w14:paraId="3C5682E8" w14:textId="127CEB6D">
      <w:pPr>
        <w:spacing w:after="120"/>
        <w:jc w:val="both"/>
      </w:pPr>
      <w:r w:rsidRPr="00987C41">
        <w:t>Il prezzo che RFI porrebbe a base di gara per le suddette attività sarebbe pari a circa:</w:t>
      </w:r>
    </w:p>
    <w:p w:rsidR="48CE9D39" w:rsidRPr="00987C41" w:rsidP="00A42770" w14:paraId="28A0D895" w14:textId="57F36D55">
      <w:pPr>
        <w:pStyle w:val="ListParagraph"/>
        <w:numPr>
          <w:ilvl w:val="0"/>
          <w:numId w:val="11"/>
        </w:numPr>
        <w:spacing w:after="120"/>
        <w:contextualSpacing w:val="0"/>
        <w:jc w:val="both"/>
      </w:pPr>
      <w:r w:rsidRPr="00987C41">
        <w:t>5 €/mc per abbancamento e sistemazione a verde;</w:t>
      </w:r>
    </w:p>
    <w:p w:rsidR="48CE9D39" w:rsidRPr="00987C41" w:rsidP="00A42770" w14:paraId="7F537496" w14:textId="1E58606C">
      <w:pPr>
        <w:pStyle w:val="ListParagraph"/>
        <w:numPr>
          <w:ilvl w:val="0"/>
          <w:numId w:val="11"/>
        </w:numPr>
        <w:spacing w:after="120"/>
        <w:contextualSpacing w:val="0"/>
        <w:jc w:val="both"/>
      </w:pPr>
      <w:r w:rsidRPr="00987C41">
        <w:t>3 €/mc per la gestione del sito (inclusi allestimento piste, perimetrazione, illuminazione e guardiania).</w:t>
      </w:r>
      <w:r w:rsidRPr="00987C41">
        <w:br/>
        <w:t xml:space="preserve"> Ne deriva un costo complessivo medio di circa 8 €/mc, variabile in funzione delle caratteristiche del sito, con un risparmio di circa 5 €/mc rispetto all’attualità.</w:t>
      </w:r>
    </w:p>
    <w:p w:rsidR="48CE9D39" w:rsidRPr="00987C41" w:rsidP="00987C41" w14:paraId="567A63BE" w14:textId="04BA7645">
      <w:pPr>
        <w:spacing w:after="120"/>
        <w:jc w:val="both"/>
      </w:pPr>
      <w:r w:rsidRPr="00987C41">
        <w:rPr>
          <w:u w:val="single"/>
        </w:rPr>
        <w:t>3. Eliminazione dei costi per occupazioni temporanee</w:t>
      </w:r>
    </w:p>
    <w:p w:rsidR="48CE9D39" w:rsidRPr="00987C41" w:rsidP="00987C41" w14:paraId="1DE8CAE2" w14:textId="138A9028">
      <w:pPr>
        <w:spacing w:after="120"/>
        <w:jc w:val="both"/>
      </w:pPr>
      <w:r w:rsidRPr="00987C41">
        <w:t>In assenza di disponibilità immediata dei siti di conferimento, RFI sostiene attualmente costi per l’occupazione temporanea di aree destinate allo stoccaggio provvisorio delle terre e rocce da scavo, quantificabili in almeno 1,5 €/mq.</w:t>
      </w:r>
    </w:p>
    <w:p w:rsidR="48CE9D39" w:rsidRPr="00987C41" w:rsidP="00987C41" w14:paraId="5FA750FA" w14:textId="6C6E081D">
      <w:pPr>
        <w:spacing w:after="120"/>
        <w:jc w:val="both"/>
      </w:pPr>
      <w:r w:rsidRPr="00987C41">
        <w:t>L’esproprio dei siti di conferimento renderebbe immediatamente disponibili le aree di destinazione definitiva, eliminando tali oneri.</w:t>
      </w:r>
    </w:p>
    <w:p w:rsidR="48CE9D39" w:rsidRPr="00987C41" w:rsidP="00987C41" w14:paraId="514266E1" w14:textId="752AE052">
      <w:pPr>
        <w:spacing w:after="120"/>
        <w:jc w:val="both"/>
      </w:pPr>
      <w:r w:rsidRPr="00987C41">
        <w:rPr>
          <w:u w:val="single"/>
        </w:rPr>
        <w:t>4. Eliminazione degli oneri da riconoscere all’appaltatore per indisponibilità dei siti</w:t>
      </w:r>
    </w:p>
    <w:p w:rsidR="48CE9D39" w:rsidRPr="00987C41" w:rsidP="00987C41" w14:paraId="4EB03935" w14:textId="284F925A">
      <w:pPr>
        <w:spacing w:after="120"/>
        <w:jc w:val="both"/>
      </w:pPr>
      <w:r w:rsidRPr="00987C41">
        <w:t>L’indisponibilità o il ritardo nella messa a disposizione dei siti di conferimento, per cause non imputabili a RFI, comporta rallentamenti e sospensioni delle attività di cantiere, con conseguenti richieste economiche da parte degli appaltatori (maggiori spese generali, fermo macchine, ridotta produttività della manodopera).</w:t>
      </w:r>
    </w:p>
    <w:p w:rsidR="48CE9D39" w:rsidRPr="00987C41" w:rsidP="00987C41" w14:paraId="717E138E" w14:textId="173817F5">
      <w:pPr>
        <w:spacing w:after="120"/>
        <w:jc w:val="both"/>
      </w:pPr>
      <w:r w:rsidRPr="00987C41">
        <w:t xml:space="preserve">Sotto questo profilo, la </w:t>
      </w:r>
      <w:r w:rsidRPr="00987C41" w:rsidR="2E587085">
        <w:t>disposizione in esame</w:t>
      </w:r>
      <w:r w:rsidRPr="00987C41">
        <w:t xml:space="preserve"> garantisce la certezza della disponibilità delle aree e la regolarità dell’avanzamento dei lavori.</w:t>
      </w:r>
    </w:p>
    <w:p w:rsidR="48CE9D39" w:rsidRPr="00987C41" w:rsidP="00987C41" w14:paraId="05371C8D" w14:textId="2CE4954C">
      <w:pPr>
        <w:spacing w:after="120"/>
        <w:jc w:val="both"/>
      </w:pPr>
      <w:r w:rsidRPr="00987C41">
        <w:t>Con la pr</w:t>
      </w:r>
      <w:r w:rsidRPr="00987C41" w:rsidR="3EF50E2D">
        <w:t xml:space="preserve">esente disposizione </w:t>
      </w:r>
      <w:r w:rsidRPr="00987C41">
        <w:t>l’unico onere per RFI sarebbe rappresentato dall’indennizzo erogato ai proprietari delle aree individuate quali siti di conferimento, stimato in:</w:t>
      </w:r>
    </w:p>
    <w:p w:rsidR="48CE9D39" w:rsidRPr="00987C41" w:rsidP="00A42770" w14:paraId="6BAEA4F6" w14:textId="4C26D94F">
      <w:pPr>
        <w:pStyle w:val="ListParagraph"/>
        <w:numPr>
          <w:ilvl w:val="0"/>
          <w:numId w:val="10"/>
        </w:numPr>
        <w:spacing w:after="120"/>
        <w:contextualSpacing w:val="0"/>
        <w:jc w:val="both"/>
      </w:pPr>
      <w:r w:rsidRPr="00987C41">
        <w:t>circa 5 - 10 €/mq per cave dismesse;</w:t>
      </w:r>
    </w:p>
    <w:p w:rsidR="48CE9D39" w:rsidRPr="00987C41" w:rsidP="00A42770" w14:paraId="3C25D357" w14:textId="765A5CA9">
      <w:pPr>
        <w:pStyle w:val="ListParagraph"/>
        <w:numPr>
          <w:ilvl w:val="0"/>
          <w:numId w:val="10"/>
        </w:numPr>
        <w:spacing w:after="120"/>
        <w:contextualSpacing w:val="0"/>
        <w:jc w:val="both"/>
      </w:pPr>
      <w:r w:rsidRPr="00987C41">
        <w:t>meno di 5 €/mq per aree depresse o degradate.</w:t>
      </w:r>
    </w:p>
    <w:p w:rsidR="48CE9D39" w:rsidRPr="00987C41" w:rsidP="00987C41" w14:paraId="3A7BE356" w14:textId="2E2BAFB7">
      <w:pPr>
        <w:spacing w:after="120"/>
        <w:jc w:val="both"/>
      </w:pPr>
      <w:r w:rsidRPr="00987C41">
        <w:t>Trattasi di costi che, anche nella stima più elevata, risultano ampiamente compensati dai risparmi derivanti dalle voci di spesa sopra riportate.</w:t>
      </w:r>
    </w:p>
    <w:p w:rsidR="48CE9D39" w:rsidRPr="00987C41" w:rsidP="00987C41" w14:paraId="5BCF31AF" w14:textId="3D0A0AD8">
      <w:pPr>
        <w:spacing w:after="120"/>
        <w:jc w:val="both"/>
      </w:pPr>
      <w:r w:rsidRPr="00987C41">
        <w:t xml:space="preserve">La </w:t>
      </w:r>
      <w:r w:rsidRPr="00987C41" w:rsidR="58046357">
        <w:t>disposizione</w:t>
      </w:r>
      <w:r w:rsidRPr="00987C41">
        <w:t>, dunque, non solo non determina un incremento del fabbisogno finanziario complessivo per la realizzazione degli interventi ferroviari, ma consente di conseguire:</w:t>
      </w:r>
    </w:p>
    <w:p w:rsidR="48CE9D39" w:rsidRPr="00987C41" w:rsidP="00A42770" w14:paraId="38F12CCD" w14:textId="30D48F5E">
      <w:pPr>
        <w:pStyle w:val="ListParagraph"/>
        <w:numPr>
          <w:ilvl w:val="0"/>
          <w:numId w:val="9"/>
        </w:numPr>
        <w:spacing w:after="120"/>
        <w:contextualSpacing w:val="0"/>
        <w:jc w:val="both"/>
      </w:pPr>
      <w:r w:rsidRPr="00987C41">
        <w:t>significativi risparmi sui costi complessivi di gestione delle terre e rocce da scavo;</w:t>
      </w:r>
    </w:p>
    <w:p w:rsidR="48CE9D39" w:rsidRPr="00987C41" w:rsidP="00A42770" w14:paraId="109CE681" w14:textId="1533CA65">
      <w:pPr>
        <w:pStyle w:val="ListParagraph"/>
        <w:numPr>
          <w:ilvl w:val="0"/>
          <w:numId w:val="9"/>
        </w:numPr>
        <w:spacing w:after="120"/>
        <w:contextualSpacing w:val="0"/>
        <w:jc w:val="both"/>
      </w:pPr>
      <w:r w:rsidRPr="00987C41">
        <w:t>riduzione dei tempi di realizzazione delle opere;</w:t>
      </w:r>
    </w:p>
    <w:p w:rsidR="48CE9D39" w:rsidP="00A42770" w14:paraId="4ED7D772" w14:textId="02DB8E70">
      <w:pPr>
        <w:pStyle w:val="ListParagraph"/>
        <w:numPr>
          <w:ilvl w:val="0"/>
          <w:numId w:val="9"/>
        </w:numPr>
        <w:spacing w:after="120"/>
        <w:contextualSpacing w:val="0"/>
        <w:jc w:val="both"/>
      </w:pPr>
      <w:r w:rsidRPr="00987C41">
        <w:t>una maggiore efficienza ambientale nella filiera del conferimento delle terre e rocce da scavo.</w:t>
      </w:r>
    </w:p>
    <w:p w:rsidR="001608BE" w:rsidRPr="00AB73BC" w:rsidP="001608BE" w14:paraId="2EB1B71D" w14:textId="2134EF39">
      <w:pPr>
        <w:spacing w:after="120"/>
        <w:jc w:val="both"/>
        <w:rPr>
          <w:b/>
          <w:color w:val="0070C0"/>
        </w:rPr>
      </w:pPr>
      <w:r w:rsidRPr="00AB73BC">
        <w:rPr>
          <w:b/>
          <w:color w:val="0070C0"/>
        </w:rPr>
        <w:t xml:space="preserve">Alla luce dei risparmi di spesa sopra riportati relativi alle attività connesse al conferimento delle terre e rocce da scavo, la disposizione in esame non determina nuovi o maggiori a carico della finanza pubblica, in quanto si stima che i risparmi conseguiti rispetto agli importi attualmente previsti per lo smaltimento dei materiali nell’ambito delle voci di costo </w:t>
      </w:r>
      <w:r w:rsidRPr="00AB73BC" w:rsidR="00DD3DA9">
        <w:rPr>
          <w:b/>
          <w:color w:val="0070C0"/>
        </w:rPr>
        <w:t>“</w:t>
      </w:r>
      <w:r w:rsidRPr="00AB73BC">
        <w:rPr>
          <w:b/>
          <w:color w:val="0070C0"/>
        </w:rPr>
        <w:t>IMPORTO LAVORI</w:t>
      </w:r>
      <w:r w:rsidRPr="00AB73BC" w:rsidR="00DD3DA9">
        <w:rPr>
          <w:b/>
          <w:color w:val="0070C0"/>
        </w:rPr>
        <w:t>”</w:t>
      </w:r>
      <w:r w:rsidRPr="00AB73BC">
        <w:rPr>
          <w:b/>
          <w:color w:val="0070C0"/>
        </w:rPr>
        <w:t xml:space="preserve"> saranno di consistenza tale da compensare integralmente eventuali maggiori fabbisogni sul quadro economico delle opere derivanti dagli interventi di </w:t>
      </w:r>
      <w:r w:rsidRPr="00AB73BC">
        <w:rPr>
          <w:b/>
          <w:color w:val="0070C0"/>
        </w:rPr>
        <w:t>riambientalizzazione</w:t>
      </w:r>
      <w:r w:rsidRPr="00AB73BC">
        <w:rPr>
          <w:b/>
          <w:color w:val="0070C0"/>
        </w:rPr>
        <w:t>.</w:t>
      </w:r>
    </w:p>
    <w:p w:rsidR="48CE9D39" w:rsidRPr="00987C41" w:rsidP="00987C41" w14:paraId="0A1B7287" w14:textId="3A1F18B2">
      <w:pPr>
        <w:spacing w:after="120"/>
        <w:jc w:val="both"/>
      </w:pPr>
      <w:r w:rsidRPr="00987C41">
        <w:t xml:space="preserve">Il </w:t>
      </w:r>
      <w:r w:rsidRPr="00987C41">
        <w:rPr>
          <w:b/>
          <w:u w:val="single"/>
        </w:rPr>
        <w:t>comma 3</w:t>
      </w:r>
      <w:r w:rsidRPr="00987C41">
        <w:t xml:space="preserve"> apporta modifiche all’articolo 1, comma 525, della legge 30 dicembre 2024, n. 207, al fine di specificare che i soggetti che possono usufruire delle semplificazioni amministrative e procedurali ivi previste per la realizzazione degli impianti di produzione di energia da fonti rinnovabili direttamente interconnessi alle infrastrutture di alimentazione della trazione ferroviaria sono il gestore dell’infrastruttura ferroviaria e le società ad esso collegate o appartenenti al gruppo Ferrovie dello Stato Italiane S.p.A.</w:t>
      </w:r>
    </w:p>
    <w:p w:rsidR="48CE9D39" w:rsidRPr="00987C41" w:rsidP="00987C41" w14:paraId="6E55663F" w14:textId="6210180C">
      <w:pPr>
        <w:spacing w:after="120"/>
        <w:jc w:val="both"/>
      </w:pPr>
      <w:r w:rsidRPr="00987C41">
        <w:rPr>
          <w:b/>
          <w:bCs/>
        </w:rPr>
        <w:t>Trattasi di disposizione avente carattere ordinamentale, dalla quale non derivano, pertanto, nuovi o maggiori oneri a carico della finanza pubblica.</w:t>
      </w:r>
    </w:p>
    <w:p w:rsidR="1FD8BF7B" w:rsidP="1FD8BF7B" w14:paraId="19D8DB74" w14:textId="639E3F63">
      <w:pPr>
        <w:spacing w:after="120"/>
        <w:jc w:val="both"/>
      </w:pPr>
      <w:r w:rsidRPr="008C060C">
        <w:rPr>
          <w:b/>
          <w:bCs/>
          <w:strike/>
          <w:color w:val="EE0000"/>
        </w:rPr>
        <w:t xml:space="preserve"> </w:t>
      </w:r>
    </w:p>
    <w:p w:rsidR="5484FCD2" w:rsidRPr="00465FBC" w:rsidP="00987C41" w14:paraId="7F0D775F" w14:textId="56F6BD91">
      <w:pPr>
        <w:pStyle w:val="Heading3"/>
        <w:spacing w:before="0" w:after="120"/>
        <w:rPr>
          <w:b w:val="0"/>
        </w:rPr>
      </w:pPr>
      <w:bookmarkStart w:id="72" w:name="_Toc220077568"/>
      <w:r w:rsidRPr="00987C41">
        <w:rPr>
          <w:rFonts w:eastAsia="Times New Roman" w:cs="Times New Roman"/>
          <w:color w:val="000000" w:themeColor="text1"/>
        </w:rPr>
        <w:t>ART</w:t>
      </w:r>
      <w:r w:rsidRPr="00987C41" w:rsidR="00E24EE7">
        <w:rPr>
          <w:rFonts w:eastAsia="Times New Roman" w:cs="Times New Roman"/>
          <w:color w:val="000000" w:themeColor="text1"/>
        </w:rPr>
        <w:t>.</w:t>
      </w:r>
      <w:r w:rsidRPr="00A43331" w:rsidR="59AD87EB">
        <w:t xml:space="preserve"> </w:t>
      </w:r>
      <w:r w:rsidR="00F3178C">
        <w:t>2</w:t>
      </w:r>
      <w:r w:rsidR="00B87A48">
        <w:t>5</w:t>
      </w:r>
      <w:r w:rsidR="00465FBC">
        <w:rPr>
          <w:b w:val="0"/>
        </w:rPr>
        <w:t xml:space="preserve">                                                                                                                                              </w:t>
      </w:r>
      <w:r w:rsidR="00465FBC">
        <w:rPr>
          <w:b w:val="0"/>
        </w:rPr>
        <w:t xml:space="preserve">   </w:t>
      </w:r>
      <w:r w:rsidR="002A7BCD">
        <w:t>(</w:t>
      </w:r>
      <w:r w:rsidRPr="00FF760F" w:rsidR="00C40CF3">
        <w:rPr>
          <w:rStyle w:val="Titolo3Carattere"/>
          <w:b/>
        </w:rPr>
        <w:t xml:space="preserve">Strumento finanziario </w:t>
      </w:r>
      <w:r w:rsidRPr="00FF760F" w:rsidR="008B23C9">
        <w:rPr>
          <w:rStyle w:val="Titolo3Carattere"/>
          <w:b/>
        </w:rPr>
        <w:t xml:space="preserve">nazionale </w:t>
      </w:r>
      <w:r w:rsidRPr="00FF760F" w:rsidR="45CB478B">
        <w:t xml:space="preserve">per </w:t>
      </w:r>
      <w:r w:rsidRPr="00540742" w:rsidR="45CB478B">
        <w:t xml:space="preserve">gli investimenti infrastrutturali e per la sicurezza nel settore idrico – </w:t>
      </w:r>
      <w:r w:rsidRPr="0049467F" w:rsidR="0049467F">
        <w:t>attuazione dell’Investimento 4.5 «Regime di sovvenzioni per gli investimenti in infrastrutture idriche» della Missione 2 - Componente 4 del PNRR</w:t>
      </w:r>
      <w:r w:rsidRPr="00540742" w:rsidR="45CB478B">
        <w:t>)</w:t>
      </w:r>
      <w:bookmarkEnd w:id="72"/>
    </w:p>
    <w:p w:rsidR="5484FCD2" w:rsidRPr="00CD5D15" w:rsidP="00987C41" w14:paraId="0813B77B" w14:textId="12FCFCE3">
      <w:pPr>
        <w:spacing w:after="120"/>
        <w:jc w:val="both"/>
      </w:pPr>
      <w:r w:rsidRPr="00987C41">
        <w:t>Con i</w:t>
      </w:r>
      <w:r w:rsidRPr="00987C41" w:rsidR="0AFA787D">
        <w:t xml:space="preserve">l </w:t>
      </w:r>
      <w:r w:rsidRPr="00987C41" w:rsidR="0AFA787D">
        <w:rPr>
          <w:b/>
          <w:u w:val="single"/>
        </w:rPr>
        <w:t>comma 1</w:t>
      </w:r>
      <w:r w:rsidRPr="00987C41" w:rsidR="0AFA787D">
        <w:t xml:space="preserve"> </w:t>
      </w:r>
      <w:r w:rsidRPr="00987C41" w:rsidR="45CB478B">
        <w:t>viene istituito</w:t>
      </w:r>
      <w:r w:rsidRPr="00987C41" w:rsidR="3432A7A0">
        <w:t xml:space="preserve"> </w:t>
      </w:r>
      <w:r w:rsidR="00003F8C">
        <w:t xml:space="preserve">lo </w:t>
      </w:r>
      <w:r w:rsidRPr="00CD5D15" w:rsidR="00003F8C">
        <w:rPr>
          <w:b/>
        </w:rPr>
        <w:t>Strumento finanziario</w:t>
      </w:r>
      <w:r w:rsidRPr="00CD5D15" w:rsidR="00003F8C">
        <w:t xml:space="preserve"> </w:t>
      </w:r>
      <w:r w:rsidRPr="00CD5D15" w:rsidR="45CB478B">
        <w:t xml:space="preserve">nazionale per gli investimenti infrastrutturali e per la sicurezza nel settore idrico – </w:t>
      </w:r>
      <w:r w:rsidRPr="00CD5D15" w:rsidR="00256249">
        <w:rPr>
          <w:b/>
          <w:bCs/>
        </w:rPr>
        <w:t>S</w:t>
      </w:r>
      <w:r w:rsidRPr="00CD5D15" w:rsidR="45CB478B">
        <w:t xml:space="preserve">FNIISSI. </w:t>
      </w:r>
    </w:p>
    <w:p w:rsidR="5484FCD2" w:rsidRPr="00CD5D15" w:rsidP="00987C41" w14:paraId="3486B97C" w14:textId="4221BDE0">
      <w:pPr>
        <w:spacing w:after="120"/>
        <w:jc w:val="both"/>
      </w:pPr>
      <w:r w:rsidRPr="00CD5D15">
        <w:rPr>
          <w:b/>
        </w:rPr>
        <w:t xml:space="preserve">Lo Strumento </w:t>
      </w:r>
      <w:r w:rsidRPr="00CD5D15" w:rsidR="45CB478B">
        <w:t>finanzia</w:t>
      </w:r>
      <w:r w:rsidRPr="00CD5D15" w:rsidR="000D5FE9">
        <w:t xml:space="preserve"> prioritariamente</w:t>
      </w:r>
      <w:r w:rsidRPr="00CD5D15" w:rsidR="45CB478B">
        <w:t xml:space="preserve"> i progetti del Piano nazionale degli investimenti infrastrutturali e per la sicurezza nel settore idrico (“PNIISSI”) di cui all’articolo 1, comma 516, della legge 27 dicembre 2017, n. 205, volti alla programmazione e realizzazione degli interventi necessari alla mitigazione dei danni connessi al fenomeno della siccità nonché al potenziamento e all'adeguamento delle infrastrutture idriche. </w:t>
      </w:r>
    </w:p>
    <w:p w:rsidR="00A14ACA" w:rsidRPr="009C0AF8" w:rsidP="000D09E3" w14:paraId="42372427" w14:textId="0FC6B708">
      <w:pPr>
        <w:spacing w:before="120" w:after="120"/>
        <w:jc w:val="both"/>
        <w:rPr>
          <w:b/>
          <w:bCs/>
        </w:rPr>
      </w:pPr>
      <w:r w:rsidRPr="00CD5D15">
        <w:rPr>
          <w:b/>
        </w:rPr>
        <w:t>Lo Strumento</w:t>
      </w:r>
      <w:r w:rsidRPr="00CD5D15">
        <w:rPr>
          <w:b/>
        </w:rPr>
        <w:t xml:space="preserve"> </w:t>
      </w:r>
      <w:r w:rsidRPr="00CD5D15">
        <w:rPr>
          <w:b/>
          <w:bCs/>
        </w:rPr>
        <w:t>è alimentato</w:t>
      </w:r>
      <w:r w:rsidRPr="00CD5D15" w:rsidR="45CB478B">
        <w:t xml:space="preserve">, come previsto dal </w:t>
      </w:r>
      <w:r w:rsidRPr="00CD5D15" w:rsidR="45CB478B">
        <w:rPr>
          <w:b/>
          <w:u w:val="single"/>
        </w:rPr>
        <w:t>comma 2</w:t>
      </w:r>
      <w:r w:rsidRPr="00CD5D15" w:rsidR="45CB478B">
        <w:rPr>
          <w:b/>
          <w:bCs/>
          <w:u w:val="single"/>
        </w:rPr>
        <w:t>,</w:t>
      </w:r>
      <w:r w:rsidRPr="00CD5D15" w:rsidR="45CB478B">
        <w:rPr>
          <w:u w:val="single"/>
        </w:rPr>
        <w:t xml:space="preserve"> </w:t>
      </w:r>
      <w:r w:rsidRPr="00CD5D15">
        <w:rPr>
          <w:b/>
          <w:bCs/>
          <w:u w:val="single"/>
        </w:rPr>
        <w:t xml:space="preserve">lettera </w:t>
      </w:r>
      <w:r w:rsidRPr="00CD5D15">
        <w:rPr>
          <w:b/>
          <w:bCs/>
          <w:i/>
          <w:iCs/>
          <w:u w:val="single"/>
        </w:rPr>
        <w:t>a)</w:t>
      </w:r>
      <w:r w:rsidRPr="00CD5D15">
        <w:rPr>
          <w:b/>
          <w:bCs/>
        </w:rPr>
        <w:t xml:space="preserve">, da una quota (pari a 1 miliardo di euro), a valere sulle risorse assegnate </w:t>
      </w:r>
      <w:r w:rsidRPr="009C0AF8">
        <w:rPr>
          <w:b/>
          <w:bCs/>
        </w:rPr>
        <w:t>all’Investimento 4.5 «Regime di sovvenzioni per gli investimenti in infrastrutture idriche» della Missione 2, Componente 4, del PNRR al predetto investimento dal fondo Next Generation EU-Italia</w:t>
      </w:r>
      <w:r w:rsidRPr="009C0AF8" w:rsidR="007C031B">
        <w:rPr>
          <w:b/>
          <w:bCs/>
        </w:rPr>
        <w:t xml:space="preserve"> e, come previsto ai</w:t>
      </w:r>
      <w:r w:rsidRPr="009C0AF8">
        <w:rPr>
          <w:b/>
          <w:bCs/>
        </w:rPr>
        <w:t xml:space="preserve"> sensi del </w:t>
      </w:r>
      <w:r w:rsidRPr="009C0AF8">
        <w:rPr>
          <w:b/>
          <w:bCs/>
          <w:u w:val="single"/>
        </w:rPr>
        <w:t xml:space="preserve">comma 2, lettera </w:t>
      </w:r>
      <w:r w:rsidRPr="009C0AF8">
        <w:rPr>
          <w:b/>
          <w:bCs/>
          <w:i/>
          <w:iCs/>
          <w:u w:val="single"/>
        </w:rPr>
        <w:t>b)</w:t>
      </w:r>
      <w:r w:rsidRPr="009C0AF8">
        <w:rPr>
          <w:b/>
          <w:bCs/>
        </w:rPr>
        <w:t>, da eventuali risorse nazionali disponibili per gli investimenti in infrastrutture idriche, nonché da quelle che si rendono disponibili all’esito di riprogrammazioni, definanziamenti, rifinanziamenti ovvero rimodulazioni di programmi di finanziamento europei o nazionali.</w:t>
      </w:r>
    </w:p>
    <w:p w:rsidR="00E14F69" w:rsidRPr="006D41FB" w:rsidP="00E14F69" w14:paraId="48EB12C6" w14:textId="0F927D34">
      <w:pPr>
        <w:spacing w:before="120" w:after="120"/>
        <w:jc w:val="both"/>
        <w:rPr>
          <w:color w:val="FF0000"/>
        </w:rPr>
      </w:pPr>
      <w:r w:rsidRPr="006D41FB">
        <w:rPr>
          <w:color w:val="FF0000"/>
        </w:rPr>
        <w:t xml:space="preserve">Il </w:t>
      </w:r>
      <w:r w:rsidRPr="006D41FB">
        <w:rPr>
          <w:b/>
          <w:color w:val="FF0000"/>
          <w:u w:val="single"/>
        </w:rPr>
        <w:t>comma 3</w:t>
      </w:r>
      <w:r w:rsidRPr="006D41FB">
        <w:rPr>
          <w:color w:val="FF0000"/>
        </w:rPr>
        <w:t xml:space="preserve"> </w:t>
      </w:r>
      <w:r w:rsidRPr="006D41FB">
        <w:rPr>
          <w:color w:val="FF0000"/>
        </w:rPr>
        <w:t xml:space="preserve">con una disposizione di carattere transitorio, prevede che, in sede di prima applicazione, la quota delle risorse dello Strumento finanziario </w:t>
      </w:r>
      <w:r w:rsidRPr="006D41FB">
        <w:rPr>
          <w:color w:val="FF0000"/>
          <w:u w:val="single"/>
        </w:rPr>
        <w:t xml:space="preserve">di cui al comma 2, lettera </w:t>
      </w:r>
      <w:r w:rsidRPr="006D41FB">
        <w:rPr>
          <w:i/>
          <w:color w:val="FF0000"/>
          <w:u w:val="single"/>
        </w:rPr>
        <w:t>a)</w:t>
      </w:r>
      <w:r w:rsidRPr="006D41FB">
        <w:rPr>
          <w:color w:val="FF0000"/>
        </w:rPr>
        <w:t xml:space="preserve"> (ovverosia la quota a valere sul PNRR), sia destinata al finanziamento degli interventi del settore idrico ricompresi tra le opere di cui all’Allegato IV al decreto-legge 31 maggio 2021, n. 77, convertito, con modificazioni, dalla legge 29 luglio 2021, n. 108, che, per cause oggettive adeguatamente motivate dal soggetto attuatore, non risultino più in grado di conseguire nei termini previsti i traguardi e gli obiettivi connessi agli interventi programmati con il decreto del Ministro delle infrastrutture e della mobilità sostenibili 16 dicembre 2021, n. 517. Trattasi, in particolare, degli interventi relativi alla “Realizzazione delle opere di derivazione della Diga di Campolattaro” e alla “Messa in sicurezza e ammodernamento del sistema idrico del Peschiera”, entrambi già ricompresi nel PNIISSI.</w:t>
      </w:r>
    </w:p>
    <w:p w:rsidR="000A280A" w:rsidRPr="006D41FB" w:rsidP="000A280A" w14:paraId="4E1CEBEC" w14:textId="6711FFD0">
      <w:pPr>
        <w:spacing w:before="120" w:after="120"/>
        <w:jc w:val="both"/>
        <w:rPr>
          <w:b/>
          <w:color w:val="FF0000"/>
        </w:rPr>
      </w:pPr>
      <w:r w:rsidRPr="006D41FB">
        <w:rPr>
          <w:bCs/>
          <w:color w:val="FF0000"/>
        </w:rPr>
        <w:t xml:space="preserve">In relazione al progetto di messa in sicurezza e di ammodernamento del </w:t>
      </w:r>
      <w:r w:rsidRPr="006D41FB">
        <w:rPr>
          <w:b/>
          <w:color w:val="FF0000"/>
        </w:rPr>
        <w:t>sistema idrico del Peschiera</w:t>
      </w:r>
      <w:r w:rsidRPr="006D41FB">
        <w:rPr>
          <w:bCs/>
          <w:color w:val="FF0000"/>
        </w:rPr>
        <w:t xml:space="preserve">, preliminarmente, occorre ricordare che, con decreto del Presidente del Consiglio dei ministri 16 aprile 2021, emanato ai sensi dell’articolo 4 del decreto-legge n. 32 del 2019, è stato nominato </w:t>
      </w:r>
      <w:r w:rsidRPr="006D41FB" w:rsidR="00205083">
        <w:rPr>
          <w:bCs/>
          <w:color w:val="FF0000"/>
        </w:rPr>
        <w:t xml:space="preserve">un </w:t>
      </w:r>
      <w:r w:rsidRPr="006D41FB" w:rsidR="00552BB5">
        <w:rPr>
          <w:bCs/>
          <w:color w:val="FF0000"/>
        </w:rPr>
        <w:t>C</w:t>
      </w:r>
      <w:r w:rsidRPr="006D41FB">
        <w:rPr>
          <w:bCs/>
          <w:color w:val="FF0000"/>
        </w:rPr>
        <w:t>mmissario</w:t>
      </w:r>
      <w:r w:rsidRPr="006D41FB">
        <w:rPr>
          <w:bCs/>
          <w:color w:val="FF0000"/>
        </w:rPr>
        <w:t xml:space="preserve"> straordinario per la realizzazione dell’intervento ‘Messa in sicurezza del sistema acquedottistico del Peschiera, opera qualificata come intervento caratterizzato da un elevato grado di complessità progettuale. L’intervento, costituito da un unico lotto funzionale, è stato previsto nel Programma degli Interventi approvato dalla Conferenza dei Sindaci dell’Ambito Territoriale Ottimale n. 2, </w:t>
      </w:r>
      <w:r w:rsidRPr="006D41FB" w:rsidR="00D22BDE">
        <w:rPr>
          <w:bCs/>
          <w:color w:val="FF0000"/>
        </w:rPr>
        <w:t>Lazio Centrale</w:t>
      </w:r>
      <w:r w:rsidRPr="006D41FB">
        <w:rPr>
          <w:bCs/>
          <w:color w:val="FF0000"/>
        </w:rPr>
        <w:t xml:space="preserve"> - Roma, il 30 novembre 2022</w:t>
      </w:r>
      <w:r w:rsidRPr="006D41FB">
        <w:rPr>
          <w:b/>
          <w:color w:val="FF0000"/>
        </w:rPr>
        <w:t xml:space="preserve">. </w:t>
      </w:r>
    </w:p>
    <w:p w:rsidR="000A280A" w:rsidRPr="006D41FB" w:rsidP="000A280A" w14:paraId="28B6638C" w14:textId="09325FE6">
      <w:pPr>
        <w:spacing w:before="120" w:after="120"/>
        <w:jc w:val="both"/>
        <w:rPr>
          <w:bCs/>
          <w:color w:val="FF0000"/>
        </w:rPr>
      </w:pPr>
      <w:r w:rsidRPr="006D41FB">
        <w:rPr>
          <w:bCs/>
          <w:color w:val="FF0000"/>
        </w:rPr>
        <w:t xml:space="preserve">L’intervento per il completamento della </w:t>
      </w:r>
      <w:r w:rsidRPr="006D41FB">
        <w:rPr>
          <w:b/>
          <w:color w:val="FF0000"/>
        </w:rPr>
        <w:t>diga di Campolattaro</w:t>
      </w:r>
      <w:r w:rsidRPr="006D41FB">
        <w:rPr>
          <w:bCs/>
          <w:color w:val="FF0000"/>
        </w:rPr>
        <w:t xml:space="preserve"> è </w:t>
      </w:r>
      <w:r w:rsidRPr="006D41FB" w:rsidR="006F0C69">
        <w:rPr>
          <w:bCs/>
          <w:color w:val="FF0000"/>
        </w:rPr>
        <w:t xml:space="preserve">anch’esso </w:t>
      </w:r>
      <w:r w:rsidRPr="006D41FB">
        <w:rPr>
          <w:bCs/>
          <w:color w:val="FF0000"/>
        </w:rPr>
        <w:t xml:space="preserve">affidato ad un </w:t>
      </w:r>
      <w:r w:rsidRPr="006D41FB" w:rsidR="00552BB5">
        <w:rPr>
          <w:bCs/>
          <w:color w:val="FF0000"/>
        </w:rPr>
        <w:t>C</w:t>
      </w:r>
      <w:r w:rsidRPr="006D41FB">
        <w:rPr>
          <w:bCs/>
          <w:color w:val="FF0000"/>
        </w:rPr>
        <w:t>ommissario straordinario, nominato con DPCM del 9/05/2022. Il Commissario per l’espletamento del suo incarico si avvale della Regione Campania come stazione appaltante e soggetto attuatore. Il Commissario è titolare della programmazione, progettazione, approvazione dei progetti, affidamento ed esecuzione dei lavori dell’intervento fino alla consegna delle opere finanziate al soggetto gestore in via ordinaria. Lo schema idrico di Campolattaro in via ordinaria sarà gestito del soggetto gestore del sistema della grande adduzione primaria della Regione Campania, funzionale all’approvvigionamento idrico di una pluralità di ambiti distrettuali del servizio idrico integrato, nonché a garantire gli usi plurimi della risorsa ulteriori rispetto alle esigenze proprie del servizio idrico integrato.</w:t>
      </w:r>
    </w:p>
    <w:p w:rsidR="00AC1296" w:rsidRPr="006D41FB" w:rsidP="00552BB5" w14:paraId="5C294712" w14:textId="5123F7CC">
      <w:pPr>
        <w:spacing w:before="120" w:after="120"/>
        <w:jc w:val="both"/>
        <w:rPr>
          <w:bCs/>
          <w:color w:val="FF0000"/>
        </w:rPr>
      </w:pPr>
      <w:r w:rsidRPr="006D41FB">
        <w:rPr>
          <w:bCs/>
          <w:color w:val="FF0000"/>
        </w:rPr>
        <w:t>Di seguito una scheda sintetica dei suddetti interventi</w:t>
      </w:r>
      <w:r w:rsidRPr="006D41FB" w:rsidR="00552BB5">
        <w:rPr>
          <w:bCs/>
          <w:color w:val="FF0000"/>
        </w:rPr>
        <w:t>.</w:t>
      </w:r>
    </w:p>
    <w:p w:rsidR="00E353A9" w:rsidRPr="006D41FB" w:rsidP="00E353A9" w14:paraId="071177DF" w14:textId="77777777">
      <w:pPr>
        <w:rPr>
          <w:b/>
          <w:color w:val="FF0000"/>
          <w:highlight w:val="yellow"/>
        </w:rPr>
      </w:pPr>
    </w:p>
    <w:p w:rsidR="00552BB5" w:rsidRPr="006D41FB" w:rsidP="005D6048" w14:paraId="3DA4169C" w14:textId="78395BB9">
      <w:pPr>
        <w:jc w:val="both"/>
        <w:rPr>
          <w:b/>
          <w:color w:val="FF0000"/>
          <w:highlight w:val="yellow"/>
        </w:rPr>
      </w:pPr>
      <w:r w:rsidRPr="006D41FB">
        <w:rPr>
          <w:b/>
          <w:bCs/>
          <w:color w:val="FF0000"/>
        </w:rPr>
        <w:t>1. Realizzazione delle opere di derivazione della Diga di Campolattaro</w:t>
      </w:r>
      <w:r w:rsidRPr="006D41FB">
        <w:rPr>
          <w:b/>
          <w:bCs/>
          <w:color w:val="FF0000"/>
        </w:rPr>
        <w:t xml:space="preserve"> (CODICE INTERVENTO A1-30</w:t>
      </w:r>
      <w:r w:rsidRPr="006D41FB" w:rsidR="005D6048">
        <w:rPr>
          <w:b/>
          <w:bCs/>
          <w:color w:val="FF0000"/>
        </w:rPr>
        <w:t>)</w:t>
      </w:r>
    </w:p>
    <w:p w:rsidR="00E353A9" w:rsidRPr="006D41FB" w:rsidP="00E353A9" w14:paraId="2B693CA0" w14:textId="5B0432F7">
      <w:pPr>
        <w:rPr>
          <w:b/>
          <w:color w:val="FF0000"/>
          <w:highlight w:val="yellow"/>
        </w:rPr>
      </w:pPr>
    </w:p>
    <w:tbl>
      <w:tblPr>
        <w:tblStyle w:val="TableGrid"/>
        <w:tblW w:w="0" w:type="auto"/>
        <w:tblLook w:val="04A0"/>
      </w:tblPr>
      <w:tblGrid>
        <w:gridCol w:w="9628"/>
      </w:tblGrid>
      <w:tr w14:paraId="1B49C8B6" w14:textId="77777777">
        <w:tblPrEx>
          <w:tblW w:w="0" w:type="auto"/>
          <w:tblLook w:val="04A0"/>
        </w:tblPrEx>
        <w:tc>
          <w:tcPr>
            <w:tcW w:w="9628" w:type="dxa"/>
          </w:tcPr>
          <w:p w:rsidR="00280633" w:rsidRPr="006D41FB" w14:paraId="2D045BFD" w14:textId="77777777">
            <w:pPr>
              <w:jc w:val="both"/>
              <w:rPr>
                <w:color w:val="FF0000"/>
                <w:sz w:val="24"/>
                <w:szCs w:val="24"/>
              </w:rPr>
            </w:pPr>
            <w:r w:rsidRPr="006D41FB">
              <w:rPr>
                <w:b/>
                <w:bCs/>
                <w:color w:val="FF0000"/>
                <w:sz w:val="24"/>
                <w:szCs w:val="24"/>
              </w:rPr>
              <w:t>CUP:</w:t>
            </w:r>
            <w:r w:rsidRPr="006D41FB">
              <w:rPr>
                <w:color w:val="FF0000"/>
                <w:sz w:val="24"/>
                <w:szCs w:val="24"/>
              </w:rPr>
              <w:t xml:space="preserve"> B87B20098990009</w:t>
            </w:r>
          </w:p>
        </w:tc>
      </w:tr>
      <w:tr w14:paraId="07C75847" w14:textId="77777777">
        <w:tblPrEx>
          <w:tblW w:w="0" w:type="auto"/>
          <w:tblLook w:val="04A0"/>
        </w:tblPrEx>
        <w:tc>
          <w:tcPr>
            <w:tcW w:w="9628" w:type="dxa"/>
          </w:tcPr>
          <w:p w:rsidR="00280633" w:rsidRPr="006D41FB" w14:paraId="78A5B2C0" w14:textId="77777777">
            <w:pPr>
              <w:jc w:val="both"/>
              <w:rPr>
                <w:color w:val="FF0000"/>
                <w:sz w:val="24"/>
                <w:szCs w:val="24"/>
              </w:rPr>
            </w:pPr>
            <w:r w:rsidRPr="006D41FB">
              <w:rPr>
                <w:b/>
                <w:bCs/>
                <w:color w:val="FF0000"/>
                <w:sz w:val="24"/>
                <w:szCs w:val="24"/>
              </w:rPr>
              <w:t>Importo Progetto</w:t>
            </w:r>
            <w:r w:rsidRPr="006D41FB">
              <w:rPr>
                <w:color w:val="FF0000"/>
                <w:sz w:val="24"/>
                <w:szCs w:val="24"/>
              </w:rPr>
              <w:t>: 741.094.967,91 €</w:t>
            </w:r>
          </w:p>
        </w:tc>
      </w:tr>
      <w:tr w14:paraId="5B36C1DF" w14:textId="77777777">
        <w:tblPrEx>
          <w:tblW w:w="0" w:type="auto"/>
          <w:tblLook w:val="04A0"/>
        </w:tblPrEx>
        <w:tc>
          <w:tcPr>
            <w:tcW w:w="9628" w:type="dxa"/>
          </w:tcPr>
          <w:p w:rsidR="00280633" w:rsidRPr="006D41FB" w14:paraId="05925E42" w14:textId="77777777">
            <w:pPr>
              <w:jc w:val="both"/>
              <w:rPr>
                <w:color w:val="FF0000"/>
                <w:sz w:val="24"/>
                <w:szCs w:val="24"/>
              </w:rPr>
            </w:pPr>
            <w:r w:rsidRPr="006D41FB">
              <w:rPr>
                <w:b/>
                <w:bCs/>
                <w:color w:val="FF0000"/>
                <w:sz w:val="24"/>
                <w:szCs w:val="24"/>
              </w:rPr>
              <w:t>Importo PNRR</w:t>
            </w:r>
            <w:r w:rsidRPr="006D41FB">
              <w:rPr>
                <w:color w:val="FF0000"/>
                <w:sz w:val="24"/>
                <w:szCs w:val="24"/>
              </w:rPr>
              <w:t>: 205.000.000,00 €</w:t>
            </w:r>
          </w:p>
        </w:tc>
      </w:tr>
      <w:tr w14:paraId="65745880" w14:textId="77777777">
        <w:tblPrEx>
          <w:tblW w:w="0" w:type="auto"/>
          <w:tblLook w:val="04A0"/>
        </w:tblPrEx>
        <w:tc>
          <w:tcPr>
            <w:tcW w:w="9628" w:type="dxa"/>
          </w:tcPr>
          <w:p w:rsidR="00280633" w:rsidRPr="006D41FB" w14:paraId="5EB8752E" w14:textId="77777777">
            <w:pPr>
              <w:jc w:val="both"/>
              <w:rPr>
                <w:color w:val="FF0000"/>
                <w:sz w:val="24"/>
                <w:szCs w:val="24"/>
              </w:rPr>
            </w:pPr>
            <w:r w:rsidRPr="006D41FB">
              <w:rPr>
                <w:b/>
                <w:bCs/>
                <w:color w:val="FF0000"/>
                <w:sz w:val="24"/>
                <w:szCs w:val="24"/>
              </w:rPr>
              <w:t>Importo FOI</w:t>
            </w:r>
            <w:r w:rsidRPr="006D41FB">
              <w:rPr>
                <w:color w:val="FF0000"/>
                <w:sz w:val="24"/>
                <w:szCs w:val="24"/>
              </w:rPr>
              <w:t>: 180.200.739,35 €</w:t>
            </w:r>
          </w:p>
        </w:tc>
      </w:tr>
      <w:tr w14:paraId="6DD0492B" w14:textId="77777777">
        <w:tblPrEx>
          <w:tblW w:w="0" w:type="auto"/>
          <w:tblLook w:val="04A0"/>
        </w:tblPrEx>
        <w:tc>
          <w:tcPr>
            <w:tcW w:w="9628" w:type="dxa"/>
          </w:tcPr>
          <w:p w:rsidR="00280633" w:rsidRPr="006D41FB" w14:paraId="3B740AD4" w14:textId="77777777">
            <w:pPr>
              <w:jc w:val="both"/>
              <w:rPr>
                <w:color w:val="FF0000"/>
                <w:sz w:val="24"/>
                <w:szCs w:val="24"/>
              </w:rPr>
            </w:pPr>
            <w:r w:rsidRPr="006D41FB">
              <w:rPr>
                <w:b/>
                <w:bCs/>
                <w:color w:val="FF0000"/>
                <w:sz w:val="24"/>
                <w:szCs w:val="24"/>
              </w:rPr>
              <w:t>Fondi regionali</w:t>
            </w:r>
            <w:r w:rsidRPr="006D41FB">
              <w:rPr>
                <w:color w:val="FF0000"/>
                <w:sz w:val="24"/>
                <w:szCs w:val="24"/>
              </w:rPr>
              <w:t>: 50.065.766,18 €</w:t>
            </w:r>
          </w:p>
        </w:tc>
      </w:tr>
      <w:tr w14:paraId="492611C3" w14:textId="77777777">
        <w:tblPrEx>
          <w:tblW w:w="0" w:type="auto"/>
          <w:tblLook w:val="04A0"/>
        </w:tblPrEx>
        <w:tc>
          <w:tcPr>
            <w:tcW w:w="9628" w:type="dxa"/>
          </w:tcPr>
          <w:p w:rsidR="00280633" w:rsidRPr="006D41FB" w14:paraId="6A93F4DF" w14:textId="77777777">
            <w:pPr>
              <w:jc w:val="both"/>
              <w:rPr>
                <w:color w:val="FF0000"/>
                <w:sz w:val="24"/>
                <w:szCs w:val="24"/>
              </w:rPr>
            </w:pPr>
            <w:r w:rsidRPr="006D41FB">
              <w:rPr>
                <w:b/>
                <w:bCs/>
                <w:color w:val="FF0000"/>
                <w:sz w:val="24"/>
                <w:szCs w:val="24"/>
              </w:rPr>
              <w:t>Altro Nazionale</w:t>
            </w:r>
            <w:r w:rsidRPr="006D41FB">
              <w:rPr>
                <w:color w:val="FF0000"/>
                <w:sz w:val="24"/>
                <w:szCs w:val="24"/>
              </w:rPr>
              <w:t>: 151.000.000,00 €</w:t>
            </w:r>
          </w:p>
        </w:tc>
      </w:tr>
      <w:tr w14:paraId="70552A56" w14:textId="77777777">
        <w:tblPrEx>
          <w:tblW w:w="0" w:type="auto"/>
          <w:tblLook w:val="04A0"/>
        </w:tblPrEx>
        <w:tc>
          <w:tcPr>
            <w:tcW w:w="9628" w:type="dxa"/>
          </w:tcPr>
          <w:p w:rsidR="00280633" w:rsidRPr="006D41FB" w14:paraId="54843E41" w14:textId="77777777">
            <w:pPr>
              <w:jc w:val="both"/>
              <w:rPr>
                <w:color w:val="FF0000"/>
                <w:sz w:val="24"/>
                <w:szCs w:val="24"/>
              </w:rPr>
            </w:pPr>
            <w:r w:rsidRPr="006D41FB">
              <w:rPr>
                <w:b/>
                <w:bCs/>
                <w:color w:val="FF0000"/>
                <w:sz w:val="24"/>
                <w:szCs w:val="24"/>
              </w:rPr>
              <w:t>FSC</w:t>
            </w:r>
            <w:r w:rsidRPr="006D41FB">
              <w:rPr>
                <w:color w:val="FF0000"/>
                <w:sz w:val="24"/>
                <w:szCs w:val="24"/>
              </w:rPr>
              <w:t>: 154.828.462,38 €</w:t>
            </w:r>
          </w:p>
        </w:tc>
      </w:tr>
    </w:tbl>
    <w:p w:rsidR="0051659F" w:rsidRPr="006D41FB" w:rsidP="00987C41" w14:paraId="2F32FFDC" w14:textId="77777777">
      <w:pPr>
        <w:spacing w:after="120"/>
        <w:jc w:val="both"/>
        <w:rPr>
          <w:color w:val="FF0000"/>
        </w:rPr>
      </w:pPr>
    </w:p>
    <w:p w:rsidR="0051659F" w:rsidRPr="006D41FB" w:rsidP="0051659F" w14:paraId="11E003B4" w14:textId="77777777">
      <w:pPr>
        <w:jc w:val="center"/>
        <w:rPr>
          <w:b/>
          <w:bCs/>
          <w:color w:val="FF0000"/>
        </w:rPr>
      </w:pPr>
      <w:r w:rsidRPr="006D41FB">
        <w:rPr>
          <w:b/>
          <w:bCs/>
          <w:color w:val="FF0000"/>
        </w:rPr>
        <w:t>CRONOPROGRAMMA FINANZIARIO</w:t>
      </w:r>
    </w:p>
    <w:tbl>
      <w:tblPr>
        <w:tblW w:w="9918"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1694"/>
        <w:gridCol w:w="1265"/>
        <w:gridCol w:w="1373"/>
        <w:gridCol w:w="1299"/>
        <w:gridCol w:w="1446"/>
        <w:gridCol w:w="1423"/>
        <w:gridCol w:w="1418"/>
      </w:tblGrid>
      <w:tr w14:paraId="14AFA2C1" w14:textId="77777777" w:rsidTr="001665F7">
        <w:tblPrEx>
          <w:tblW w:w="9918" w:type="dxa"/>
          <w:tblLayout w:type="fixed"/>
          <w:tblLook w:val="04A0"/>
        </w:tblPrEx>
        <w:trPr>
          <w:trHeight w:val="747"/>
        </w:trPr>
        <w:tc>
          <w:tcPr>
            <w:tcW w:w="1649" w:type="dxa"/>
            <w:vAlign w:val="center"/>
            <w:hideMark/>
          </w:tcPr>
          <w:p w:rsidR="00990A44" w:rsidRPr="006D41FB" w14:paraId="12DD2061" w14:textId="77777777">
            <w:pPr>
              <w:rPr>
                <w:color w:val="FF0000"/>
                <w:sz w:val="18"/>
                <w:szCs w:val="18"/>
              </w:rPr>
            </w:pPr>
            <w:r w:rsidRPr="006D41FB">
              <w:rPr>
                <w:b/>
                <w:bCs/>
                <w:color w:val="FF0000"/>
                <w:sz w:val="18"/>
                <w:szCs w:val="18"/>
              </w:rPr>
              <w:t>Anno di riferimento</w:t>
            </w:r>
          </w:p>
        </w:tc>
        <w:tc>
          <w:tcPr>
            <w:tcW w:w="1235" w:type="dxa"/>
            <w:vAlign w:val="center"/>
            <w:hideMark/>
          </w:tcPr>
          <w:p w:rsidR="00990A44" w:rsidRPr="006D41FB" w14:paraId="482FE2B5" w14:textId="77777777">
            <w:pPr>
              <w:jc w:val="center"/>
              <w:rPr>
                <w:color w:val="FF0000"/>
                <w:sz w:val="18"/>
                <w:szCs w:val="18"/>
              </w:rPr>
            </w:pPr>
            <w:r w:rsidRPr="006D41FB">
              <w:rPr>
                <w:color w:val="FF0000"/>
                <w:sz w:val="18"/>
                <w:szCs w:val="18"/>
              </w:rPr>
              <w:t>2023</w:t>
            </w:r>
          </w:p>
        </w:tc>
        <w:tc>
          <w:tcPr>
            <w:tcW w:w="1343" w:type="dxa"/>
            <w:vAlign w:val="center"/>
            <w:hideMark/>
          </w:tcPr>
          <w:p w:rsidR="00990A44" w:rsidRPr="006D41FB" w14:paraId="70191FCE" w14:textId="77777777">
            <w:pPr>
              <w:jc w:val="center"/>
              <w:rPr>
                <w:color w:val="FF0000"/>
                <w:sz w:val="18"/>
                <w:szCs w:val="18"/>
              </w:rPr>
            </w:pPr>
            <w:r w:rsidRPr="006D41FB">
              <w:rPr>
                <w:color w:val="FF0000"/>
                <w:sz w:val="18"/>
                <w:szCs w:val="18"/>
              </w:rPr>
              <w:t>2024</w:t>
            </w:r>
          </w:p>
        </w:tc>
        <w:tc>
          <w:tcPr>
            <w:tcW w:w="1269" w:type="dxa"/>
            <w:vAlign w:val="center"/>
            <w:hideMark/>
          </w:tcPr>
          <w:p w:rsidR="00990A44" w:rsidRPr="006D41FB" w14:paraId="0EE60AD0" w14:textId="77777777">
            <w:pPr>
              <w:jc w:val="center"/>
              <w:rPr>
                <w:color w:val="FF0000"/>
                <w:sz w:val="18"/>
                <w:szCs w:val="18"/>
              </w:rPr>
            </w:pPr>
            <w:r w:rsidRPr="006D41FB">
              <w:rPr>
                <w:color w:val="FF0000"/>
                <w:sz w:val="18"/>
                <w:szCs w:val="18"/>
              </w:rPr>
              <w:t>2025</w:t>
            </w:r>
          </w:p>
        </w:tc>
        <w:tc>
          <w:tcPr>
            <w:tcW w:w="1416" w:type="dxa"/>
            <w:vAlign w:val="center"/>
            <w:hideMark/>
          </w:tcPr>
          <w:p w:rsidR="00990A44" w:rsidRPr="006D41FB" w14:paraId="2A399379" w14:textId="77777777">
            <w:pPr>
              <w:jc w:val="center"/>
              <w:rPr>
                <w:color w:val="FF0000"/>
                <w:sz w:val="18"/>
                <w:szCs w:val="18"/>
              </w:rPr>
            </w:pPr>
            <w:r w:rsidRPr="006D41FB">
              <w:rPr>
                <w:color w:val="FF0000"/>
                <w:sz w:val="18"/>
                <w:szCs w:val="18"/>
              </w:rPr>
              <w:t>2026</w:t>
            </w:r>
          </w:p>
        </w:tc>
        <w:tc>
          <w:tcPr>
            <w:tcW w:w="1393" w:type="dxa"/>
            <w:vAlign w:val="center"/>
            <w:hideMark/>
          </w:tcPr>
          <w:p w:rsidR="00990A44" w:rsidRPr="006D41FB" w14:paraId="7DDB4E7D" w14:textId="77777777">
            <w:pPr>
              <w:jc w:val="center"/>
              <w:rPr>
                <w:color w:val="FF0000"/>
                <w:sz w:val="18"/>
                <w:szCs w:val="18"/>
              </w:rPr>
            </w:pPr>
            <w:r w:rsidRPr="006D41FB">
              <w:rPr>
                <w:color w:val="FF0000"/>
                <w:sz w:val="18"/>
                <w:szCs w:val="18"/>
              </w:rPr>
              <w:t>2027</w:t>
            </w:r>
          </w:p>
        </w:tc>
        <w:tc>
          <w:tcPr>
            <w:tcW w:w="1373" w:type="dxa"/>
            <w:vAlign w:val="center"/>
            <w:hideMark/>
          </w:tcPr>
          <w:p w:rsidR="00990A44" w:rsidRPr="006D41FB" w14:paraId="615F00D4" w14:textId="77777777">
            <w:pPr>
              <w:jc w:val="center"/>
              <w:rPr>
                <w:color w:val="FF0000"/>
                <w:sz w:val="18"/>
                <w:szCs w:val="18"/>
              </w:rPr>
            </w:pPr>
            <w:r w:rsidRPr="006D41FB">
              <w:rPr>
                <w:color w:val="FF0000"/>
                <w:sz w:val="18"/>
                <w:szCs w:val="18"/>
              </w:rPr>
              <w:t>Totale</w:t>
            </w:r>
          </w:p>
        </w:tc>
      </w:tr>
      <w:tr w14:paraId="508821A4" w14:textId="77777777" w:rsidTr="001665F7">
        <w:tblPrEx>
          <w:tblW w:w="9918" w:type="dxa"/>
          <w:tblLayout w:type="fixed"/>
          <w:tblLook w:val="04A0"/>
        </w:tblPrEx>
        <w:trPr>
          <w:trHeight w:val="1221"/>
        </w:trPr>
        <w:tc>
          <w:tcPr>
            <w:tcW w:w="1649" w:type="dxa"/>
            <w:vAlign w:val="center"/>
            <w:hideMark/>
          </w:tcPr>
          <w:p w:rsidR="00990A44" w:rsidRPr="006D41FB" w14:paraId="31038282" w14:textId="77777777">
            <w:pPr>
              <w:rPr>
                <w:color w:val="FF0000"/>
                <w:sz w:val="18"/>
                <w:szCs w:val="18"/>
              </w:rPr>
            </w:pPr>
            <w:r w:rsidRPr="006D41FB">
              <w:rPr>
                <w:b/>
                <w:bCs/>
                <w:color w:val="FF0000"/>
                <w:sz w:val="18"/>
                <w:szCs w:val="18"/>
              </w:rPr>
              <w:t>Importo da realizzare nell’anno</w:t>
            </w:r>
          </w:p>
        </w:tc>
        <w:tc>
          <w:tcPr>
            <w:tcW w:w="1235" w:type="dxa"/>
            <w:vAlign w:val="center"/>
            <w:hideMark/>
          </w:tcPr>
          <w:p w:rsidR="00990A44" w:rsidRPr="006D41FB" w14:paraId="6EB27823" w14:textId="77777777">
            <w:pPr>
              <w:jc w:val="right"/>
              <w:rPr>
                <w:color w:val="FF0000"/>
                <w:sz w:val="18"/>
                <w:szCs w:val="18"/>
              </w:rPr>
            </w:pPr>
            <w:r w:rsidRPr="006D41FB">
              <w:rPr>
                <w:color w:val="FF0000"/>
                <w:sz w:val="18"/>
                <w:szCs w:val="18"/>
              </w:rPr>
              <w:t>-   €</w:t>
            </w:r>
          </w:p>
        </w:tc>
        <w:tc>
          <w:tcPr>
            <w:tcW w:w="1343" w:type="dxa"/>
            <w:vAlign w:val="center"/>
            <w:hideMark/>
          </w:tcPr>
          <w:p w:rsidR="00990A44" w:rsidRPr="006D41FB" w14:paraId="4FB7B86C" w14:textId="77777777">
            <w:pPr>
              <w:jc w:val="right"/>
              <w:rPr>
                <w:color w:val="FF0000"/>
                <w:sz w:val="18"/>
                <w:szCs w:val="18"/>
              </w:rPr>
            </w:pPr>
            <w:r w:rsidRPr="006D41FB">
              <w:rPr>
                <w:color w:val="FF0000"/>
                <w:sz w:val="18"/>
                <w:szCs w:val="18"/>
              </w:rPr>
              <w:t>-   €</w:t>
            </w:r>
          </w:p>
        </w:tc>
        <w:tc>
          <w:tcPr>
            <w:tcW w:w="1269" w:type="dxa"/>
            <w:vAlign w:val="center"/>
            <w:hideMark/>
          </w:tcPr>
          <w:p w:rsidR="00990A44" w:rsidRPr="006D41FB" w14:paraId="562ADBAD" w14:textId="77777777">
            <w:pPr>
              <w:jc w:val="right"/>
              <w:rPr>
                <w:color w:val="FF0000"/>
                <w:sz w:val="18"/>
                <w:szCs w:val="18"/>
              </w:rPr>
            </w:pPr>
            <w:r w:rsidRPr="006D41FB">
              <w:rPr>
                <w:color w:val="FF0000"/>
                <w:sz w:val="18"/>
                <w:szCs w:val="18"/>
              </w:rPr>
              <w:t>88.619.611,37 €</w:t>
            </w:r>
          </w:p>
        </w:tc>
        <w:tc>
          <w:tcPr>
            <w:tcW w:w="1416" w:type="dxa"/>
            <w:vAlign w:val="center"/>
            <w:hideMark/>
          </w:tcPr>
          <w:p w:rsidR="00990A44" w:rsidRPr="006D41FB" w14:paraId="453A70E3" w14:textId="77777777">
            <w:pPr>
              <w:jc w:val="right"/>
              <w:rPr>
                <w:color w:val="FF0000"/>
                <w:sz w:val="18"/>
                <w:szCs w:val="18"/>
              </w:rPr>
            </w:pPr>
            <w:r w:rsidRPr="006D41FB">
              <w:rPr>
                <w:color w:val="FF0000"/>
                <w:sz w:val="18"/>
                <w:szCs w:val="18"/>
              </w:rPr>
              <w:t>369.248.380,71 €</w:t>
            </w:r>
          </w:p>
        </w:tc>
        <w:tc>
          <w:tcPr>
            <w:tcW w:w="1393" w:type="dxa"/>
            <w:vAlign w:val="center"/>
            <w:hideMark/>
          </w:tcPr>
          <w:p w:rsidR="00990A44" w:rsidRPr="006D41FB" w14:paraId="6E0983A9" w14:textId="77777777">
            <w:pPr>
              <w:jc w:val="right"/>
              <w:rPr>
                <w:color w:val="FF0000"/>
                <w:sz w:val="18"/>
                <w:szCs w:val="18"/>
              </w:rPr>
            </w:pPr>
            <w:r w:rsidRPr="006D41FB">
              <w:rPr>
                <w:color w:val="FF0000"/>
                <w:sz w:val="18"/>
                <w:szCs w:val="18"/>
              </w:rPr>
              <w:t>280.628.769,34 €</w:t>
            </w:r>
          </w:p>
        </w:tc>
        <w:tc>
          <w:tcPr>
            <w:tcW w:w="1373" w:type="dxa"/>
            <w:vAlign w:val="center"/>
            <w:hideMark/>
          </w:tcPr>
          <w:p w:rsidR="00990A44" w:rsidRPr="006D41FB" w14:paraId="7E0CEA5E" w14:textId="77777777">
            <w:pPr>
              <w:jc w:val="right"/>
              <w:rPr>
                <w:color w:val="FF0000"/>
                <w:sz w:val="18"/>
                <w:szCs w:val="18"/>
              </w:rPr>
            </w:pPr>
            <w:r w:rsidRPr="006D41FB">
              <w:rPr>
                <w:color w:val="FF0000"/>
                <w:sz w:val="18"/>
                <w:szCs w:val="18"/>
              </w:rPr>
              <w:t>738.496.761,42 €</w:t>
            </w:r>
          </w:p>
        </w:tc>
      </w:tr>
      <w:tr w14:paraId="60F9792D" w14:textId="77777777" w:rsidTr="001665F7">
        <w:tblPrEx>
          <w:tblW w:w="9918" w:type="dxa"/>
          <w:tblLayout w:type="fixed"/>
          <w:tblLook w:val="04A0"/>
        </w:tblPrEx>
        <w:trPr>
          <w:trHeight w:val="902"/>
        </w:trPr>
        <w:tc>
          <w:tcPr>
            <w:tcW w:w="1649" w:type="dxa"/>
            <w:vAlign w:val="center"/>
            <w:hideMark/>
          </w:tcPr>
          <w:p w:rsidR="00990A44" w:rsidRPr="006D41FB" w14:paraId="117F7669" w14:textId="77777777">
            <w:pPr>
              <w:rPr>
                <w:color w:val="FF0000"/>
                <w:sz w:val="18"/>
                <w:szCs w:val="18"/>
              </w:rPr>
            </w:pPr>
            <w:r w:rsidRPr="006D41FB">
              <w:rPr>
                <w:b/>
                <w:bCs/>
                <w:color w:val="FF0000"/>
                <w:sz w:val="18"/>
                <w:szCs w:val="18"/>
              </w:rPr>
              <w:t>Importo realizzato nell’anno</w:t>
            </w:r>
          </w:p>
        </w:tc>
        <w:tc>
          <w:tcPr>
            <w:tcW w:w="1235" w:type="dxa"/>
            <w:vAlign w:val="center"/>
            <w:hideMark/>
          </w:tcPr>
          <w:p w:rsidR="00990A44" w:rsidRPr="006D41FB" w14:paraId="61EE47D9" w14:textId="77777777">
            <w:pPr>
              <w:jc w:val="right"/>
              <w:rPr>
                <w:color w:val="FF0000"/>
                <w:sz w:val="18"/>
                <w:szCs w:val="18"/>
              </w:rPr>
            </w:pPr>
            <w:r w:rsidRPr="006D41FB">
              <w:rPr>
                <w:color w:val="FF0000"/>
                <w:sz w:val="18"/>
                <w:szCs w:val="18"/>
              </w:rPr>
              <w:t>185.601,03 €</w:t>
            </w:r>
          </w:p>
        </w:tc>
        <w:tc>
          <w:tcPr>
            <w:tcW w:w="1343" w:type="dxa"/>
            <w:vAlign w:val="center"/>
            <w:hideMark/>
          </w:tcPr>
          <w:p w:rsidR="00990A44" w:rsidRPr="006D41FB" w14:paraId="0D474865" w14:textId="77777777">
            <w:pPr>
              <w:jc w:val="right"/>
              <w:rPr>
                <w:color w:val="FF0000"/>
                <w:sz w:val="18"/>
                <w:szCs w:val="18"/>
              </w:rPr>
            </w:pPr>
            <w:r w:rsidRPr="006D41FB">
              <w:rPr>
                <w:color w:val="FF0000"/>
                <w:sz w:val="18"/>
                <w:szCs w:val="18"/>
              </w:rPr>
              <w:t>2.412.605,46 €</w:t>
            </w:r>
          </w:p>
        </w:tc>
        <w:tc>
          <w:tcPr>
            <w:tcW w:w="1269" w:type="dxa"/>
            <w:vAlign w:val="center"/>
            <w:hideMark/>
          </w:tcPr>
          <w:p w:rsidR="00990A44" w:rsidRPr="006D41FB" w14:paraId="02B10823" w14:textId="77777777">
            <w:pPr>
              <w:jc w:val="right"/>
              <w:rPr>
                <w:color w:val="FF0000"/>
                <w:sz w:val="18"/>
                <w:szCs w:val="18"/>
              </w:rPr>
            </w:pPr>
            <w:r w:rsidRPr="006D41FB">
              <w:rPr>
                <w:color w:val="FF0000"/>
                <w:sz w:val="18"/>
                <w:szCs w:val="18"/>
              </w:rPr>
              <w:t>-   €</w:t>
            </w:r>
          </w:p>
        </w:tc>
        <w:tc>
          <w:tcPr>
            <w:tcW w:w="1416" w:type="dxa"/>
            <w:vAlign w:val="center"/>
            <w:hideMark/>
          </w:tcPr>
          <w:p w:rsidR="00990A44" w:rsidRPr="006D41FB" w14:paraId="5C91D817" w14:textId="77777777">
            <w:pPr>
              <w:jc w:val="right"/>
              <w:rPr>
                <w:color w:val="FF0000"/>
                <w:sz w:val="18"/>
                <w:szCs w:val="18"/>
              </w:rPr>
            </w:pPr>
            <w:r w:rsidRPr="006D41FB">
              <w:rPr>
                <w:color w:val="FF0000"/>
                <w:sz w:val="18"/>
                <w:szCs w:val="18"/>
              </w:rPr>
              <w:t>-   €</w:t>
            </w:r>
          </w:p>
        </w:tc>
        <w:tc>
          <w:tcPr>
            <w:tcW w:w="1393" w:type="dxa"/>
            <w:vAlign w:val="center"/>
            <w:hideMark/>
          </w:tcPr>
          <w:p w:rsidR="00990A44" w:rsidRPr="006D41FB" w14:paraId="621BDF18" w14:textId="77777777">
            <w:pPr>
              <w:jc w:val="right"/>
              <w:rPr>
                <w:color w:val="FF0000"/>
                <w:sz w:val="18"/>
                <w:szCs w:val="18"/>
              </w:rPr>
            </w:pPr>
            <w:r w:rsidRPr="006D41FB">
              <w:rPr>
                <w:color w:val="FF0000"/>
                <w:sz w:val="18"/>
                <w:szCs w:val="18"/>
              </w:rPr>
              <w:t>-   €</w:t>
            </w:r>
          </w:p>
        </w:tc>
        <w:tc>
          <w:tcPr>
            <w:tcW w:w="1373" w:type="dxa"/>
            <w:vAlign w:val="center"/>
            <w:hideMark/>
          </w:tcPr>
          <w:p w:rsidR="00990A44" w:rsidRPr="006D41FB" w14:paraId="624A8C69" w14:textId="77777777">
            <w:pPr>
              <w:jc w:val="right"/>
              <w:rPr>
                <w:color w:val="FF0000"/>
                <w:sz w:val="18"/>
                <w:szCs w:val="18"/>
              </w:rPr>
            </w:pPr>
            <w:r w:rsidRPr="006D41FB">
              <w:rPr>
                <w:color w:val="FF0000"/>
                <w:sz w:val="18"/>
                <w:szCs w:val="18"/>
              </w:rPr>
              <w:t>2.598.206,49 €</w:t>
            </w:r>
          </w:p>
        </w:tc>
      </w:tr>
      <w:tr w14:paraId="2DFCB8CD" w14:textId="77777777" w:rsidTr="001665F7">
        <w:tblPrEx>
          <w:tblW w:w="9918" w:type="dxa"/>
          <w:tblLayout w:type="fixed"/>
          <w:tblLook w:val="04A0"/>
        </w:tblPrEx>
        <w:trPr>
          <w:trHeight w:val="603"/>
        </w:trPr>
        <w:tc>
          <w:tcPr>
            <w:tcW w:w="1649" w:type="dxa"/>
            <w:vAlign w:val="center"/>
            <w:hideMark/>
          </w:tcPr>
          <w:p w:rsidR="00990A44" w:rsidRPr="006D41FB" w14:paraId="5DAA95CD" w14:textId="77777777">
            <w:pPr>
              <w:rPr>
                <w:color w:val="FF0000"/>
                <w:sz w:val="18"/>
                <w:szCs w:val="18"/>
              </w:rPr>
            </w:pPr>
            <w:r w:rsidRPr="006D41FB">
              <w:rPr>
                <w:color w:val="FF0000"/>
                <w:sz w:val="18"/>
                <w:szCs w:val="18"/>
              </w:rPr>
              <w:t> </w:t>
            </w:r>
          </w:p>
        </w:tc>
        <w:tc>
          <w:tcPr>
            <w:tcW w:w="1235" w:type="dxa"/>
            <w:vAlign w:val="center"/>
            <w:hideMark/>
          </w:tcPr>
          <w:p w:rsidR="00990A44" w:rsidRPr="006D41FB" w14:paraId="7441CD3C" w14:textId="77777777">
            <w:pPr>
              <w:jc w:val="right"/>
              <w:rPr>
                <w:color w:val="FF0000"/>
                <w:sz w:val="18"/>
                <w:szCs w:val="18"/>
              </w:rPr>
            </w:pPr>
          </w:p>
        </w:tc>
        <w:tc>
          <w:tcPr>
            <w:tcW w:w="1343" w:type="dxa"/>
            <w:vAlign w:val="center"/>
            <w:hideMark/>
          </w:tcPr>
          <w:p w:rsidR="00990A44" w:rsidRPr="006D41FB" w14:paraId="1B6B68FD" w14:textId="77777777">
            <w:pPr>
              <w:jc w:val="right"/>
              <w:rPr>
                <w:color w:val="FF0000"/>
                <w:sz w:val="18"/>
                <w:szCs w:val="18"/>
              </w:rPr>
            </w:pPr>
          </w:p>
        </w:tc>
        <w:tc>
          <w:tcPr>
            <w:tcW w:w="1269" w:type="dxa"/>
            <w:vAlign w:val="center"/>
            <w:hideMark/>
          </w:tcPr>
          <w:p w:rsidR="00990A44" w:rsidRPr="006D41FB" w14:paraId="02A784DC" w14:textId="77777777">
            <w:pPr>
              <w:jc w:val="right"/>
              <w:rPr>
                <w:color w:val="FF0000"/>
                <w:sz w:val="18"/>
                <w:szCs w:val="18"/>
              </w:rPr>
            </w:pPr>
          </w:p>
        </w:tc>
        <w:tc>
          <w:tcPr>
            <w:tcW w:w="1416" w:type="dxa"/>
            <w:vAlign w:val="center"/>
            <w:hideMark/>
          </w:tcPr>
          <w:p w:rsidR="00990A44" w:rsidRPr="006D41FB" w14:paraId="6FA0A251" w14:textId="77777777">
            <w:pPr>
              <w:jc w:val="right"/>
              <w:rPr>
                <w:color w:val="FF0000"/>
                <w:sz w:val="18"/>
                <w:szCs w:val="18"/>
              </w:rPr>
            </w:pPr>
          </w:p>
        </w:tc>
        <w:tc>
          <w:tcPr>
            <w:tcW w:w="1393" w:type="dxa"/>
            <w:vAlign w:val="center"/>
            <w:hideMark/>
          </w:tcPr>
          <w:p w:rsidR="00990A44" w:rsidRPr="006D41FB" w14:paraId="007FF8B0" w14:textId="77777777">
            <w:pPr>
              <w:jc w:val="right"/>
              <w:rPr>
                <w:color w:val="FF0000"/>
                <w:sz w:val="18"/>
                <w:szCs w:val="18"/>
              </w:rPr>
            </w:pPr>
          </w:p>
        </w:tc>
        <w:tc>
          <w:tcPr>
            <w:tcW w:w="1373" w:type="dxa"/>
            <w:vAlign w:val="center"/>
            <w:hideMark/>
          </w:tcPr>
          <w:p w:rsidR="00990A44" w:rsidRPr="006D41FB" w14:paraId="48743AB3" w14:textId="77777777">
            <w:pPr>
              <w:jc w:val="right"/>
              <w:rPr>
                <w:color w:val="FF0000"/>
                <w:sz w:val="18"/>
                <w:szCs w:val="18"/>
              </w:rPr>
            </w:pPr>
            <w:r w:rsidRPr="006D41FB">
              <w:rPr>
                <w:color w:val="FF0000"/>
                <w:sz w:val="18"/>
                <w:szCs w:val="18"/>
              </w:rPr>
              <w:t>741.094.967,91 €</w:t>
            </w:r>
          </w:p>
        </w:tc>
      </w:tr>
    </w:tbl>
    <w:p w:rsidR="0051659F" w:rsidRPr="006D41FB" w:rsidP="00987C41" w14:paraId="398A8368" w14:textId="77777777">
      <w:pPr>
        <w:spacing w:after="120"/>
        <w:jc w:val="both"/>
        <w:rPr>
          <w:color w:val="FF0000"/>
        </w:rPr>
      </w:pPr>
    </w:p>
    <w:p w:rsidR="00FA4F22" w:rsidRPr="006D41FB" w:rsidP="00987C41" w14:paraId="49BB25BF" w14:textId="2C275FA9">
      <w:pPr>
        <w:spacing w:after="120"/>
        <w:jc w:val="both"/>
        <w:rPr>
          <w:b/>
          <w:bCs/>
          <w:color w:val="FF0000"/>
        </w:rPr>
      </w:pPr>
      <w:r w:rsidRPr="006D41FB">
        <w:rPr>
          <w:b/>
          <w:bCs/>
          <w:color w:val="FF0000"/>
        </w:rPr>
        <w:t>QUADRO ECONOMICO</w:t>
      </w:r>
    </w:p>
    <w:tbl>
      <w:tblPr>
        <w:tblW w:w="962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854"/>
        <w:gridCol w:w="2766"/>
      </w:tblGrid>
      <w:tr w14:paraId="5AEAC786" w14:textId="77777777" w:rsidTr="001665F7">
        <w:tblPrEx>
          <w:tblW w:w="9620" w:type="dxa"/>
          <w:tblLook w:val="04A0"/>
        </w:tblPrEx>
        <w:trPr>
          <w:trHeight w:val="270"/>
        </w:trPr>
        <w:tc>
          <w:tcPr>
            <w:tcW w:w="0" w:type="auto"/>
            <w:vAlign w:val="center"/>
            <w:hideMark/>
          </w:tcPr>
          <w:p w:rsidR="00970F38" w:rsidRPr="006D41FB" w14:paraId="0A6E3799" w14:textId="77777777">
            <w:pPr>
              <w:rPr>
                <w:color w:val="FF0000"/>
                <w:sz w:val="20"/>
                <w:szCs w:val="20"/>
              </w:rPr>
            </w:pPr>
            <w:r w:rsidRPr="006D41FB">
              <w:rPr>
                <w:b/>
                <w:bCs/>
                <w:color w:val="FF0000"/>
                <w:sz w:val="20"/>
                <w:szCs w:val="20"/>
              </w:rPr>
              <w:t>Tipologia voce spesa</w:t>
            </w:r>
          </w:p>
        </w:tc>
        <w:tc>
          <w:tcPr>
            <w:tcW w:w="0" w:type="auto"/>
            <w:vAlign w:val="center"/>
            <w:hideMark/>
          </w:tcPr>
          <w:p w:rsidR="00970F38" w:rsidRPr="006D41FB" w14:paraId="4157A892" w14:textId="77777777">
            <w:pPr>
              <w:rPr>
                <w:color w:val="FF0000"/>
                <w:sz w:val="20"/>
                <w:szCs w:val="20"/>
              </w:rPr>
            </w:pPr>
            <w:r w:rsidRPr="006D41FB">
              <w:rPr>
                <w:b/>
                <w:bCs/>
                <w:color w:val="FF0000"/>
                <w:sz w:val="20"/>
                <w:szCs w:val="20"/>
              </w:rPr>
              <w:t>Importo</w:t>
            </w:r>
          </w:p>
        </w:tc>
      </w:tr>
      <w:tr w14:paraId="7CF13EA3" w14:textId="77777777" w:rsidTr="001665F7">
        <w:tblPrEx>
          <w:tblW w:w="9620" w:type="dxa"/>
          <w:tblLook w:val="04A0"/>
        </w:tblPrEx>
        <w:trPr>
          <w:trHeight w:val="280"/>
        </w:trPr>
        <w:tc>
          <w:tcPr>
            <w:tcW w:w="0" w:type="auto"/>
            <w:vAlign w:val="center"/>
            <w:hideMark/>
          </w:tcPr>
          <w:p w:rsidR="00970F38" w:rsidRPr="006D41FB" w14:paraId="7BF53B63" w14:textId="77777777">
            <w:pPr>
              <w:rPr>
                <w:color w:val="FF0000"/>
                <w:sz w:val="18"/>
                <w:szCs w:val="18"/>
              </w:rPr>
            </w:pPr>
            <w:r w:rsidRPr="006D41FB">
              <w:rPr>
                <w:color w:val="FF0000"/>
                <w:sz w:val="18"/>
                <w:szCs w:val="18"/>
              </w:rPr>
              <w:t>LAVORI</w:t>
            </w:r>
          </w:p>
        </w:tc>
        <w:tc>
          <w:tcPr>
            <w:tcW w:w="0" w:type="auto"/>
            <w:vAlign w:val="center"/>
            <w:hideMark/>
          </w:tcPr>
          <w:p w:rsidR="00970F38" w:rsidRPr="006D41FB" w14:paraId="09F451C2" w14:textId="77777777">
            <w:pPr>
              <w:rPr>
                <w:color w:val="FF0000"/>
                <w:sz w:val="18"/>
                <w:szCs w:val="18"/>
              </w:rPr>
            </w:pPr>
            <w:r w:rsidRPr="006D41FB">
              <w:rPr>
                <w:color w:val="FF0000"/>
                <w:sz w:val="18"/>
                <w:szCs w:val="18"/>
              </w:rPr>
              <w:t>531.252.245,85 €</w:t>
            </w:r>
          </w:p>
        </w:tc>
      </w:tr>
      <w:tr w14:paraId="285479BE" w14:textId="77777777" w:rsidTr="001665F7">
        <w:tblPrEx>
          <w:tblW w:w="9620" w:type="dxa"/>
          <w:tblLook w:val="04A0"/>
        </w:tblPrEx>
        <w:trPr>
          <w:trHeight w:val="270"/>
        </w:trPr>
        <w:tc>
          <w:tcPr>
            <w:tcW w:w="0" w:type="auto"/>
            <w:vAlign w:val="center"/>
            <w:hideMark/>
          </w:tcPr>
          <w:p w:rsidR="00970F38" w:rsidRPr="006D41FB" w14:paraId="4DFCF823" w14:textId="77777777">
            <w:pPr>
              <w:rPr>
                <w:color w:val="FF0000"/>
                <w:sz w:val="18"/>
                <w:szCs w:val="18"/>
              </w:rPr>
            </w:pPr>
            <w:r w:rsidRPr="006D41FB">
              <w:rPr>
                <w:color w:val="FF0000"/>
                <w:sz w:val="18"/>
                <w:szCs w:val="18"/>
              </w:rPr>
              <w:t>IVA SU LAVORI E ONERI DI SICUREZZA</w:t>
            </w:r>
          </w:p>
        </w:tc>
        <w:tc>
          <w:tcPr>
            <w:tcW w:w="0" w:type="auto"/>
            <w:vAlign w:val="center"/>
            <w:hideMark/>
          </w:tcPr>
          <w:p w:rsidR="00970F38" w:rsidRPr="006D41FB" w14:paraId="7CC8398B" w14:textId="77777777">
            <w:pPr>
              <w:rPr>
                <w:color w:val="FF0000"/>
                <w:sz w:val="18"/>
                <w:szCs w:val="18"/>
              </w:rPr>
            </w:pPr>
            <w:r w:rsidRPr="006D41FB">
              <w:rPr>
                <w:color w:val="FF0000"/>
                <w:sz w:val="18"/>
                <w:szCs w:val="18"/>
              </w:rPr>
              <w:t>54.349.458,88 €</w:t>
            </w:r>
          </w:p>
        </w:tc>
      </w:tr>
      <w:tr w14:paraId="2BFEDCB1" w14:textId="77777777" w:rsidTr="001665F7">
        <w:tblPrEx>
          <w:tblW w:w="9620" w:type="dxa"/>
          <w:tblLook w:val="04A0"/>
        </w:tblPrEx>
        <w:trPr>
          <w:trHeight w:val="280"/>
        </w:trPr>
        <w:tc>
          <w:tcPr>
            <w:tcW w:w="0" w:type="auto"/>
            <w:vAlign w:val="center"/>
            <w:hideMark/>
          </w:tcPr>
          <w:p w:rsidR="00970F38" w:rsidRPr="006D41FB" w14:paraId="4BCF2565" w14:textId="77777777">
            <w:pPr>
              <w:rPr>
                <w:color w:val="FF0000"/>
                <w:sz w:val="18"/>
                <w:szCs w:val="18"/>
              </w:rPr>
            </w:pPr>
            <w:r w:rsidRPr="006D41FB">
              <w:rPr>
                <w:color w:val="FF0000"/>
                <w:sz w:val="18"/>
                <w:szCs w:val="18"/>
              </w:rPr>
              <w:t>ALTRO</w:t>
            </w:r>
          </w:p>
        </w:tc>
        <w:tc>
          <w:tcPr>
            <w:tcW w:w="0" w:type="auto"/>
            <w:vAlign w:val="center"/>
            <w:hideMark/>
          </w:tcPr>
          <w:p w:rsidR="00970F38" w:rsidRPr="006D41FB" w14:paraId="64DA7672" w14:textId="77777777">
            <w:pPr>
              <w:rPr>
                <w:color w:val="FF0000"/>
                <w:sz w:val="18"/>
                <w:szCs w:val="18"/>
              </w:rPr>
            </w:pPr>
            <w:r w:rsidRPr="006D41FB">
              <w:rPr>
                <w:color w:val="FF0000"/>
                <w:sz w:val="18"/>
                <w:szCs w:val="18"/>
              </w:rPr>
              <w:t>46.646.957,14 €</w:t>
            </w:r>
          </w:p>
        </w:tc>
      </w:tr>
      <w:tr w14:paraId="227D8FB7" w14:textId="77777777" w:rsidTr="001665F7">
        <w:tblPrEx>
          <w:tblW w:w="9620" w:type="dxa"/>
          <w:tblLook w:val="04A0"/>
        </w:tblPrEx>
        <w:trPr>
          <w:trHeight w:val="270"/>
        </w:trPr>
        <w:tc>
          <w:tcPr>
            <w:tcW w:w="0" w:type="auto"/>
            <w:vAlign w:val="center"/>
            <w:hideMark/>
          </w:tcPr>
          <w:p w:rsidR="00970F38" w:rsidRPr="006D41FB" w14:paraId="6B652DA4" w14:textId="77777777">
            <w:pPr>
              <w:rPr>
                <w:color w:val="FF0000"/>
                <w:sz w:val="18"/>
                <w:szCs w:val="18"/>
              </w:rPr>
            </w:pPr>
            <w:r w:rsidRPr="006D41FB">
              <w:rPr>
                <w:color w:val="FF0000"/>
                <w:sz w:val="18"/>
                <w:szCs w:val="18"/>
              </w:rPr>
              <w:t>PROGETTAZIONE E STUDI</w:t>
            </w:r>
          </w:p>
        </w:tc>
        <w:tc>
          <w:tcPr>
            <w:tcW w:w="0" w:type="auto"/>
            <w:vAlign w:val="center"/>
            <w:hideMark/>
          </w:tcPr>
          <w:p w:rsidR="00970F38" w:rsidRPr="006D41FB" w14:paraId="2394E763" w14:textId="77777777">
            <w:pPr>
              <w:rPr>
                <w:color w:val="FF0000"/>
                <w:sz w:val="18"/>
                <w:szCs w:val="18"/>
              </w:rPr>
            </w:pPr>
            <w:r w:rsidRPr="006D41FB">
              <w:rPr>
                <w:color w:val="FF0000"/>
                <w:sz w:val="18"/>
                <w:szCs w:val="18"/>
              </w:rPr>
              <w:t>71.824.742,70 €</w:t>
            </w:r>
          </w:p>
        </w:tc>
      </w:tr>
      <w:tr w14:paraId="7B3DD39C" w14:textId="77777777" w:rsidTr="001665F7">
        <w:tblPrEx>
          <w:tblW w:w="9620" w:type="dxa"/>
          <w:tblLook w:val="04A0"/>
        </w:tblPrEx>
        <w:trPr>
          <w:trHeight w:val="280"/>
        </w:trPr>
        <w:tc>
          <w:tcPr>
            <w:tcW w:w="0" w:type="auto"/>
            <w:vAlign w:val="center"/>
            <w:hideMark/>
          </w:tcPr>
          <w:p w:rsidR="00970F38" w:rsidRPr="006D41FB" w14:paraId="45FF35A6" w14:textId="77777777">
            <w:pPr>
              <w:rPr>
                <w:color w:val="FF0000"/>
                <w:sz w:val="18"/>
                <w:szCs w:val="18"/>
              </w:rPr>
            </w:pPr>
            <w:r w:rsidRPr="006D41FB">
              <w:rPr>
                <w:color w:val="FF0000"/>
                <w:sz w:val="18"/>
                <w:szCs w:val="18"/>
              </w:rPr>
              <w:t>IMPREVISTI</w:t>
            </w:r>
          </w:p>
        </w:tc>
        <w:tc>
          <w:tcPr>
            <w:tcW w:w="0" w:type="auto"/>
            <w:vAlign w:val="center"/>
            <w:hideMark/>
          </w:tcPr>
          <w:p w:rsidR="00970F38" w:rsidRPr="006D41FB" w14:paraId="6AB9F6CC" w14:textId="77777777">
            <w:pPr>
              <w:rPr>
                <w:color w:val="FF0000"/>
                <w:sz w:val="18"/>
                <w:szCs w:val="18"/>
              </w:rPr>
            </w:pPr>
            <w:r w:rsidRPr="006D41FB">
              <w:rPr>
                <w:color w:val="FF0000"/>
                <w:sz w:val="18"/>
                <w:szCs w:val="18"/>
              </w:rPr>
              <w:t>25.436.992,33 €</w:t>
            </w:r>
          </w:p>
        </w:tc>
      </w:tr>
      <w:tr w14:paraId="04E84F61" w14:textId="77777777" w:rsidTr="001665F7">
        <w:tblPrEx>
          <w:tblW w:w="9620" w:type="dxa"/>
          <w:tblLook w:val="04A0"/>
        </w:tblPrEx>
        <w:trPr>
          <w:trHeight w:val="280"/>
        </w:trPr>
        <w:tc>
          <w:tcPr>
            <w:tcW w:w="0" w:type="auto"/>
            <w:vAlign w:val="center"/>
            <w:hideMark/>
          </w:tcPr>
          <w:p w:rsidR="00970F38" w:rsidRPr="006D41FB" w14:paraId="0DEC1045" w14:textId="77777777">
            <w:pPr>
              <w:rPr>
                <w:color w:val="FF0000"/>
                <w:sz w:val="18"/>
                <w:szCs w:val="18"/>
              </w:rPr>
            </w:pPr>
            <w:r w:rsidRPr="006D41FB">
              <w:rPr>
                <w:color w:val="FF0000"/>
                <w:sz w:val="18"/>
                <w:szCs w:val="18"/>
              </w:rPr>
              <w:t>ACQUISIZIONE AREE O IMMOBILI</w:t>
            </w:r>
          </w:p>
        </w:tc>
        <w:tc>
          <w:tcPr>
            <w:tcW w:w="0" w:type="auto"/>
            <w:vAlign w:val="center"/>
            <w:hideMark/>
          </w:tcPr>
          <w:p w:rsidR="00970F38" w:rsidRPr="006D41FB" w14:paraId="3438DFA3" w14:textId="77777777">
            <w:pPr>
              <w:rPr>
                <w:color w:val="FF0000"/>
                <w:sz w:val="18"/>
                <w:szCs w:val="18"/>
              </w:rPr>
            </w:pPr>
            <w:r w:rsidRPr="006D41FB">
              <w:rPr>
                <w:color w:val="FF0000"/>
                <w:sz w:val="18"/>
                <w:szCs w:val="18"/>
              </w:rPr>
              <w:t>11.584.571,01 € </w:t>
            </w:r>
          </w:p>
        </w:tc>
      </w:tr>
      <w:tr w14:paraId="0445DC46" w14:textId="77777777" w:rsidTr="001665F7">
        <w:tblPrEx>
          <w:tblW w:w="9620" w:type="dxa"/>
          <w:tblLook w:val="04A0"/>
        </w:tblPrEx>
        <w:trPr>
          <w:trHeight w:val="270"/>
        </w:trPr>
        <w:tc>
          <w:tcPr>
            <w:tcW w:w="0" w:type="auto"/>
            <w:vAlign w:val="center"/>
            <w:hideMark/>
          </w:tcPr>
          <w:p w:rsidR="00970F38" w:rsidRPr="006D41FB" w14:paraId="5F39E393" w14:textId="77777777">
            <w:pPr>
              <w:rPr>
                <w:color w:val="FF0000"/>
                <w:sz w:val="18"/>
                <w:szCs w:val="18"/>
              </w:rPr>
            </w:pPr>
            <w:r w:rsidRPr="006D41FB">
              <w:rPr>
                <w:color w:val="FF0000"/>
                <w:sz w:val="18"/>
                <w:szCs w:val="18"/>
              </w:rPr>
              <w:t> </w:t>
            </w:r>
          </w:p>
        </w:tc>
        <w:tc>
          <w:tcPr>
            <w:tcW w:w="0" w:type="auto"/>
            <w:vAlign w:val="center"/>
            <w:hideMark/>
          </w:tcPr>
          <w:p w:rsidR="00970F38" w:rsidRPr="006D41FB" w14:paraId="4ADC661A" w14:textId="77777777">
            <w:pPr>
              <w:rPr>
                <w:color w:val="FF0000"/>
                <w:sz w:val="18"/>
                <w:szCs w:val="18"/>
              </w:rPr>
            </w:pPr>
            <w:r w:rsidRPr="006D41FB">
              <w:rPr>
                <w:color w:val="FF0000"/>
                <w:sz w:val="18"/>
                <w:szCs w:val="18"/>
              </w:rPr>
              <w:t>741.094.967,91 € </w:t>
            </w:r>
          </w:p>
        </w:tc>
      </w:tr>
    </w:tbl>
    <w:p w:rsidR="00970F38" w:rsidRPr="006D41FB" w:rsidP="00987C41" w14:paraId="08F7185C" w14:textId="77777777">
      <w:pPr>
        <w:spacing w:after="120"/>
        <w:jc w:val="both"/>
        <w:rPr>
          <w:color w:val="FF0000"/>
        </w:rPr>
      </w:pPr>
    </w:p>
    <w:p w:rsidR="0044520E" w:rsidRPr="006D41FB" w:rsidP="0044520E" w14:paraId="2468170D" w14:textId="77777777">
      <w:pPr>
        <w:jc w:val="both"/>
        <w:rPr>
          <w:color w:val="FF0000"/>
        </w:rPr>
      </w:pPr>
      <w:r w:rsidRPr="006D41FB">
        <w:rPr>
          <w:b/>
          <w:bCs/>
          <w:color w:val="FF0000"/>
        </w:rPr>
        <w:t>Descrizione del progetto</w:t>
      </w:r>
      <w:r w:rsidRPr="006D41FB">
        <w:rPr>
          <w:color w:val="FF0000"/>
        </w:rPr>
        <w:t>: Il progetto concerne l’utilizzo idropotabile e irriguo delle acque dell’invaso di Campolattaro, il punto di forza del progetto è rappresentato dall’impiego produttivo di uno dei principali invasi del Centro Sud, per finalità esclusivamente irrigue. L’opera di Campolattaro concorrerà al fabbisogno idrico di oltre 2,5 milioni di abitanti della Campania, consentendo al contempo l’irrigazione di circa 15.000 ettari della provincia di Benevento, destinati e destinabili a produzioni ad alto valore aggiunto.</w:t>
      </w:r>
    </w:p>
    <w:p w:rsidR="004A6E30" w:rsidRPr="006D41FB" w:rsidP="00987C41" w14:paraId="487A2FD8" w14:textId="77777777">
      <w:pPr>
        <w:spacing w:after="120"/>
        <w:jc w:val="both"/>
        <w:rPr>
          <w:color w:val="FF0000"/>
        </w:rPr>
      </w:pPr>
    </w:p>
    <w:p w:rsidR="004A6E30" w:rsidRPr="006D41FB" w:rsidP="00AC0566" w14:paraId="4C5491D9" w14:textId="2F8BC6DA">
      <w:pPr>
        <w:jc w:val="both"/>
        <w:rPr>
          <w:b/>
          <w:bCs/>
          <w:color w:val="FF0000"/>
        </w:rPr>
      </w:pPr>
      <w:r w:rsidRPr="006D41FB">
        <w:rPr>
          <w:b/>
          <w:bCs/>
          <w:i/>
          <w:iCs/>
          <w:color w:val="FF0000"/>
        </w:rPr>
        <w:t xml:space="preserve">2. ADDUTRICE OTTAVIA – </w:t>
      </w:r>
      <w:r w:rsidRPr="006D41FB">
        <w:rPr>
          <w:b/>
          <w:bCs/>
          <w:i/>
          <w:iCs/>
          <w:color w:val="FF0000"/>
        </w:rPr>
        <w:t xml:space="preserve">TRIONFALE </w:t>
      </w:r>
      <w:r w:rsidRPr="006D41FB" w:rsidR="00AC0566">
        <w:rPr>
          <w:b/>
          <w:bCs/>
          <w:i/>
          <w:iCs/>
          <w:color w:val="FF0000"/>
        </w:rPr>
        <w:t xml:space="preserve"> (</w:t>
      </w:r>
      <w:r w:rsidRPr="006D41FB">
        <w:rPr>
          <w:b/>
          <w:bCs/>
          <w:color w:val="FF0000"/>
        </w:rPr>
        <w:t>CODICE INTERVENTO A1-20</w:t>
      </w:r>
      <w:r w:rsidRPr="006D41FB" w:rsidR="00AC0566">
        <w:rPr>
          <w:b/>
          <w:bCs/>
          <w:color w:val="FF0000"/>
        </w:rPr>
        <w:t>)</w:t>
      </w:r>
    </w:p>
    <w:tbl>
      <w:tblPr>
        <w:tblStyle w:val="TableGrid"/>
        <w:tblW w:w="0" w:type="auto"/>
        <w:tblLook w:val="04A0"/>
      </w:tblPr>
      <w:tblGrid>
        <w:gridCol w:w="9628"/>
      </w:tblGrid>
      <w:tr w14:paraId="0FB11EA4" w14:textId="77777777">
        <w:tblPrEx>
          <w:tblW w:w="0" w:type="auto"/>
          <w:tblLook w:val="04A0"/>
        </w:tblPrEx>
        <w:tc>
          <w:tcPr>
            <w:tcW w:w="9628" w:type="dxa"/>
          </w:tcPr>
          <w:p w:rsidR="002402E8" w:rsidRPr="006D41FB" w14:paraId="391ACE76" w14:textId="77777777">
            <w:pPr>
              <w:jc w:val="both"/>
              <w:rPr>
                <w:b/>
                <w:bCs/>
                <w:color w:val="FF0000"/>
                <w:sz w:val="24"/>
                <w:szCs w:val="24"/>
              </w:rPr>
            </w:pPr>
          </w:p>
          <w:p w:rsidR="00663BC8" w:rsidRPr="006D41FB" w14:paraId="6579E0C7" w14:textId="2CEA71C1">
            <w:pPr>
              <w:jc w:val="both"/>
              <w:rPr>
                <w:color w:val="FF0000"/>
                <w:sz w:val="24"/>
                <w:szCs w:val="24"/>
              </w:rPr>
            </w:pPr>
            <w:r w:rsidRPr="006D41FB">
              <w:rPr>
                <w:b/>
                <w:bCs/>
                <w:color w:val="FF0000"/>
                <w:sz w:val="24"/>
                <w:szCs w:val="24"/>
              </w:rPr>
              <w:t>CUP:</w:t>
            </w:r>
            <w:r w:rsidRPr="006D41FB">
              <w:rPr>
                <w:color w:val="FF0000"/>
                <w:sz w:val="24"/>
                <w:szCs w:val="24"/>
              </w:rPr>
              <w:t xml:space="preserve"> G81B21006050002</w:t>
            </w:r>
          </w:p>
        </w:tc>
      </w:tr>
      <w:tr w14:paraId="7B1A588F" w14:textId="77777777">
        <w:tblPrEx>
          <w:tblW w:w="0" w:type="auto"/>
          <w:tblLook w:val="04A0"/>
        </w:tblPrEx>
        <w:tc>
          <w:tcPr>
            <w:tcW w:w="9628" w:type="dxa"/>
          </w:tcPr>
          <w:p w:rsidR="00663BC8" w:rsidRPr="006D41FB" w14:paraId="18F14615" w14:textId="77777777">
            <w:pPr>
              <w:jc w:val="both"/>
              <w:rPr>
                <w:color w:val="FF0000"/>
                <w:sz w:val="24"/>
                <w:szCs w:val="24"/>
              </w:rPr>
            </w:pPr>
            <w:r w:rsidRPr="006D41FB">
              <w:rPr>
                <w:b/>
                <w:bCs/>
                <w:color w:val="FF0000"/>
                <w:sz w:val="24"/>
                <w:szCs w:val="24"/>
              </w:rPr>
              <w:t>Importo Progetto</w:t>
            </w:r>
            <w:r w:rsidRPr="006D41FB">
              <w:rPr>
                <w:color w:val="FF0000"/>
                <w:sz w:val="24"/>
                <w:szCs w:val="24"/>
              </w:rPr>
              <w:t>: 130.692.800,00 €</w:t>
            </w:r>
          </w:p>
        </w:tc>
      </w:tr>
      <w:tr w14:paraId="5630B0AC" w14:textId="77777777">
        <w:tblPrEx>
          <w:tblW w:w="0" w:type="auto"/>
          <w:tblLook w:val="04A0"/>
        </w:tblPrEx>
        <w:tc>
          <w:tcPr>
            <w:tcW w:w="9628" w:type="dxa"/>
          </w:tcPr>
          <w:p w:rsidR="00663BC8" w:rsidRPr="006D41FB" w14:paraId="3CC46A59" w14:textId="77777777">
            <w:pPr>
              <w:jc w:val="both"/>
              <w:rPr>
                <w:color w:val="FF0000"/>
                <w:sz w:val="24"/>
                <w:szCs w:val="24"/>
              </w:rPr>
            </w:pPr>
            <w:r w:rsidRPr="006D41FB">
              <w:rPr>
                <w:b/>
                <w:bCs/>
                <w:color w:val="FF0000"/>
                <w:sz w:val="24"/>
                <w:szCs w:val="24"/>
              </w:rPr>
              <w:t>Importo PNRR</w:t>
            </w:r>
            <w:r w:rsidRPr="006D41FB">
              <w:rPr>
                <w:color w:val="FF0000"/>
                <w:sz w:val="24"/>
                <w:szCs w:val="24"/>
              </w:rPr>
              <w:t>: 23.000.000,00 €</w:t>
            </w:r>
          </w:p>
        </w:tc>
      </w:tr>
      <w:tr w14:paraId="22EEA79C" w14:textId="77777777">
        <w:tblPrEx>
          <w:tblW w:w="0" w:type="auto"/>
          <w:tblLook w:val="04A0"/>
        </w:tblPrEx>
        <w:tc>
          <w:tcPr>
            <w:tcW w:w="9628" w:type="dxa"/>
          </w:tcPr>
          <w:p w:rsidR="00663BC8" w:rsidRPr="006D41FB" w14:paraId="24F6963F" w14:textId="77777777">
            <w:pPr>
              <w:jc w:val="both"/>
              <w:rPr>
                <w:color w:val="FF0000"/>
                <w:sz w:val="24"/>
                <w:szCs w:val="24"/>
              </w:rPr>
            </w:pPr>
            <w:r w:rsidRPr="006D41FB">
              <w:rPr>
                <w:b/>
                <w:bCs/>
                <w:color w:val="FF0000"/>
                <w:sz w:val="24"/>
                <w:szCs w:val="24"/>
              </w:rPr>
              <w:t>Importo FOI</w:t>
            </w:r>
            <w:r w:rsidRPr="006D41FB">
              <w:rPr>
                <w:color w:val="FF0000"/>
                <w:sz w:val="24"/>
                <w:szCs w:val="24"/>
              </w:rPr>
              <w:t>: 16.417.000,00 €</w:t>
            </w:r>
          </w:p>
        </w:tc>
      </w:tr>
      <w:tr w14:paraId="0CB4A53E" w14:textId="77777777">
        <w:tblPrEx>
          <w:tblW w:w="0" w:type="auto"/>
          <w:tblLook w:val="04A0"/>
        </w:tblPrEx>
        <w:tc>
          <w:tcPr>
            <w:tcW w:w="9628" w:type="dxa"/>
          </w:tcPr>
          <w:p w:rsidR="00663BC8" w:rsidRPr="006D41FB" w14:paraId="38A0D268" w14:textId="77777777">
            <w:pPr>
              <w:jc w:val="both"/>
              <w:rPr>
                <w:color w:val="FF0000"/>
                <w:sz w:val="24"/>
                <w:szCs w:val="24"/>
              </w:rPr>
            </w:pPr>
            <w:r w:rsidRPr="006D41FB">
              <w:rPr>
                <w:b/>
                <w:bCs/>
                <w:color w:val="FF0000"/>
                <w:sz w:val="24"/>
                <w:szCs w:val="24"/>
              </w:rPr>
              <w:t>Altro Nazionale</w:t>
            </w:r>
            <w:r w:rsidRPr="006D41FB">
              <w:rPr>
                <w:color w:val="FF0000"/>
                <w:sz w:val="24"/>
                <w:szCs w:val="24"/>
              </w:rPr>
              <w:t>: 91.275.800,00 €</w:t>
            </w:r>
          </w:p>
        </w:tc>
      </w:tr>
    </w:tbl>
    <w:p w:rsidR="00663BC8" w:rsidRPr="006D41FB" w:rsidP="004A6E30" w14:paraId="2897E005" w14:textId="77777777">
      <w:pPr>
        <w:spacing w:after="120"/>
        <w:jc w:val="both"/>
        <w:rPr>
          <w:color w:val="FF0000"/>
        </w:rPr>
      </w:pPr>
    </w:p>
    <w:p w:rsidR="002402E8" w:rsidRPr="006D41FB" w:rsidP="00AF7CAC" w14:paraId="4C9FF94F" w14:textId="77777777">
      <w:pPr>
        <w:jc w:val="center"/>
        <w:rPr>
          <w:b/>
          <w:bCs/>
          <w:color w:val="FF0000"/>
        </w:rPr>
      </w:pPr>
    </w:p>
    <w:p w:rsidR="002402E8" w:rsidRPr="006D41FB" w:rsidP="00AF7CAC" w14:paraId="296C6803" w14:textId="77777777">
      <w:pPr>
        <w:jc w:val="center"/>
        <w:rPr>
          <w:b/>
          <w:bCs/>
          <w:color w:val="FF0000"/>
        </w:rPr>
      </w:pPr>
    </w:p>
    <w:p w:rsidR="002402E8" w:rsidRPr="006D41FB" w:rsidP="00AF7CAC" w14:paraId="0D611516" w14:textId="77777777">
      <w:pPr>
        <w:jc w:val="center"/>
        <w:rPr>
          <w:b/>
          <w:bCs/>
          <w:color w:val="FF0000"/>
        </w:rPr>
      </w:pPr>
    </w:p>
    <w:p w:rsidR="002402E8" w:rsidRPr="006D41FB" w:rsidP="00AF7CAC" w14:paraId="2AC1D367" w14:textId="77777777">
      <w:pPr>
        <w:jc w:val="center"/>
        <w:rPr>
          <w:b/>
          <w:bCs/>
          <w:color w:val="FF0000"/>
        </w:rPr>
      </w:pPr>
    </w:p>
    <w:p w:rsidR="00AF7CAC" w:rsidRPr="006D41FB" w:rsidP="00AF7CAC" w14:paraId="2EC48AF9" w14:textId="68D7DD39">
      <w:pPr>
        <w:jc w:val="center"/>
        <w:rPr>
          <w:b/>
          <w:bCs/>
          <w:color w:val="FF0000"/>
        </w:rPr>
      </w:pPr>
      <w:r w:rsidRPr="006D41FB">
        <w:rPr>
          <w:b/>
          <w:bCs/>
          <w:color w:val="FF0000"/>
        </w:rPr>
        <w:t>CRONOPROGRAMMA FINANZIARIO</w:t>
      </w:r>
    </w:p>
    <w:tbl>
      <w:tblPr>
        <w:tblW w:w="966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1132"/>
        <w:gridCol w:w="990"/>
        <w:gridCol w:w="1132"/>
        <w:gridCol w:w="1194"/>
        <w:gridCol w:w="1300"/>
        <w:gridCol w:w="1300"/>
        <w:gridCol w:w="1300"/>
        <w:gridCol w:w="1314"/>
      </w:tblGrid>
      <w:tr w14:paraId="4B25C97A" w14:textId="77777777" w:rsidTr="001665F7">
        <w:tblPrEx>
          <w:tblW w:w="9662" w:type="dxa"/>
          <w:tblLayout w:type="fixed"/>
          <w:tblLook w:val="04A0"/>
        </w:tblPrEx>
        <w:trPr>
          <w:trHeight w:val="817"/>
        </w:trPr>
        <w:tc>
          <w:tcPr>
            <w:tcW w:w="1087" w:type="dxa"/>
            <w:vAlign w:val="center"/>
            <w:hideMark/>
          </w:tcPr>
          <w:p w:rsidR="00487A29" w:rsidRPr="006D41FB" w14:paraId="44A15D5C" w14:textId="77777777">
            <w:pPr>
              <w:rPr>
                <w:color w:val="FF0000"/>
                <w:sz w:val="18"/>
                <w:szCs w:val="18"/>
              </w:rPr>
            </w:pPr>
            <w:r w:rsidRPr="006D41FB">
              <w:rPr>
                <w:b/>
                <w:bCs/>
                <w:color w:val="FF0000"/>
                <w:sz w:val="18"/>
                <w:szCs w:val="18"/>
              </w:rPr>
              <w:t>Anno di riferimento</w:t>
            </w:r>
          </w:p>
        </w:tc>
        <w:tc>
          <w:tcPr>
            <w:tcW w:w="960" w:type="dxa"/>
            <w:vAlign w:val="center"/>
            <w:hideMark/>
          </w:tcPr>
          <w:p w:rsidR="00487A29" w:rsidRPr="006D41FB" w14:paraId="7D875B06" w14:textId="77777777">
            <w:pPr>
              <w:jc w:val="center"/>
              <w:rPr>
                <w:color w:val="FF0000"/>
                <w:sz w:val="18"/>
                <w:szCs w:val="18"/>
              </w:rPr>
            </w:pPr>
            <w:r w:rsidRPr="006D41FB">
              <w:rPr>
                <w:color w:val="FF0000"/>
                <w:sz w:val="18"/>
                <w:szCs w:val="18"/>
              </w:rPr>
              <w:t>2021</w:t>
            </w:r>
          </w:p>
        </w:tc>
        <w:tc>
          <w:tcPr>
            <w:tcW w:w="1102" w:type="dxa"/>
            <w:vAlign w:val="center"/>
            <w:hideMark/>
          </w:tcPr>
          <w:p w:rsidR="00487A29" w:rsidRPr="006D41FB" w14:paraId="4CBBF5C2" w14:textId="77777777">
            <w:pPr>
              <w:jc w:val="center"/>
              <w:rPr>
                <w:color w:val="FF0000"/>
                <w:sz w:val="18"/>
                <w:szCs w:val="18"/>
              </w:rPr>
            </w:pPr>
            <w:r w:rsidRPr="006D41FB">
              <w:rPr>
                <w:color w:val="FF0000"/>
                <w:sz w:val="18"/>
                <w:szCs w:val="18"/>
              </w:rPr>
              <w:t>2022</w:t>
            </w:r>
          </w:p>
        </w:tc>
        <w:tc>
          <w:tcPr>
            <w:tcW w:w="1164" w:type="dxa"/>
            <w:vAlign w:val="center"/>
            <w:hideMark/>
          </w:tcPr>
          <w:p w:rsidR="00487A29" w:rsidRPr="006D41FB" w14:paraId="61CFE1A0" w14:textId="77777777">
            <w:pPr>
              <w:jc w:val="center"/>
              <w:rPr>
                <w:color w:val="FF0000"/>
                <w:sz w:val="18"/>
                <w:szCs w:val="18"/>
              </w:rPr>
            </w:pPr>
            <w:r w:rsidRPr="006D41FB">
              <w:rPr>
                <w:color w:val="FF0000"/>
                <w:sz w:val="18"/>
                <w:szCs w:val="18"/>
              </w:rPr>
              <w:t>2023</w:t>
            </w:r>
          </w:p>
        </w:tc>
        <w:tc>
          <w:tcPr>
            <w:tcW w:w="1270" w:type="dxa"/>
            <w:vAlign w:val="center"/>
            <w:hideMark/>
          </w:tcPr>
          <w:p w:rsidR="00487A29" w:rsidRPr="006D41FB" w14:paraId="7F0FA245" w14:textId="77777777">
            <w:pPr>
              <w:jc w:val="center"/>
              <w:rPr>
                <w:color w:val="FF0000"/>
                <w:sz w:val="18"/>
                <w:szCs w:val="18"/>
              </w:rPr>
            </w:pPr>
            <w:r w:rsidRPr="006D41FB">
              <w:rPr>
                <w:color w:val="FF0000"/>
                <w:sz w:val="18"/>
                <w:szCs w:val="18"/>
              </w:rPr>
              <w:t>2024</w:t>
            </w:r>
          </w:p>
        </w:tc>
        <w:tc>
          <w:tcPr>
            <w:tcW w:w="1270" w:type="dxa"/>
            <w:vAlign w:val="center"/>
            <w:hideMark/>
          </w:tcPr>
          <w:p w:rsidR="00487A29" w:rsidRPr="006D41FB" w14:paraId="15D12788" w14:textId="77777777">
            <w:pPr>
              <w:jc w:val="center"/>
              <w:rPr>
                <w:color w:val="FF0000"/>
                <w:sz w:val="18"/>
                <w:szCs w:val="18"/>
              </w:rPr>
            </w:pPr>
            <w:r w:rsidRPr="006D41FB">
              <w:rPr>
                <w:color w:val="FF0000"/>
                <w:sz w:val="18"/>
                <w:szCs w:val="18"/>
              </w:rPr>
              <w:t>2025</w:t>
            </w:r>
          </w:p>
        </w:tc>
        <w:tc>
          <w:tcPr>
            <w:tcW w:w="1270" w:type="dxa"/>
            <w:vAlign w:val="center"/>
            <w:hideMark/>
          </w:tcPr>
          <w:p w:rsidR="00487A29" w:rsidRPr="006D41FB" w14:paraId="13E646A1" w14:textId="77777777">
            <w:pPr>
              <w:jc w:val="center"/>
              <w:rPr>
                <w:color w:val="FF0000"/>
                <w:sz w:val="18"/>
                <w:szCs w:val="18"/>
              </w:rPr>
            </w:pPr>
            <w:r w:rsidRPr="006D41FB">
              <w:rPr>
                <w:color w:val="FF0000"/>
                <w:sz w:val="18"/>
                <w:szCs w:val="18"/>
              </w:rPr>
              <w:t>2026</w:t>
            </w:r>
          </w:p>
        </w:tc>
        <w:tc>
          <w:tcPr>
            <w:tcW w:w="1269" w:type="dxa"/>
            <w:vAlign w:val="center"/>
            <w:hideMark/>
          </w:tcPr>
          <w:p w:rsidR="00487A29" w:rsidRPr="006D41FB" w14:paraId="04304723" w14:textId="77777777">
            <w:pPr>
              <w:jc w:val="center"/>
              <w:rPr>
                <w:color w:val="FF0000"/>
                <w:sz w:val="18"/>
                <w:szCs w:val="18"/>
              </w:rPr>
            </w:pPr>
            <w:r w:rsidRPr="006D41FB">
              <w:rPr>
                <w:color w:val="FF0000"/>
                <w:sz w:val="18"/>
                <w:szCs w:val="18"/>
              </w:rPr>
              <w:t>Totale</w:t>
            </w:r>
          </w:p>
        </w:tc>
      </w:tr>
      <w:tr w14:paraId="2F8ACB92" w14:textId="77777777" w:rsidTr="001665F7">
        <w:tblPrEx>
          <w:tblW w:w="9662" w:type="dxa"/>
          <w:tblLayout w:type="fixed"/>
          <w:tblLook w:val="04A0"/>
        </w:tblPrEx>
        <w:trPr>
          <w:trHeight w:val="1106"/>
        </w:trPr>
        <w:tc>
          <w:tcPr>
            <w:tcW w:w="1087" w:type="dxa"/>
            <w:vAlign w:val="center"/>
            <w:hideMark/>
          </w:tcPr>
          <w:p w:rsidR="00487A29" w:rsidRPr="006D41FB" w14:paraId="03AF3D44" w14:textId="77777777">
            <w:pPr>
              <w:rPr>
                <w:color w:val="FF0000"/>
                <w:sz w:val="18"/>
                <w:szCs w:val="18"/>
              </w:rPr>
            </w:pPr>
            <w:r w:rsidRPr="006D41FB">
              <w:rPr>
                <w:b/>
                <w:bCs/>
                <w:color w:val="FF0000"/>
                <w:sz w:val="18"/>
                <w:szCs w:val="18"/>
              </w:rPr>
              <w:t>Importo da realizzare nell’anno</w:t>
            </w:r>
          </w:p>
        </w:tc>
        <w:tc>
          <w:tcPr>
            <w:tcW w:w="960" w:type="dxa"/>
            <w:vAlign w:val="center"/>
            <w:hideMark/>
          </w:tcPr>
          <w:p w:rsidR="00487A29" w:rsidRPr="006D41FB" w14:paraId="74CE1B6A" w14:textId="77777777">
            <w:pPr>
              <w:jc w:val="right"/>
              <w:rPr>
                <w:color w:val="FF0000"/>
                <w:sz w:val="18"/>
                <w:szCs w:val="18"/>
              </w:rPr>
            </w:pPr>
            <w:r w:rsidRPr="006D41FB">
              <w:rPr>
                <w:color w:val="FF0000"/>
                <w:sz w:val="18"/>
                <w:szCs w:val="18"/>
              </w:rPr>
              <w:t>-   € </w:t>
            </w:r>
          </w:p>
        </w:tc>
        <w:tc>
          <w:tcPr>
            <w:tcW w:w="1102" w:type="dxa"/>
            <w:vAlign w:val="center"/>
            <w:hideMark/>
          </w:tcPr>
          <w:p w:rsidR="00487A29" w:rsidRPr="006D41FB" w14:paraId="21FE96D0" w14:textId="77777777">
            <w:pPr>
              <w:jc w:val="right"/>
              <w:rPr>
                <w:color w:val="FF0000"/>
                <w:sz w:val="18"/>
                <w:szCs w:val="18"/>
              </w:rPr>
            </w:pPr>
            <w:r w:rsidRPr="006D41FB">
              <w:rPr>
                <w:color w:val="FF0000"/>
                <w:sz w:val="18"/>
                <w:szCs w:val="18"/>
              </w:rPr>
              <w:t>-   € </w:t>
            </w:r>
          </w:p>
        </w:tc>
        <w:tc>
          <w:tcPr>
            <w:tcW w:w="1164" w:type="dxa"/>
            <w:vAlign w:val="center"/>
            <w:hideMark/>
          </w:tcPr>
          <w:p w:rsidR="00487A29" w:rsidRPr="006D41FB" w14:paraId="3EEC7338" w14:textId="77777777">
            <w:pPr>
              <w:jc w:val="right"/>
              <w:rPr>
                <w:color w:val="FF0000"/>
                <w:sz w:val="18"/>
                <w:szCs w:val="18"/>
              </w:rPr>
            </w:pPr>
            <w:r w:rsidRPr="006D41FB">
              <w:rPr>
                <w:color w:val="FF0000"/>
                <w:sz w:val="18"/>
                <w:szCs w:val="18"/>
              </w:rPr>
              <w:t>-   € </w:t>
            </w:r>
          </w:p>
        </w:tc>
        <w:tc>
          <w:tcPr>
            <w:tcW w:w="1270" w:type="dxa"/>
            <w:vAlign w:val="center"/>
            <w:hideMark/>
          </w:tcPr>
          <w:p w:rsidR="00487A29" w:rsidRPr="006D41FB" w14:paraId="100CF407" w14:textId="77777777">
            <w:pPr>
              <w:jc w:val="right"/>
              <w:rPr>
                <w:color w:val="FF0000"/>
                <w:sz w:val="18"/>
                <w:szCs w:val="18"/>
              </w:rPr>
            </w:pPr>
            <w:r w:rsidRPr="006D41FB">
              <w:rPr>
                <w:color w:val="FF0000"/>
                <w:sz w:val="18"/>
                <w:szCs w:val="18"/>
              </w:rPr>
              <w:t>-   € </w:t>
            </w:r>
          </w:p>
        </w:tc>
        <w:tc>
          <w:tcPr>
            <w:tcW w:w="1270" w:type="dxa"/>
            <w:vAlign w:val="center"/>
            <w:hideMark/>
          </w:tcPr>
          <w:p w:rsidR="00487A29" w:rsidRPr="006D41FB" w14:paraId="5BFA6B5C" w14:textId="77777777">
            <w:pPr>
              <w:jc w:val="right"/>
              <w:rPr>
                <w:color w:val="FF0000"/>
                <w:sz w:val="18"/>
                <w:szCs w:val="18"/>
              </w:rPr>
            </w:pPr>
            <w:r w:rsidRPr="006D41FB">
              <w:rPr>
                <w:color w:val="FF0000"/>
                <w:sz w:val="18"/>
                <w:szCs w:val="18"/>
              </w:rPr>
              <w:t>45.659.236,15 € </w:t>
            </w:r>
          </w:p>
        </w:tc>
        <w:tc>
          <w:tcPr>
            <w:tcW w:w="1270" w:type="dxa"/>
            <w:vAlign w:val="center"/>
            <w:hideMark/>
          </w:tcPr>
          <w:p w:rsidR="00487A29" w:rsidRPr="006D41FB" w14:paraId="30F598D1" w14:textId="77777777">
            <w:pPr>
              <w:jc w:val="right"/>
              <w:rPr>
                <w:color w:val="FF0000"/>
                <w:sz w:val="18"/>
                <w:szCs w:val="18"/>
              </w:rPr>
            </w:pPr>
            <w:r w:rsidRPr="006D41FB">
              <w:rPr>
                <w:color w:val="FF0000"/>
                <w:sz w:val="18"/>
                <w:szCs w:val="18"/>
              </w:rPr>
              <w:t>37.318.051,02 € </w:t>
            </w:r>
          </w:p>
        </w:tc>
        <w:tc>
          <w:tcPr>
            <w:tcW w:w="1269" w:type="dxa"/>
            <w:vAlign w:val="center"/>
            <w:hideMark/>
          </w:tcPr>
          <w:p w:rsidR="00487A29" w:rsidRPr="006D41FB" w14:paraId="58F44F15" w14:textId="77777777">
            <w:pPr>
              <w:jc w:val="right"/>
              <w:rPr>
                <w:color w:val="FF0000"/>
                <w:sz w:val="18"/>
                <w:szCs w:val="18"/>
              </w:rPr>
            </w:pPr>
            <w:r w:rsidRPr="006D41FB">
              <w:rPr>
                <w:color w:val="FF0000"/>
                <w:sz w:val="18"/>
                <w:szCs w:val="18"/>
              </w:rPr>
              <w:t>82.977.287,17 €</w:t>
            </w:r>
          </w:p>
        </w:tc>
      </w:tr>
      <w:tr w14:paraId="68974C88" w14:textId="77777777" w:rsidTr="001665F7">
        <w:tblPrEx>
          <w:tblW w:w="9662" w:type="dxa"/>
          <w:tblLayout w:type="fixed"/>
          <w:tblLook w:val="04A0"/>
        </w:tblPrEx>
        <w:trPr>
          <w:trHeight w:val="817"/>
        </w:trPr>
        <w:tc>
          <w:tcPr>
            <w:tcW w:w="1087" w:type="dxa"/>
            <w:vAlign w:val="center"/>
            <w:hideMark/>
          </w:tcPr>
          <w:p w:rsidR="00487A29" w:rsidRPr="006D41FB" w14:paraId="7AB06BF0" w14:textId="77777777">
            <w:pPr>
              <w:rPr>
                <w:color w:val="FF0000"/>
                <w:sz w:val="18"/>
                <w:szCs w:val="18"/>
              </w:rPr>
            </w:pPr>
            <w:r w:rsidRPr="006D41FB">
              <w:rPr>
                <w:b/>
                <w:bCs/>
                <w:color w:val="FF0000"/>
                <w:sz w:val="18"/>
                <w:szCs w:val="18"/>
              </w:rPr>
              <w:t>Importo realizzato nell’anno</w:t>
            </w:r>
          </w:p>
        </w:tc>
        <w:tc>
          <w:tcPr>
            <w:tcW w:w="960" w:type="dxa"/>
            <w:vAlign w:val="center"/>
            <w:hideMark/>
          </w:tcPr>
          <w:p w:rsidR="00487A29" w:rsidRPr="006D41FB" w14:paraId="5D29D677" w14:textId="77777777">
            <w:pPr>
              <w:jc w:val="right"/>
              <w:rPr>
                <w:color w:val="FF0000"/>
                <w:sz w:val="18"/>
                <w:szCs w:val="18"/>
              </w:rPr>
            </w:pPr>
            <w:r w:rsidRPr="006D41FB">
              <w:rPr>
                <w:color w:val="FF0000"/>
                <w:sz w:val="18"/>
                <w:szCs w:val="18"/>
              </w:rPr>
              <w:t>17.421,30 € </w:t>
            </w:r>
          </w:p>
        </w:tc>
        <w:tc>
          <w:tcPr>
            <w:tcW w:w="1102" w:type="dxa"/>
            <w:vAlign w:val="center"/>
            <w:hideMark/>
          </w:tcPr>
          <w:p w:rsidR="00487A29" w:rsidRPr="006D41FB" w14:paraId="29156BDF" w14:textId="77777777">
            <w:pPr>
              <w:jc w:val="right"/>
              <w:rPr>
                <w:color w:val="FF0000"/>
                <w:sz w:val="18"/>
                <w:szCs w:val="18"/>
              </w:rPr>
            </w:pPr>
            <w:r w:rsidRPr="006D41FB">
              <w:rPr>
                <w:color w:val="FF0000"/>
                <w:sz w:val="18"/>
                <w:szCs w:val="18"/>
              </w:rPr>
              <w:t>1.260.986,32 € </w:t>
            </w:r>
          </w:p>
        </w:tc>
        <w:tc>
          <w:tcPr>
            <w:tcW w:w="1164" w:type="dxa"/>
            <w:vAlign w:val="center"/>
            <w:hideMark/>
          </w:tcPr>
          <w:p w:rsidR="00487A29" w:rsidRPr="006D41FB" w14:paraId="35D81F48" w14:textId="77777777">
            <w:pPr>
              <w:jc w:val="right"/>
              <w:rPr>
                <w:color w:val="FF0000"/>
                <w:sz w:val="18"/>
                <w:szCs w:val="18"/>
              </w:rPr>
            </w:pPr>
            <w:r w:rsidRPr="006D41FB">
              <w:rPr>
                <w:color w:val="FF0000"/>
                <w:sz w:val="18"/>
                <w:szCs w:val="18"/>
              </w:rPr>
              <w:t>1.524.689,47 € </w:t>
            </w:r>
          </w:p>
        </w:tc>
        <w:tc>
          <w:tcPr>
            <w:tcW w:w="1270" w:type="dxa"/>
            <w:vAlign w:val="center"/>
            <w:hideMark/>
          </w:tcPr>
          <w:p w:rsidR="00487A29" w:rsidRPr="006D41FB" w14:paraId="3F34DBC2" w14:textId="77777777">
            <w:pPr>
              <w:jc w:val="right"/>
              <w:rPr>
                <w:color w:val="FF0000"/>
                <w:sz w:val="18"/>
                <w:szCs w:val="18"/>
              </w:rPr>
            </w:pPr>
            <w:r w:rsidRPr="006D41FB">
              <w:rPr>
                <w:color w:val="FF0000"/>
                <w:sz w:val="18"/>
                <w:szCs w:val="18"/>
              </w:rPr>
              <w:t>22.998.009,28 € </w:t>
            </w:r>
          </w:p>
        </w:tc>
        <w:tc>
          <w:tcPr>
            <w:tcW w:w="1270" w:type="dxa"/>
            <w:vAlign w:val="center"/>
            <w:hideMark/>
          </w:tcPr>
          <w:p w:rsidR="00487A29" w:rsidRPr="006D41FB" w14:paraId="69DF69B5" w14:textId="77777777">
            <w:pPr>
              <w:jc w:val="right"/>
              <w:rPr>
                <w:color w:val="FF0000"/>
                <w:sz w:val="18"/>
                <w:szCs w:val="18"/>
              </w:rPr>
            </w:pPr>
            <w:r w:rsidRPr="006D41FB">
              <w:rPr>
                <w:color w:val="FF0000"/>
                <w:sz w:val="18"/>
                <w:szCs w:val="18"/>
              </w:rPr>
              <w:t>21.914.406,46 € </w:t>
            </w:r>
          </w:p>
        </w:tc>
        <w:tc>
          <w:tcPr>
            <w:tcW w:w="1270" w:type="dxa"/>
            <w:vAlign w:val="center"/>
            <w:hideMark/>
          </w:tcPr>
          <w:p w:rsidR="00487A29" w:rsidRPr="006D41FB" w14:paraId="3AE7227D" w14:textId="77777777">
            <w:pPr>
              <w:jc w:val="right"/>
              <w:rPr>
                <w:color w:val="FF0000"/>
                <w:sz w:val="18"/>
                <w:szCs w:val="18"/>
              </w:rPr>
            </w:pPr>
            <w:r w:rsidRPr="006D41FB">
              <w:rPr>
                <w:color w:val="FF0000"/>
                <w:sz w:val="18"/>
                <w:szCs w:val="18"/>
              </w:rPr>
              <w:t>-   € </w:t>
            </w:r>
          </w:p>
        </w:tc>
        <w:tc>
          <w:tcPr>
            <w:tcW w:w="1269" w:type="dxa"/>
            <w:vAlign w:val="center"/>
            <w:hideMark/>
          </w:tcPr>
          <w:p w:rsidR="00487A29" w:rsidRPr="006D41FB" w14:paraId="5022F82A" w14:textId="77777777">
            <w:pPr>
              <w:jc w:val="right"/>
              <w:rPr>
                <w:color w:val="FF0000"/>
                <w:sz w:val="18"/>
                <w:szCs w:val="18"/>
              </w:rPr>
            </w:pPr>
            <w:r w:rsidRPr="006D41FB">
              <w:rPr>
                <w:color w:val="FF0000"/>
                <w:sz w:val="18"/>
                <w:szCs w:val="18"/>
              </w:rPr>
              <w:t>47.715.512,83 € </w:t>
            </w:r>
          </w:p>
        </w:tc>
      </w:tr>
      <w:tr w14:paraId="7BBC11A1" w14:textId="77777777" w:rsidTr="001665F7">
        <w:tblPrEx>
          <w:tblW w:w="9662" w:type="dxa"/>
          <w:tblLayout w:type="fixed"/>
          <w:tblLook w:val="04A0"/>
        </w:tblPrEx>
        <w:trPr>
          <w:trHeight w:val="547"/>
        </w:trPr>
        <w:tc>
          <w:tcPr>
            <w:tcW w:w="1087" w:type="dxa"/>
            <w:vAlign w:val="center"/>
            <w:hideMark/>
          </w:tcPr>
          <w:p w:rsidR="00487A29" w:rsidRPr="006D41FB" w14:paraId="0F5FDF1E" w14:textId="77777777">
            <w:pPr>
              <w:rPr>
                <w:color w:val="FF0000"/>
                <w:sz w:val="18"/>
                <w:szCs w:val="18"/>
              </w:rPr>
            </w:pPr>
            <w:r w:rsidRPr="006D41FB">
              <w:rPr>
                <w:color w:val="FF0000"/>
                <w:sz w:val="18"/>
                <w:szCs w:val="18"/>
              </w:rPr>
              <w:t> </w:t>
            </w:r>
          </w:p>
        </w:tc>
        <w:tc>
          <w:tcPr>
            <w:tcW w:w="960" w:type="dxa"/>
            <w:vAlign w:val="center"/>
            <w:hideMark/>
          </w:tcPr>
          <w:p w:rsidR="00487A29" w:rsidRPr="006D41FB" w14:paraId="6BFF2FFA" w14:textId="77777777">
            <w:pPr>
              <w:jc w:val="right"/>
              <w:rPr>
                <w:color w:val="FF0000"/>
                <w:sz w:val="18"/>
                <w:szCs w:val="18"/>
              </w:rPr>
            </w:pPr>
            <w:r w:rsidRPr="006D41FB">
              <w:rPr>
                <w:color w:val="FF0000"/>
                <w:sz w:val="18"/>
                <w:szCs w:val="18"/>
              </w:rPr>
              <w:t> </w:t>
            </w:r>
          </w:p>
        </w:tc>
        <w:tc>
          <w:tcPr>
            <w:tcW w:w="1102" w:type="dxa"/>
            <w:vAlign w:val="center"/>
            <w:hideMark/>
          </w:tcPr>
          <w:p w:rsidR="00487A29" w:rsidRPr="006D41FB" w14:paraId="37E07EDC" w14:textId="77777777">
            <w:pPr>
              <w:jc w:val="right"/>
              <w:rPr>
                <w:color w:val="FF0000"/>
                <w:sz w:val="18"/>
                <w:szCs w:val="18"/>
              </w:rPr>
            </w:pPr>
            <w:r w:rsidRPr="006D41FB">
              <w:rPr>
                <w:color w:val="FF0000"/>
                <w:sz w:val="18"/>
                <w:szCs w:val="18"/>
              </w:rPr>
              <w:t> </w:t>
            </w:r>
          </w:p>
        </w:tc>
        <w:tc>
          <w:tcPr>
            <w:tcW w:w="1164" w:type="dxa"/>
            <w:vAlign w:val="center"/>
            <w:hideMark/>
          </w:tcPr>
          <w:p w:rsidR="00487A29" w:rsidRPr="006D41FB" w14:paraId="3A6F8D46" w14:textId="77777777">
            <w:pPr>
              <w:jc w:val="right"/>
              <w:rPr>
                <w:color w:val="FF0000"/>
                <w:sz w:val="18"/>
                <w:szCs w:val="18"/>
              </w:rPr>
            </w:pPr>
            <w:r w:rsidRPr="006D41FB">
              <w:rPr>
                <w:color w:val="FF0000"/>
                <w:sz w:val="18"/>
                <w:szCs w:val="18"/>
              </w:rPr>
              <w:t> </w:t>
            </w:r>
          </w:p>
        </w:tc>
        <w:tc>
          <w:tcPr>
            <w:tcW w:w="1270" w:type="dxa"/>
            <w:vAlign w:val="center"/>
            <w:hideMark/>
          </w:tcPr>
          <w:p w:rsidR="00487A29" w:rsidRPr="006D41FB" w14:paraId="648B779E" w14:textId="77777777">
            <w:pPr>
              <w:jc w:val="right"/>
              <w:rPr>
                <w:color w:val="FF0000"/>
                <w:sz w:val="18"/>
                <w:szCs w:val="18"/>
              </w:rPr>
            </w:pPr>
            <w:r w:rsidRPr="006D41FB">
              <w:rPr>
                <w:color w:val="FF0000"/>
                <w:sz w:val="18"/>
                <w:szCs w:val="18"/>
              </w:rPr>
              <w:t> </w:t>
            </w:r>
          </w:p>
        </w:tc>
        <w:tc>
          <w:tcPr>
            <w:tcW w:w="1270" w:type="dxa"/>
            <w:vAlign w:val="center"/>
            <w:hideMark/>
          </w:tcPr>
          <w:p w:rsidR="00487A29" w:rsidRPr="006D41FB" w14:paraId="5578C349" w14:textId="77777777">
            <w:pPr>
              <w:jc w:val="right"/>
              <w:rPr>
                <w:color w:val="FF0000"/>
                <w:sz w:val="18"/>
                <w:szCs w:val="18"/>
              </w:rPr>
            </w:pPr>
            <w:r w:rsidRPr="006D41FB">
              <w:rPr>
                <w:color w:val="FF0000"/>
                <w:sz w:val="18"/>
                <w:szCs w:val="18"/>
              </w:rPr>
              <w:t> </w:t>
            </w:r>
          </w:p>
        </w:tc>
        <w:tc>
          <w:tcPr>
            <w:tcW w:w="1270" w:type="dxa"/>
            <w:vAlign w:val="center"/>
            <w:hideMark/>
          </w:tcPr>
          <w:p w:rsidR="00487A29" w:rsidRPr="006D41FB" w14:paraId="14E8AE06" w14:textId="77777777">
            <w:pPr>
              <w:jc w:val="right"/>
              <w:rPr>
                <w:color w:val="FF0000"/>
                <w:sz w:val="18"/>
                <w:szCs w:val="18"/>
              </w:rPr>
            </w:pPr>
            <w:r w:rsidRPr="006D41FB">
              <w:rPr>
                <w:color w:val="FF0000"/>
                <w:sz w:val="18"/>
                <w:szCs w:val="18"/>
              </w:rPr>
              <w:t> </w:t>
            </w:r>
          </w:p>
        </w:tc>
        <w:tc>
          <w:tcPr>
            <w:tcW w:w="1269" w:type="dxa"/>
            <w:vAlign w:val="center"/>
            <w:hideMark/>
          </w:tcPr>
          <w:p w:rsidR="00487A29" w:rsidRPr="006D41FB" w14:paraId="3D68E23D" w14:textId="77777777">
            <w:pPr>
              <w:jc w:val="right"/>
              <w:rPr>
                <w:b/>
                <w:bCs/>
                <w:color w:val="FF0000"/>
                <w:sz w:val="18"/>
                <w:szCs w:val="18"/>
              </w:rPr>
            </w:pPr>
            <w:r w:rsidRPr="006D41FB">
              <w:rPr>
                <w:color w:val="FF0000"/>
                <w:sz w:val="18"/>
                <w:szCs w:val="18"/>
              </w:rPr>
              <w:t>130.692.800,00</w:t>
            </w:r>
            <w:r w:rsidRPr="006D41FB">
              <w:rPr>
                <w:b/>
                <w:bCs/>
                <w:color w:val="FF0000"/>
                <w:sz w:val="18"/>
                <w:szCs w:val="18"/>
              </w:rPr>
              <w:t xml:space="preserve"> €</w:t>
            </w:r>
          </w:p>
        </w:tc>
      </w:tr>
    </w:tbl>
    <w:p w:rsidR="00AF7CAC" w:rsidRPr="006D41FB" w:rsidP="004A6E30" w14:paraId="5370F06E" w14:textId="77777777">
      <w:pPr>
        <w:spacing w:after="120"/>
        <w:jc w:val="both"/>
        <w:rPr>
          <w:color w:val="FF0000"/>
        </w:rPr>
      </w:pPr>
    </w:p>
    <w:p w:rsidR="00B83D7B" w:rsidRPr="006D41FB" w:rsidP="00B83D7B" w14:paraId="4B1AD68E" w14:textId="77777777">
      <w:pPr>
        <w:jc w:val="center"/>
        <w:rPr>
          <w:b/>
          <w:bCs/>
          <w:color w:val="FF0000"/>
        </w:rPr>
      </w:pPr>
      <w:r w:rsidRPr="006D41FB">
        <w:rPr>
          <w:b/>
          <w:bCs/>
          <w:color w:val="FF0000"/>
        </w:rPr>
        <w:t>QUADRO ECONOMICO</w:t>
      </w:r>
    </w:p>
    <w:p w:rsidR="0039735B" w:rsidRPr="006D41FB" w:rsidP="004A6E30" w14:paraId="0D6B8486" w14:textId="0905076A">
      <w:pPr>
        <w:spacing w:after="120"/>
        <w:jc w:val="both"/>
        <w:rPr>
          <w:color w:val="FF0000"/>
        </w:rPr>
      </w:pPr>
    </w:p>
    <w:tbl>
      <w:tblPr>
        <w:tblW w:w="963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559"/>
        <w:gridCol w:w="3073"/>
      </w:tblGrid>
      <w:tr w14:paraId="4234E723" w14:textId="77777777">
        <w:tblPrEx>
          <w:tblW w:w="9632" w:type="dxa"/>
          <w:tblLook w:val="04A0"/>
        </w:tblPrEx>
        <w:trPr>
          <w:trHeight w:val="307"/>
        </w:trPr>
        <w:tc>
          <w:tcPr>
            <w:tcW w:w="0" w:type="auto"/>
            <w:vAlign w:val="center"/>
            <w:hideMark/>
          </w:tcPr>
          <w:p w:rsidR="00ED623A" w:rsidRPr="006D41FB" w14:paraId="32CDCCDA" w14:textId="77777777">
            <w:pPr>
              <w:rPr>
                <w:color w:val="FF0000"/>
                <w:sz w:val="18"/>
                <w:szCs w:val="18"/>
              </w:rPr>
            </w:pPr>
            <w:r w:rsidRPr="006D41FB">
              <w:rPr>
                <w:b/>
                <w:bCs/>
                <w:color w:val="FF0000"/>
                <w:sz w:val="18"/>
                <w:szCs w:val="18"/>
              </w:rPr>
              <w:t>Tipologia voce spesa</w:t>
            </w:r>
          </w:p>
        </w:tc>
        <w:tc>
          <w:tcPr>
            <w:tcW w:w="0" w:type="auto"/>
            <w:vAlign w:val="center"/>
            <w:hideMark/>
          </w:tcPr>
          <w:p w:rsidR="00ED623A" w:rsidRPr="006D41FB" w14:paraId="1C38983C" w14:textId="77777777">
            <w:pPr>
              <w:rPr>
                <w:color w:val="FF0000"/>
                <w:sz w:val="18"/>
                <w:szCs w:val="18"/>
              </w:rPr>
            </w:pPr>
            <w:r w:rsidRPr="006D41FB">
              <w:rPr>
                <w:b/>
                <w:bCs/>
                <w:color w:val="FF0000"/>
                <w:sz w:val="18"/>
                <w:szCs w:val="18"/>
              </w:rPr>
              <w:t>Importo</w:t>
            </w:r>
          </w:p>
        </w:tc>
      </w:tr>
      <w:tr w14:paraId="66261C41" w14:textId="77777777">
        <w:tblPrEx>
          <w:tblW w:w="9632" w:type="dxa"/>
          <w:tblLook w:val="04A0"/>
        </w:tblPrEx>
        <w:trPr>
          <w:trHeight w:val="318"/>
        </w:trPr>
        <w:tc>
          <w:tcPr>
            <w:tcW w:w="0" w:type="auto"/>
            <w:vAlign w:val="center"/>
            <w:hideMark/>
          </w:tcPr>
          <w:p w:rsidR="00ED623A" w:rsidRPr="006D41FB" w14:paraId="029407CB" w14:textId="77777777">
            <w:pPr>
              <w:rPr>
                <w:color w:val="FF0000"/>
                <w:sz w:val="18"/>
                <w:szCs w:val="18"/>
              </w:rPr>
            </w:pPr>
            <w:r w:rsidRPr="006D41FB">
              <w:rPr>
                <w:color w:val="FF0000"/>
                <w:sz w:val="18"/>
                <w:szCs w:val="18"/>
              </w:rPr>
              <w:t>ALTRO</w:t>
            </w:r>
          </w:p>
        </w:tc>
        <w:tc>
          <w:tcPr>
            <w:tcW w:w="0" w:type="auto"/>
            <w:vAlign w:val="center"/>
            <w:hideMark/>
          </w:tcPr>
          <w:p w:rsidR="00ED623A" w:rsidRPr="006D41FB" w14:paraId="03FB98EB" w14:textId="77777777">
            <w:pPr>
              <w:jc w:val="right"/>
              <w:rPr>
                <w:color w:val="FF0000"/>
                <w:sz w:val="18"/>
                <w:szCs w:val="18"/>
              </w:rPr>
            </w:pPr>
            <w:r w:rsidRPr="006D41FB">
              <w:rPr>
                <w:color w:val="FF0000"/>
                <w:sz w:val="18"/>
                <w:szCs w:val="18"/>
              </w:rPr>
              <w:t>41.887.462,78 €</w:t>
            </w:r>
          </w:p>
        </w:tc>
      </w:tr>
      <w:tr w14:paraId="136BFB3E" w14:textId="77777777">
        <w:tblPrEx>
          <w:tblW w:w="9632" w:type="dxa"/>
          <w:tblLook w:val="04A0"/>
        </w:tblPrEx>
        <w:trPr>
          <w:trHeight w:val="307"/>
        </w:trPr>
        <w:tc>
          <w:tcPr>
            <w:tcW w:w="0" w:type="auto"/>
            <w:vAlign w:val="center"/>
            <w:hideMark/>
          </w:tcPr>
          <w:p w:rsidR="00ED623A" w:rsidRPr="006D41FB" w14:paraId="5F16D2E0" w14:textId="77777777">
            <w:pPr>
              <w:rPr>
                <w:color w:val="FF0000"/>
                <w:sz w:val="18"/>
                <w:szCs w:val="18"/>
              </w:rPr>
            </w:pPr>
            <w:r w:rsidRPr="006D41FB">
              <w:rPr>
                <w:color w:val="FF0000"/>
                <w:sz w:val="18"/>
                <w:szCs w:val="18"/>
              </w:rPr>
              <w:t>PROGETTAZIONE E STUDI</w:t>
            </w:r>
          </w:p>
        </w:tc>
        <w:tc>
          <w:tcPr>
            <w:tcW w:w="0" w:type="auto"/>
            <w:vAlign w:val="center"/>
            <w:hideMark/>
          </w:tcPr>
          <w:p w:rsidR="00ED623A" w:rsidRPr="006D41FB" w14:paraId="09A4D42A" w14:textId="77777777">
            <w:pPr>
              <w:jc w:val="right"/>
              <w:rPr>
                <w:color w:val="FF0000"/>
                <w:sz w:val="18"/>
                <w:szCs w:val="18"/>
              </w:rPr>
            </w:pPr>
            <w:r w:rsidRPr="006D41FB">
              <w:rPr>
                <w:color w:val="FF0000"/>
                <w:sz w:val="18"/>
                <w:szCs w:val="18"/>
              </w:rPr>
              <w:t>3.655.408,00 €</w:t>
            </w:r>
          </w:p>
        </w:tc>
      </w:tr>
      <w:tr w14:paraId="6090D4FE" w14:textId="77777777">
        <w:tblPrEx>
          <w:tblW w:w="9632" w:type="dxa"/>
          <w:tblLook w:val="04A0"/>
        </w:tblPrEx>
        <w:trPr>
          <w:trHeight w:val="318"/>
        </w:trPr>
        <w:tc>
          <w:tcPr>
            <w:tcW w:w="0" w:type="auto"/>
            <w:vAlign w:val="center"/>
            <w:hideMark/>
          </w:tcPr>
          <w:p w:rsidR="00ED623A" w:rsidRPr="006D41FB" w14:paraId="309244E7" w14:textId="77777777">
            <w:pPr>
              <w:rPr>
                <w:color w:val="FF0000"/>
                <w:sz w:val="18"/>
                <w:szCs w:val="18"/>
              </w:rPr>
            </w:pPr>
            <w:r w:rsidRPr="006D41FB">
              <w:rPr>
                <w:color w:val="FF0000"/>
                <w:sz w:val="18"/>
                <w:szCs w:val="18"/>
              </w:rPr>
              <w:t>IMPREVISTI</w:t>
            </w:r>
          </w:p>
        </w:tc>
        <w:tc>
          <w:tcPr>
            <w:tcW w:w="0" w:type="auto"/>
            <w:vAlign w:val="center"/>
            <w:hideMark/>
          </w:tcPr>
          <w:p w:rsidR="00ED623A" w:rsidRPr="006D41FB" w14:paraId="766A216A" w14:textId="77777777">
            <w:pPr>
              <w:jc w:val="right"/>
              <w:rPr>
                <w:color w:val="FF0000"/>
                <w:sz w:val="18"/>
                <w:szCs w:val="18"/>
              </w:rPr>
            </w:pPr>
            <w:r w:rsidRPr="006D41FB">
              <w:rPr>
                <w:color w:val="FF0000"/>
                <w:sz w:val="18"/>
                <w:szCs w:val="18"/>
              </w:rPr>
              <w:t>5.930.698,49 €</w:t>
            </w:r>
          </w:p>
        </w:tc>
      </w:tr>
      <w:tr w14:paraId="7B28FD28" w14:textId="77777777">
        <w:tblPrEx>
          <w:tblW w:w="9632" w:type="dxa"/>
          <w:tblLook w:val="04A0"/>
        </w:tblPrEx>
        <w:trPr>
          <w:trHeight w:val="307"/>
        </w:trPr>
        <w:tc>
          <w:tcPr>
            <w:tcW w:w="0" w:type="auto"/>
            <w:vAlign w:val="center"/>
            <w:hideMark/>
          </w:tcPr>
          <w:p w:rsidR="00ED623A" w:rsidRPr="006D41FB" w14:paraId="2F480D49" w14:textId="77777777">
            <w:pPr>
              <w:rPr>
                <w:color w:val="FF0000"/>
                <w:sz w:val="18"/>
                <w:szCs w:val="18"/>
              </w:rPr>
            </w:pPr>
            <w:r w:rsidRPr="006D41FB">
              <w:rPr>
                <w:color w:val="FF0000"/>
                <w:sz w:val="18"/>
                <w:szCs w:val="18"/>
              </w:rPr>
              <w:t>ACQUISIZIONE AREE O IMMOBILI</w:t>
            </w:r>
          </w:p>
        </w:tc>
        <w:tc>
          <w:tcPr>
            <w:tcW w:w="0" w:type="auto"/>
            <w:vAlign w:val="center"/>
            <w:hideMark/>
          </w:tcPr>
          <w:p w:rsidR="00ED623A" w:rsidRPr="006D41FB" w14:paraId="7A326A67" w14:textId="77777777">
            <w:pPr>
              <w:jc w:val="right"/>
              <w:rPr>
                <w:color w:val="FF0000"/>
                <w:sz w:val="18"/>
                <w:szCs w:val="18"/>
              </w:rPr>
            </w:pPr>
            <w:r w:rsidRPr="006D41FB">
              <w:rPr>
                <w:color w:val="FF0000"/>
                <w:sz w:val="18"/>
                <w:szCs w:val="18"/>
              </w:rPr>
              <w:t>1.000.000,00 €</w:t>
            </w:r>
          </w:p>
        </w:tc>
      </w:tr>
      <w:tr w14:paraId="3EFCB4C5" w14:textId="77777777">
        <w:tblPrEx>
          <w:tblW w:w="9632" w:type="dxa"/>
          <w:tblLook w:val="04A0"/>
        </w:tblPrEx>
        <w:trPr>
          <w:trHeight w:val="318"/>
        </w:trPr>
        <w:tc>
          <w:tcPr>
            <w:tcW w:w="0" w:type="auto"/>
            <w:vAlign w:val="center"/>
            <w:hideMark/>
          </w:tcPr>
          <w:p w:rsidR="00ED623A" w:rsidRPr="006D41FB" w14:paraId="6E84DE97" w14:textId="77777777">
            <w:pPr>
              <w:rPr>
                <w:color w:val="FF0000"/>
                <w:sz w:val="18"/>
                <w:szCs w:val="18"/>
              </w:rPr>
            </w:pPr>
            <w:r w:rsidRPr="006D41FB">
              <w:rPr>
                <w:color w:val="FF0000"/>
                <w:sz w:val="18"/>
                <w:szCs w:val="18"/>
              </w:rPr>
              <w:t>LAVORI</w:t>
            </w:r>
          </w:p>
        </w:tc>
        <w:tc>
          <w:tcPr>
            <w:tcW w:w="0" w:type="auto"/>
            <w:vAlign w:val="center"/>
            <w:hideMark/>
          </w:tcPr>
          <w:p w:rsidR="00ED623A" w:rsidRPr="006D41FB" w14:paraId="7A5C38D1" w14:textId="77777777">
            <w:pPr>
              <w:jc w:val="right"/>
              <w:rPr>
                <w:color w:val="FF0000"/>
                <w:sz w:val="18"/>
                <w:szCs w:val="18"/>
              </w:rPr>
            </w:pPr>
            <w:r w:rsidRPr="006D41FB">
              <w:rPr>
                <w:color w:val="FF0000"/>
                <w:sz w:val="18"/>
                <w:szCs w:val="18"/>
              </w:rPr>
              <w:t>78.219.230,73 € </w:t>
            </w:r>
          </w:p>
        </w:tc>
      </w:tr>
      <w:tr w14:paraId="7DD43CED" w14:textId="77777777">
        <w:tblPrEx>
          <w:tblW w:w="9632" w:type="dxa"/>
          <w:tblLook w:val="04A0"/>
        </w:tblPrEx>
        <w:trPr>
          <w:trHeight w:val="307"/>
        </w:trPr>
        <w:tc>
          <w:tcPr>
            <w:tcW w:w="0" w:type="auto"/>
            <w:vAlign w:val="center"/>
            <w:hideMark/>
          </w:tcPr>
          <w:p w:rsidR="00ED623A" w:rsidRPr="006D41FB" w14:paraId="7FAFB35E" w14:textId="77777777">
            <w:pPr>
              <w:rPr>
                <w:color w:val="FF0000"/>
                <w:sz w:val="18"/>
                <w:szCs w:val="18"/>
              </w:rPr>
            </w:pPr>
            <w:r w:rsidRPr="006D41FB">
              <w:rPr>
                <w:color w:val="FF0000"/>
                <w:sz w:val="18"/>
                <w:szCs w:val="18"/>
              </w:rPr>
              <w:t> </w:t>
            </w:r>
          </w:p>
        </w:tc>
        <w:tc>
          <w:tcPr>
            <w:tcW w:w="0" w:type="auto"/>
            <w:vAlign w:val="center"/>
            <w:hideMark/>
          </w:tcPr>
          <w:p w:rsidR="00ED623A" w:rsidRPr="006D41FB" w14:paraId="12811A22" w14:textId="77777777">
            <w:pPr>
              <w:jc w:val="right"/>
              <w:rPr>
                <w:color w:val="FF0000"/>
                <w:sz w:val="18"/>
                <w:szCs w:val="18"/>
              </w:rPr>
            </w:pPr>
            <w:r w:rsidRPr="006D41FB">
              <w:rPr>
                <w:color w:val="FF0000"/>
                <w:sz w:val="18"/>
                <w:szCs w:val="18"/>
              </w:rPr>
              <w:t>130.692.800,00 € </w:t>
            </w:r>
          </w:p>
        </w:tc>
      </w:tr>
    </w:tbl>
    <w:p w:rsidR="00B83D7B" w:rsidRPr="006D41FB" w:rsidP="004A6E30" w14:paraId="6D36D74A" w14:textId="4785DD68">
      <w:pPr>
        <w:spacing w:after="120"/>
        <w:jc w:val="both"/>
        <w:rPr>
          <w:b/>
          <w:bCs/>
          <w:color w:val="FF0000"/>
        </w:rPr>
      </w:pPr>
    </w:p>
    <w:p w:rsidR="002C61E4" w:rsidRPr="006D41FB" w:rsidP="002C61E4" w14:paraId="7CB17D33" w14:textId="0C8D8C08">
      <w:pPr>
        <w:jc w:val="both"/>
        <w:rPr>
          <w:color w:val="FF0000"/>
        </w:rPr>
      </w:pPr>
      <w:r w:rsidRPr="006D41FB">
        <w:rPr>
          <w:b/>
          <w:bCs/>
          <w:color w:val="FF0000"/>
        </w:rPr>
        <w:t>Descrizione del progetto:</w:t>
      </w:r>
      <w:r w:rsidRPr="006D41FB">
        <w:rPr>
          <w:color w:val="FF0000"/>
        </w:rPr>
        <w:t xml:space="preserve"> Il sistema acquedottistico denominato Peschiera-</w:t>
      </w:r>
      <w:r w:rsidRPr="006D41FB">
        <w:rPr>
          <w:color w:val="FF0000"/>
        </w:rPr>
        <w:t>Capore</w:t>
      </w:r>
      <w:r w:rsidRPr="006D41FB">
        <w:rPr>
          <w:color w:val="FF0000"/>
        </w:rPr>
        <w:t xml:space="preserve"> è la principale fonte di approvvigionamento idrico del territorio dell’ATO2 Lazio Centrale Roma. Il Centro Idrico di Ottavia, punto di recapito finale dell’Acquedotto Peschiera Destro, è uno dei nodi principali del sistema di smistamento della Capitale. Da esso partono le adduttrici che permettono il trasferimento della risorsa idrica verso il nodo Trionfale ed il Serbatoio di Monte Mario, da cui vengono alimentati molti quartieri del centro Città, e che poi proseguono verso il nodo Aurelio per l’alimentazione dei quadranti occidentali. Il progetto prevede una nuova linea di collegamento dal C.I. di Ottavia fino ad un nuovo centro idrico denominato Trionfale 2 creando un by-pass del centro idrico Trionfale esistente. L’intervento prevede la realizzazione di una condotta adduttrice DN2500/2000mm in acciaio dal C.I. Ottavia per una lunghezza complessiva pari a circa 5200 metri.</w:t>
      </w:r>
    </w:p>
    <w:p w:rsidR="002C61E4" w:rsidRPr="006D41FB" w:rsidP="002C61E4" w14:paraId="401D1B84" w14:textId="39C7F9C7">
      <w:pPr>
        <w:jc w:val="both"/>
        <w:rPr>
          <w:color w:val="FF0000"/>
        </w:rPr>
      </w:pPr>
    </w:p>
    <w:p w:rsidR="0036503C" w:rsidRPr="006D41FB" w:rsidP="002402E8" w14:paraId="516F453B" w14:textId="145A9D49">
      <w:pPr>
        <w:jc w:val="both"/>
        <w:rPr>
          <w:b/>
          <w:bCs/>
          <w:color w:val="FF0000"/>
        </w:rPr>
      </w:pPr>
      <w:r w:rsidRPr="006D41FB">
        <w:rPr>
          <w:b/>
          <w:bCs/>
          <w:i/>
          <w:iCs/>
          <w:color w:val="FF0000"/>
        </w:rPr>
        <w:t xml:space="preserve">3.NUOVO ACQUEDOTTO MARCIO – I </w:t>
      </w:r>
      <w:r w:rsidRPr="006D41FB" w:rsidR="001665F7">
        <w:rPr>
          <w:b/>
          <w:bCs/>
          <w:i/>
          <w:iCs/>
          <w:color w:val="FF0000"/>
        </w:rPr>
        <w:t>LOTTO (CODICE</w:t>
      </w:r>
      <w:r w:rsidRPr="006D41FB">
        <w:rPr>
          <w:b/>
          <w:bCs/>
          <w:color w:val="FF0000"/>
        </w:rPr>
        <w:t xml:space="preserve"> INTERVENTO: A1-17</w:t>
      </w:r>
      <w:r w:rsidRPr="006D41FB" w:rsidR="002402E8">
        <w:rPr>
          <w:b/>
          <w:bCs/>
          <w:color w:val="FF0000"/>
        </w:rPr>
        <w:t>)</w:t>
      </w:r>
    </w:p>
    <w:p w:rsidR="0036503C" w:rsidRPr="006D41FB" w:rsidP="0036503C" w14:paraId="34BFB6F6" w14:textId="6CA2DD7C">
      <w:pPr>
        <w:jc w:val="center"/>
        <w:rPr>
          <w:b/>
          <w:bCs/>
          <w:color w:val="FF0000"/>
        </w:rPr>
      </w:pPr>
    </w:p>
    <w:tbl>
      <w:tblPr>
        <w:tblStyle w:val="TableGrid"/>
        <w:tblW w:w="0" w:type="auto"/>
        <w:tblLook w:val="04A0"/>
      </w:tblPr>
      <w:tblGrid>
        <w:gridCol w:w="9628"/>
      </w:tblGrid>
      <w:tr w14:paraId="17834E59" w14:textId="77777777">
        <w:tblPrEx>
          <w:tblW w:w="0" w:type="auto"/>
          <w:tblLook w:val="04A0"/>
        </w:tblPrEx>
        <w:tc>
          <w:tcPr>
            <w:tcW w:w="9628" w:type="dxa"/>
          </w:tcPr>
          <w:p w:rsidR="0036503C" w:rsidRPr="006D41FB" w14:paraId="39DABCA1" w14:textId="77777777">
            <w:pPr>
              <w:jc w:val="both"/>
              <w:rPr>
                <w:color w:val="FF0000"/>
                <w:sz w:val="24"/>
                <w:szCs w:val="24"/>
              </w:rPr>
            </w:pPr>
            <w:r w:rsidRPr="006D41FB">
              <w:rPr>
                <w:b/>
                <w:bCs/>
                <w:color w:val="FF0000"/>
                <w:sz w:val="24"/>
                <w:szCs w:val="24"/>
              </w:rPr>
              <w:t>CUP:</w:t>
            </w:r>
            <w:r w:rsidRPr="006D41FB">
              <w:rPr>
                <w:color w:val="FF0000"/>
                <w:sz w:val="24"/>
                <w:szCs w:val="24"/>
              </w:rPr>
              <w:t xml:space="preserve"> G21B21005230002</w:t>
            </w:r>
          </w:p>
        </w:tc>
      </w:tr>
      <w:tr w14:paraId="6AED0B20" w14:textId="77777777">
        <w:tblPrEx>
          <w:tblW w:w="0" w:type="auto"/>
          <w:tblLook w:val="04A0"/>
        </w:tblPrEx>
        <w:tc>
          <w:tcPr>
            <w:tcW w:w="9628" w:type="dxa"/>
          </w:tcPr>
          <w:p w:rsidR="0036503C" w:rsidRPr="006D41FB" w14:paraId="2361685A" w14:textId="77777777">
            <w:pPr>
              <w:jc w:val="both"/>
              <w:rPr>
                <w:color w:val="FF0000"/>
                <w:sz w:val="24"/>
                <w:szCs w:val="24"/>
              </w:rPr>
            </w:pPr>
            <w:r w:rsidRPr="006D41FB">
              <w:rPr>
                <w:b/>
                <w:bCs/>
                <w:color w:val="FF0000"/>
                <w:sz w:val="24"/>
                <w:szCs w:val="24"/>
              </w:rPr>
              <w:t>Importo Progetto</w:t>
            </w:r>
            <w:r w:rsidRPr="006D41FB">
              <w:rPr>
                <w:color w:val="FF0000"/>
                <w:sz w:val="24"/>
                <w:szCs w:val="24"/>
              </w:rPr>
              <w:t>: 246.846.800,00 €</w:t>
            </w:r>
          </w:p>
        </w:tc>
      </w:tr>
      <w:tr w14:paraId="3D8689D5" w14:textId="77777777">
        <w:tblPrEx>
          <w:tblW w:w="0" w:type="auto"/>
          <w:tblLook w:val="04A0"/>
        </w:tblPrEx>
        <w:tc>
          <w:tcPr>
            <w:tcW w:w="9628" w:type="dxa"/>
          </w:tcPr>
          <w:p w:rsidR="0036503C" w:rsidRPr="006D41FB" w14:paraId="22D0C0F0" w14:textId="77777777">
            <w:pPr>
              <w:jc w:val="both"/>
              <w:rPr>
                <w:color w:val="FF0000"/>
                <w:sz w:val="24"/>
                <w:szCs w:val="24"/>
              </w:rPr>
            </w:pPr>
            <w:r w:rsidRPr="006D41FB">
              <w:rPr>
                <w:b/>
                <w:bCs/>
                <w:color w:val="FF0000"/>
                <w:sz w:val="24"/>
                <w:szCs w:val="24"/>
              </w:rPr>
              <w:t>Importo PNRR</w:t>
            </w:r>
            <w:r w:rsidRPr="006D41FB">
              <w:rPr>
                <w:color w:val="FF0000"/>
                <w:sz w:val="24"/>
                <w:szCs w:val="24"/>
              </w:rPr>
              <w:t>: 57.000.000,00 €</w:t>
            </w:r>
          </w:p>
        </w:tc>
      </w:tr>
      <w:tr w14:paraId="7A5FE0DD" w14:textId="77777777">
        <w:tblPrEx>
          <w:tblW w:w="0" w:type="auto"/>
          <w:tblLook w:val="04A0"/>
        </w:tblPrEx>
        <w:tc>
          <w:tcPr>
            <w:tcW w:w="9628" w:type="dxa"/>
          </w:tcPr>
          <w:p w:rsidR="0036503C" w:rsidRPr="006D41FB" w14:paraId="6D6297A1" w14:textId="77777777">
            <w:pPr>
              <w:jc w:val="both"/>
              <w:rPr>
                <w:color w:val="FF0000"/>
                <w:sz w:val="24"/>
                <w:szCs w:val="24"/>
              </w:rPr>
            </w:pPr>
            <w:r w:rsidRPr="006D41FB">
              <w:rPr>
                <w:b/>
                <w:bCs/>
                <w:color w:val="FF0000"/>
                <w:sz w:val="24"/>
                <w:szCs w:val="24"/>
              </w:rPr>
              <w:t>Importo FOI</w:t>
            </w:r>
            <w:r w:rsidRPr="006D41FB">
              <w:rPr>
                <w:color w:val="FF0000"/>
                <w:sz w:val="24"/>
                <w:szCs w:val="24"/>
              </w:rPr>
              <w:t>: 59.010.000,00 €</w:t>
            </w:r>
          </w:p>
        </w:tc>
      </w:tr>
      <w:tr w14:paraId="4F9CA2EF" w14:textId="77777777">
        <w:tblPrEx>
          <w:tblW w:w="0" w:type="auto"/>
          <w:tblLook w:val="04A0"/>
        </w:tblPrEx>
        <w:tc>
          <w:tcPr>
            <w:tcW w:w="9628" w:type="dxa"/>
          </w:tcPr>
          <w:p w:rsidR="0036503C" w:rsidRPr="006D41FB" w14:paraId="4B427559" w14:textId="77777777">
            <w:pPr>
              <w:jc w:val="both"/>
              <w:rPr>
                <w:color w:val="FF0000"/>
                <w:sz w:val="24"/>
                <w:szCs w:val="24"/>
              </w:rPr>
            </w:pPr>
            <w:r w:rsidRPr="006D41FB">
              <w:rPr>
                <w:b/>
                <w:bCs/>
                <w:color w:val="FF0000"/>
                <w:sz w:val="24"/>
                <w:szCs w:val="24"/>
              </w:rPr>
              <w:t xml:space="preserve">Altro Nazionale: </w:t>
            </w:r>
            <w:r w:rsidRPr="006D41FB">
              <w:rPr>
                <w:color w:val="FF0000"/>
                <w:sz w:val="24"/>
                <w:szCs w:val="24"/>
              </w:rPr>
              <w:t>130.836.800,00 €</w:t>
            </w:r>
          </w:p>
        </w:tc>
      </w:tr>
    </w:tbl>
    <w:p w:rsidR="002C61E4" w:rsidRPr="006D41FB" w:rsidP="004A6E30" w14:paraId="0E556287" w14:textId="438A284D">
      <w:pPr>
        <w:spacing w:after="120"/>
        <w:jc w:val="both"/>
        <w:rPr>
          <w:color w:val="FF0000"/>
        </w:rPr>
      </w:pPr>
    </w:p>
    <w:p w:rsidR="00412FCF" w:rsidRPr="006D41FB" w:rsidP="00412FCF" w14:paraId="0E1B1E12" w14:textId="00684C0E">
      <w:pPr>
        <w:jc w:val="center"/>
        <w:rPr>
          <w:b/>
          <w:bCs/>
          <w:color w:val="FF0000"/>
        </w:rPr>
      </w:pPr>
      <w:r w:rsidRPr="006D41FB">
        <w:rPr>
          <w:b/>
          <w:bCs/>
          <w:color w:val="FF0000"/>
        </w:rPr>
        <w:t>CRONOPROGRAMMA FINANZIARIO</w:t>
      </w:r>
    </w:p>
    <w:tbl>
      <w:tblPr>
        <w:tblW w:w="0" w:type="auto"/>
        <w:jc w:val="righ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040"/>
        <w:gridCol w:w="898"/>
        <w:gridCol w:w="1033"/>
        <w:gridCol w:w="1032"/>
        <w:gridCol w:w="1032"/>
        <w:gridCol w:w="1122"/>
        <w:gridCol w:w="1122"/>
        <w:gridCol w:w="1122"/>
        <w:gridCol w:w="1227"/>
      </w:tblGrid>
      <w:tr w14:paraId="03D39CBD" w14:textId="77777777">
        <w:tblPrEx>
          <w:tblW w:w="0" w:type="auto"/>
          <w:tblLook w:val="04A0"/>
        </w:tblPrEx>
        <w:tc>
          <w:tcPr>
            <w:tcW w:w="0" w:type="auto"/>
            <w:vAlign w:val="center"/>
            <w:hideMark/>
          </w:tcPr>
          <w:p w:rsidR="00C01F58" w:rsidRPr="006D41FB" w14:paraId="7EABE52F" w14:textId="77777777">
            <w:pPr>
              <w:rPr>
                <w:color w:val="FF0000"/>
                <w:sz w:val="18"/>
                <w:szCs w:val="18"/>
              </w:rPr>
            </w:pPr>
            <w:r w:rsidRPr="006D41FB">
              <w:rPr>
                <w:b/>
                <w:bCs/>
                <w:color w:val="FF0000"/>
                <w:sz w:val="18"/>
                <w:szCs w:val="18"/>
              </w:rPr>
              <w:t>Anno di riferimento</w:t>
            </w:r>
          </w:p>
        </w:tc>
        <w:tc>
          <w:tcPr>
            <w:tcW w:w="0" w:type="auto"/>
            <w:vAlign w:val="center"/>
            <w:hideMark/>
          </w:tcPr>
          <w:p w:rsidR="00C01F58" w:rsidRPr="006D41FB" w14:paraId="238449B1" w14:textId="77777777">
            <w:pPr>
              <w:rPr>
                <w:color w:val="FF0000"/>
                <w:sz w:val="18"/>
                <w:szCs w:val="18"/>
              </w:rPr>
            </w:pPr>
            <w:r w:rsidRPr="006D41FB">
              <w:rPr>
                <w:color w:val="FF0000"/>
                <w:sz w:val="18"/>
                <w:szCs w:val="18"/>
              </w:rPr>
              <w:t>2020</w:t>
            </w:r>
          </w:p>
        </w:tc>
        <w:tc>
          <w:tcPr>
            <w:tcW w:w="0" w:type="auto"/>
            <w:vAlign w:val="center"/>
            <w:hideMark/>
          </w:tcPr>
          <w:p w:rsidR="00C01F58" w:rsidRPr="006D41FB" w14:paraId="250BCA78" w14:textId="77777777">
            <w:pPr>
              <w:rPr>
                <w:color w:val="FF0000"/>
                <w:sz w:val="18"/>
                <w:szCs w:val="18"/>
              </w:rPr>
            </w:pPr>
            <w:r w:rsidRPr="006D41FB">
              <w:rPr>
                <w:color w:val="FF0000"/>
                <w:sz w:val="18"/>
                <w:szCs w:val="18"/>
              </w:rPr>
              <w:t>2021</w:t>
            </w:r>
          </w:p>
        </w:tc>
        <w:tc>
          <w:tcPr>
            <w:tcW w:w="0" w:type="auto"/>
            <w:vAlign w:val="center"/>
            <w:hideMark/>
          </w:tcPr>
          <w:p w:rsidR="00C01F58" w:rsidRPr="006D41FB" w14:paraId="506315CA" w14:textId="77777777">
            <w:pPr>
              <w:rPr>
                <w:color w:val="FF0000"/>
                <w:sz w:val="18"/>
                <w:szCs w:val="18"/>
              </w:rPr>
            </w:pPr>
            <w:r w:rsidRPr="006D41FB">
              <w:rPr>
                <w:color w:val="FF0000"/>
                <w:sz w:val="18"/>
                <w:szCs w:val="18"/>
              </w:rPr>
              <w:t>2022</w:t>
            </w:r>
          </w:p>
        </w:tc>
        <w:tc>
          <w:tcPr>
            <w:tcW w:w="0" w:type="auto"/>
            <w:vAlign w:val="center"/>
            <w:hideMark/>
          </w:tcPr>
          <w:p w:rsidR="00C01F58" w:rsidRPr="006D41FB" w14:paraId="0447C911" w14:textId="77777777">
            <w:pPr>
              <w:rPr>
                <w:color w:val="FF0000"/>
                <w:sz w:val="18"/>
                <w:szCs w:val="18"/>
              </w:rPr>
            </w:pPr>
            <w:r w:rsidRPr="006D41FB">
              <w:rPr>
                <w:color w:val="FF0000"/>
                <w:sz w:val="18"/>
                <w:szCs w:val="18"/>
              </w:rPr>
              <w:t>2023</w:t>
            </w:r>
          </w:p>
        </w:tc>
        <w:tc>
          <w:tcPr>
            <w:tcW w:w="0" w:type="auto"/>
            <w:vAlign w:val="center"/>
            <w:hideMark/>
          </w:tcPr>
          <w:p w:rsidR="00C01F58" w:rsidRPr="006D41FB" w14:paraId="50F94D1E" w14:textId="77777777">
            <w:pPr>
              <w:rPr>
                <w:color w:val="FF0000"/>
                <w:sz w:val="18"/>
                <w:szCs w:val="18"/>
              </w:rPr>
            </w:pPr>
            <w:r w:rsidRPr="006D41FB">
              <w:rPr>
                <w:color w:val="FF0000"/>
                <w:sz w:val="18"/>
                <w:szCs w:val="18"/>
              </w:rPr>
              <w:t>2024</w:t>
            </w:r>
          </w:p>
        </w:tc>
        <w:tc>
          <w:tcPr>
            <w:tcW w:w="0" w:type="auto"/>
            <w:vAlign w:val="center"/>
            <w:hideMark/>
          </w:tcPr>
          <w:p w:rsidR="00C01F58" w:rsidRPr="006D41FB" w14:paraId="07105DBB" w14:textId="77777777">
            <w:pPr>
              <w:rPr>
                <w:color w:val="FF0000"/>
                <w:sz w:val="18"/>
                <w:szCs w:val="18"/>
              </w:rPr>
            </w:pPr>
            <w:r w:rsidRPr="006D41FB">
              <w:rPr>
                <w:color w:val="FF0000"/>
                <w:sz w:val="18"/>
                <w:szCs w:val="18"/>
              </w:rPr>
              <w:t>2025</w:t>
            </w:r>
          </w:p>
        </w:tc>
        <w:tc>
          <w:tcPr>
            <w:tcW w:w="0" w:type="auto"/>
            <w:vAlign w:val="center"/>
            <w:hideMark/>
          </w:tcPr>
          <w:p w:rsidR="00C01F58" w:rsidRPr="006D41FB" w14:paraId="19E87CA4" w14:textId="77777777">
            <w:pPr>
              <w:rPr>
                <w:color w:val="FF0000"/>
                <w:sz w:val="18"/>
                <w:szCs w:val="18"/>
              </w:rPr>
            </w:pPr>
            <w:r w:rsidRPr="006D41FB">
              <w:rPr>
                <w:color w:val="FF0000"/>
                <w:sz w:val="18"/>
                <w:szCs w:val="18"/>
              </w:rPr>
              <w:t>2026</w:t>
            </w:r>
          </w:p>
        </w:tc>
        <w:tc>
          <w:tcPr>
            <w:tcW w:w="1182" w:type="dxa"/>
            <w:vAlign w:val="center"/>
            <w:hideMark/>
          </w:tcPr>
          <w:p w:rsidR="00C01F58" w:rsidRPr="006D41FB" w14:paraId="070271C7" w14:textId="77777777">
            <w:pPr>
              <w:rPr>
                <w:color w:val="FF0000"/>
                <w:sz w:val="18"/>
                <w:szCs w:val="18"/>
              </w:rPr>
            </w:pPr>
            <w:r w:rsidRPr="006D41FB">
              <w:rPr>
                <w:color w:val="FF0000"/>
                <w:sz w:val="18"/>
                <w:szCs w:val="18"/>
              </w:rPr>
              <w:t>Totale</w:t>
            </w:r>
          </w:p>
        </w:tc>
      </w:tr>
      <w:tr w14:paraId="1860BA75" w14:textId="77777777">
        <w:tblPrEx>
          <w:tblW w:w="0" w:type="auto"/>
          <w:tblLook w:val="04A0"/>
        </w:tblPrEx>
        <w:tc>
          <w:tcPr>
            <w:tcW w:w="0" w:type="auto"/>
            <w:vAlign w:val="center"/>
            <w:hideMark/>
          </w:tcPr>
          <w:p w:rsidR="00C01F58" w:rsidRPr="006D41FB" w14:paraId="6830B009" w14:textId="77777777">
            <w:pPr>
              <w:rPr>
                <w:color w:val="FF0000"/>
                <w:sz w:val="18"/>
                <w:szCs w:val="18"/>
              </w:rPr>
            </w:pPr>
            <w:r w:rsidRPr="006D41FB">
              <w:rPr>
                <w:b/>
                <w:bCs/>
                <w:color w:val="FF0000"/>
                <w:sz w:val="18"/>
                <w:szCs w:val="18"/>
              </w:rPr>
              <w:t>Importo da realizzare nell’anno</w:t>
            </w:r>
          </w:p>
        </w:tc>
        <w:tc>
          <w:tcPr>
            <w:tcW w:w="0" w:type="auto"/>
            <w:vAlign w:val="center"/>
            <w:hideMark/>
          </w:tcPr>
          <w:p w:rsidR="00C01F58" w:rsidRPr="006D41FB" w14:paraId="2EDE3E02" w14:textId="77777777">
            <w:pPr>
              <w:jc w:val="right"/>
              <w:rPr>
                <w:color w:val="FF0000"/>
                <w:sz w:val="18"/>
                <w:szCs w:val="18"/>
              </w:rPr>
            </w:pPr>
            <w:r w:rsidRPr="006D41FB">
              <w:rPr>
                <w:color w:val="FF0000"/>
                <w:sz w:val="18"/>
                <w:szCs w:val="18"/>
              </w:rPr>
              <w:t>-   € </w:t>
            </w:r>
          </w:p>
        </w:tc>
        <w:tc>
          <w:tcPr>
            <w:tcW w:w="0" w:type="auto"/>
            <w:vAlign w:val="center"/>
            <w:hideMark/>
          </w:tcPr>
          <w:p w:rsidR="00C01F58" w:rsidRPr="006D41FB" w14:paraId="1EFDAC6B" w14:textId="77777777">
            <w:pPr>
              <w:jc w:val="right"/>
              <w:rPr>
                <w:color w:val="FF0000"/>
                <w:sz w:val="18"/>
                <w:szCs w:val="18"/>
              </w:rPr>
            </w:pPr>
            <w:r w:rsidRPr="006D41FB">
              <w:rPr>
                <w:color w:val="FF0000"/>
                <w:sz w:val="18"/>
                <w:szCs w:val="18"/>
              </w:rPr>
              <w:t>-   € </w:t>
            </w:r>
          </w:p>
        </w:tc>
        <w:tc>
          <w:tcPr>
            <w:tcW w:w="0" w:type="auto"/>
            <w:vAlign w:val="center"/>
            <w:hideMark/>
          </w:tcPr>
          <w:p w:rsidR="00C01F58" w:rsidRPr="006D41FB" w14:paraId="04CC489C" w14:textId="77777777">
            <w:pPr>
              <w:jc w:val="right"/>
              <w:rPr>
                <w:color w:val="FF0000"/>
                <w:sz w:val="18"/>
                <w:szCs w:val="18"/>
              </w:rPr>
            </w:pPr>
            <w:r w:rsidRPr="006D41FB">
              <w:rPr>
                <w:color w:val="FF0000"/>
                <w:sz w:val="18"/>
                <w:szCs w:val="18"/>
              </w:rPr>
              <w:t>-   € </w:t>
            </w:r>
          </w:p>
        </w:tc>
        <w:tc>
          <w:tcPr>
            <w:tcW w:w="0" w:type="auto"/>
            <w:vAlign w:val="center"/>
            <w:hideMark/>
          </w:tcPr>
          <w:p w:rsidR="00C01F58" w:rsidRPr="006D41FB" w14:paraId="2C0A43F1" w14:textId="77777777">
            <w:pPr>
              <w:jc w:val="right"/>
              <w:rPr>
                <w:color w:val="FF0000"/>
                <w:sz w:val="18"/>
                <w:szCs w:val="18"/>
              </w:rPr>
            </w:pPr>
            <w:r w:rsidRPr="006D41FB">
              <w:rPr>
                <w:color w:val="FF0000"/>
                <w:sz w:val="18"/>
                <w:szCs w:val="18"/>
              </w:rPr>
              <w:t>-   € </w:t>
            </w:r>
          </w:p>
        </w:tc>
        <w:tc>
          <w:tcPr>
            <w:tcW w:w="0" w:type="auto"/>
            <w:vAlign w:val="center"/>
            <w:hideMark/>
          </w:tcPr>
          <w:p w:rsidR="00C01F58" w:rsidRPr="006D41FB" w14:paraId="20DD4207" w14:textId="77777777">
            <w:pPr>
              <w:jc w:val="right"/>
              <w:rPr>
                <w:color w:val="FF0000"/>
                <w:sz w:val="18"/>
                <w:szCs w:val="18"/>
              </w:rPr>
            </w:pPr>
            <w:r w:rsidRPr="006D41FB">
              <w:rPr>
                <w:color w:val="FF0000"/>
                <w:sz w:val="18"/>
                <w:szCs w:val="18"/>
              </w:rPr>
              <w:t>-   € </w:t>
            </w:r>
          </w:p>
        </w:tc>
        <w:tc>
          <w:tcPr>
            <w:tcW w:w="0" w:type="auto"/>
            <w:vAlign w:val="center"/>
            <w:hideMark/>
          </w:tcPr>
          <w:p w:rsidR="00C01F58" w:rsidRPr="006D41FB" w14:paraId="633AD956" w14:textId="77777777">
            <w:pPr>
              <w:jc w:val="right"/>
              <w:rPr>
                <w:color w:val="FF0000"/>
                <w:sz w:val="18"/>
                <w:szCs w:val="18"/>
              </w:rPr>
            </w:pPr>
            <w:r w:rsidRPr="006D41FB">
              <w:rPr>
                <w:color w:val="FF0000"/>
                <w:sz w:val="18"/>
                <w:szCs w:val="18"/>
              </w:rPr>
              <w:t>79.950.832,96 € </w:t>
            </w:r>
          </w:p>
        </w:tc>
        <w:tc>
          <w:tcPr>
            <w:tcW w:w="0" w:type="auto"/>
            <w:vAlign w:val="center"/>
            <w:hideMark/>
          </w:tcPr>
          <w:p w:rsidR="00C01F58" w:rsidRPr="006D41FB" w14:paraId="63B0AD6E" w14:textId="77777777">
            <w:pPr>
              <w:jc w:val="right"/>
              <w:rPr>
                <w:color w:val="FF0000"/>
                <w:sz w:val="18"/>
                <w:szCs w:val="18"/>
              </w:rPr>
            </w:pPr>
            <w:r w:rsidRPr="006D41FB">
              <w:rPr>
                <w:color w:val="FF0000"/>
                <w:sz w:val="18"/>
                <w:szCs w:val="18"/>
              </w:rPr>
              <w:t>88.569.238,58 € </w:t>
            </w:r>
          </w:p>
        </w:tc>
        <w:tc>
          <w:tcPr>
            <w:tcW w:w="1182" w:type="dxa"/>
            <w:vAlign w:val="center"/>
            <w:hideMark/>
          </w:tcPr>
          <w:p w:rsidR="00C01F58" w:rsidRPr="006D41FB" w14:paraId="0BFA321A" w14:textId="77777777">
            <w:pPr>
              <w:jc w:val="right"/>
              <w:rPr>
                <w:color w:val="FF0000"/>
                <w:sz w:val="18"/>
                <w:szCs w:val="18"/>
              </w:rPr>
            </w:pPr>
            <w:r w:rsidRPr="006D41FB">
              <w:rPr>
                <w:color w:val="FF0000"/>
                <w:sz w:val="18"/>
                <w:szCs w:val="18"/>
              </w:rPr>
              <w:t>168.520.071,54 €</w:t>
            </w:r>
          </w:p>
        </w:tc>
      </w:tr>
      <w:tr w14:paraId="61BC1F96" w14:textId="77777777">
        <w:tblPrEx>
          <w:tblW w:w="0" w:type="auto"/>
          <w:tblLook w:val="04A0"/>
        </w:tblPrEx>
        <w:tc>
          <w:tcPr>
            <w:tcW w:w="0" w:type="auto"/>
            <w:vAlign w:val="center"/>
            <w:hideMark/>
          </w:tcPr>
          <w:p w:rsidR="00C01F58" w:rsidRPr="006D41FB" w14:paraId="51DDD805" w14:textId="77777777">
            <w:pPr>
              <w:rPr>
                <w:color w:val="FF0000"/>
                <w:sz w:val="18"/>
                <w:szCs w:val="18"/>
              </w:rPr>
            </w:pPr>
            <w:r w:rsidRPr="006D41FB">
              <w:rPr>
                <w:b/>
                <w:bCs/>
                <w:color w:val="FF0000"/>
                <w:sz w:val="18"/>
                <w:szCs w:val="18"/>
              </w:rPr>
              <w:t>Importo realizzato nell’anno</w:t>
            </w:r>
          </w:p>
        </w:tc>
        <w:tc>
          <w:tcPr>
            <w:tcW w:w="0" w:type="auto"/>
            <w:vAlign w:val="center"/>
            <w:hideMark/>
          </w:tcPr>
          <w:p w:rsidR="00C01F58" w:rsidRPr="006D41FB" w14:paraId="46B51687" w14:textId="77777777">
            <w:pPr>
              <w:jc w:val="right"/>
              <w:rPr>
                <w:color w:val="FF0000"/>
                <w:sz w:val="18"/>
                <w:szCs w:val="18"/>
              </w:rPr>
            </w:pPr>
            <w:r w:rsidRPr="006D41FB">
              <w:rPr>
                <w:color w:val="FF0000"/>
                <w:sz w:val="18"/>
                <w:szCs w:val="18"/>
              </w:rPr>
              <w:t>745.118,41 € </w:t>
            </w:r>
          </w:p>
        </w:tc>
        <w:tc>
          <w:tcPr>
            <w:tcW w:w="0" w:type="auto"/>
            <w:vAlign w:val="center"/>
            <w:hideMark/>
          </w:tcPr>
          <w:p w:rsidR="00C01F58" w:rsidRPr="006D41FB" w14:paraId="2C2E034C" w14:textId="77777777">
            <w:pPr>
              <w:jc w:val="right"/>
              <w:rPr>
                <w:color w:val="FF0000"/>
                <w:sz w:val="18"/>
                <w:szCs w:val="18"/>
              </w:rPr>
            </w:pPr>
            <w:r w:rsidRPr="006D41FB">
              <w:rPr>
                <w:color w:val="FF0000"/>
                <w:sz w:val="18"/>
                <w:szCs w:val="18"/>
              </w:rPr>
              <w:t>1.735.504,64 € </w:t>
            </w:r>
          </w:p>
        </w:tc>
        <w:tc>
          <w:tcPr>
            <w:tcW w:w="0" w:type="auto"/>
            <w:vAlign w:val="center"/>
            <w:hideMark/>
          </w:tcPr>
          <w:p w:rsidR="00C01F58" w:rsidRPr="006D41FB" w14:paraId="7C4154AB" w14:textId="77777777">
            <w:pPr>
              <w:jc w:val="right"/>
              <w:rPr>
                <w:color w:val="FF0000"/>
                <w:sz w:val="18"/>
                <w:szCs w:val="18"/>
              </w:rPr>
            </w:pPr>
            <w:r w:rsidRPr="006D41FB">
              <w:rPr>
                <w:color w:val="FF0000"/>
                <w:sz w:val="18"/>
                <w:szCs w:val="18"/>
              </w:rPr>
              <w:t>1.942.963,81 € </w:t>
            </w:r>
          </w:p>
        </w:tc>
        <w:tc>
          <w:tcPr>
            <w:tcW w:w="0" w:type="auto"/>
            <w:vAlign w:val="center"/>
            <w:hideMark/>
          </w:tcPr>
          <w:p w:rsidR="00C01F58" w:rsidRPr="006D41FB" w14:paraId="715A310F" w14:textId="77777777">
            <w:pPr>
              <w:jc w:val="right"/>
              <w:rPr>
                <w:color w:val="FF0000"/>
                <w:sz w:val="18"/>
                <w:szCs w:val="18"/>
              </w:rPr>
            </w:pPr>
            <w:r w:rsidRPr="006D41FB">
              <w:rPr>
                <w:color w:val="FF0000"/>
                <w:sz w:val="18"/>
                <w:szCs w:val="18"/>
              </w:rPr>
              <w:t>2.454.309,12 € </w:t>
            </w:r>
          </w:p>
        </w:tc>
        <w:tc>
          <w:tcPr>
            <w:tcW w:w="0" w:type="auto"/>
            <w:vAlign w:val="center"/>
            <w:hideMark/>
          </w:tcPr>
          <w:p w:rsidR="00C01F58" w:rsidRPr="006D41FB" w14:paraId="2C18FFEA" w14:textId="77777777">
            <w:pPr>
              <w:jc w:val="right"/>
              <w:rPr>
                <w:color w:val="FF0000"/>
                <w:sz w:val="18"/>
                <w:szCs w:val="18"/>
              </w:rPr>
            </w:pPr>
            <w:r w:rsidRPr="006D41FB">
              <w:rPr>
                <w:color w:val="FF0000"/>
                <w:sz w:val="18"/>
                <w:szCs w:val="18"/>
              </w:rPr>
              <w:t>30.300.251,71 € </w:t>
            </w:r>
          </w:p>
        </w:tc>
        <w:tc>
          <w:tcPr>
            <w:tcW w:w="0" w:type="auto"/>
            <w:vAlign w:val="center"/>
            <w:hideMark/>
          </w:tcPr>
          <w:p w:rsidR="00C01F58" w:rsidRPr="006D41FB" w14:paraId="561E8A66" w14:textId="77777777">
            <w:pPr>
              <w:jc w:val="right"/>
              <w:rPr>
                <w:color w:val="FF0000"/>
                <w:sz w:val="18"/>
                <w:szCs w:val="18"/>
              </w:rPr>
            </w:pPr>
            <w:r w:rsidRPr="006D41FB">
              <w:rPr>
                <w:color w:val="FF0000"/>
                <w:sz w:val="18"/>
                <w:szCs w:val="18"/>
              </w:rPr>
              <w:t>41.148.580,77 € </w:t>
            </w:r>
          </w:p>
        </w:tc>
        <w:tc>
          <w:tcPr>
            <w:tcW w:w="0" w:type="auto"/>
            <w:vAlign w:val="center"/>
            <w:hideMark/>
          </w:tcPr>
          <w:p w:rsidR="00C01F58" w:rsidRPr="006D41FB" w14:paraId="6CB05573" w14:textId="77777777">
            <w:pPr>
              <w:jc w:val="right"/>
              <w:rPr>
                <w:color w:val="FF0000"/>
                <w:sz w:val="18"/>
                <w:szCs w:val="18"/>
              </w:rPr>
            </w:pPr>
            <w:r w:rsidRPr="006D41FB">
              <w:rPr>
                <w:color w:val="FF0000"/>
                <w:sz w:val="18"/>
                <w:szCs w:val="18"/>
              </w:rPr>
              <w:t>-   € </w:t>
            </w:r>
          </w:p>
        </w:tc>
        <w:tc>
          <w:tcPr>
            <w:tcW w:w="1182" w:type="dxa"/>
            <w:vAlign w:val="center"/>
            <w:hideMark/>
          </w:tcPr>
          <w:p w:rsidR="00C01F58" w:rsidRPr="006D41FB" w14:paraId="43CB1A48" w14:textId="77777777">
            <w:pPr>
              <w:jc w:val="right"/>
              <w:rPr>
                <w:color w:val="FF0000"/>
                <w:sz w:val="18"/>
                <w:szCs w:val="18"/>
              </w:rPr>
            </w:pPr>
            <w:r w:rsidRPr="006D41FB">
              <w:rPr>
                <w:color w:val="FF0000"/>
                <w:sz w:val="18"/>
                <w:szCs w:val="18"/>
              </w:rPr>
              <w:t>78.326.728,46 € </w:t>
            </w:r>
          </w:p>
        </w:tc>
      </w:tr>
      <w:tr w14:paraId="3624211F" w14:textId="77777777">
        <w:tblPrEx>
          <w:tblW w:w="0" w:type="auto"/>
          <w:tblLook w:val="04A0"/>
        </w:tblPrEx>
        <w:tc>
          <w:tcPr>
            <w:tcW w:w="0" w:type="auto"/>
            <w:vAlign w:val="center"/>
            <w:hideMark/>
          </w:tcPr>
          <w:p w:rsidR="00C01F58" w:rsidRPr="006D41FB" w14:paraId="091498C2" w14:textId="77777777">
            <w:pPr>
              <w:rPr>
                <w:color w:val="FF0000"/>
                <w:sz w:val="18"/>
                <w:szCs w:val="18"/>
              </w:rPr>
            </w:pPr>
            <w:r w:rsidRPr="006D41FB">
              <w:rPr>
                <w:color w:val="FF0000"/>
                <w:sz w:val="18"/>
                <w:szCs w:val="18"/>
              </w:rPr>
              <w:t> </w:t>
            </w:r>
          </w:p>
        </w:tc>
        <w:tc>
          <w:tcPr>
            <w:tcW w:w="0" w:type="auto"/>
            <w:vAlign w:val="center"/>
            <w:hideMark/>
          </w:tcPr>
          <w:p w:rsidR="00C01F58" w:rsidRPr="006D41FB" w14:paraId="76350717" w14:textId="77777777">
            <w:pPr>
              <w:jc w:val="right"/>
              <w:rPr>
                <w:color w:val="FF0000"/>
                <w:sz w:val="18"/>
                <w:szCs w:val="18"/>
              </w:rPr>
            </w:pPr>
            <w:r w:rsidRPr="006D41FB">
              <w:rPr>
                <w:color w:val="FF0000"/>
                <w:sz w:val="18"/>
                <w:szCs w:val="18"/>
              </w:rPr>
              <w:t> </w:t>
            </w:r>
          </w:p>
        </w:tc>
        <w:tc>
          <w:tcPr>
            <w:tcW w:w="0" w:type="auto"/>
            <w:vAlign w:val="center"/>
            <w:hideMark/>
          </w:tcPr>
          <w:p w:rsidR="00C01F58" w:rsidRPr="006D41FB" w14:paraId="6B5DFB88" w14:textId="77777777">
            <w:pPr>
              <w:jc w:val="right"/>
              <w:rPr>
                <w:color w:val="FF0000"/>
                <w:sz w:val="18"/>
                <w:szCs w:val="18"/>
              </w:rPr>
            </w:pPr>
            <w:r w:rsidRPr="006D41FB">
              <w:rPr>
                <w:color w:val="FF0000"/>
                <w:sz w:val="18"/>
                <w:szCs w:val="18"/>
              </w:rPr>
              <w:t> </w:t>
            </w:r>
          </w:p>
        </w:tc>
        <w:tc>
          <w:tcPr>
            <w:tcW w:w="0" w:type="auto"/>
            <w:vAlign w:val="center"/>
            <w:hideMark/>
          </w:tcPr>
          <w:p w:rsidR="00C01F58" w:rsidRPr="006D41FB" w14:paraId="0F878C1E" w14:textId="77777777">
            <w:pPr>
              <w:jc w:val="right"/>
              <w:rPr>
                <w:color w:val="FF0000"/>
                <w:sz w:val="18"/>
                <w:szCs w:val="18"/>
              </w:rPr>
            </w:pPr>
            <w:r w:rsidRPr="006D41FB">
              <w:rPr>
                <w:color w:val="FF0000"/>
                <w:sz w:val="18"/>
                <w:szCs w:val="18"/>
              </w:rPr>
              <w:t> </w:t>
            </w:r>
          </w:p>
        </w:tc>
        <w:tc>
          <w:tcPr>
            <w:tcW w:w="0" w:type="auto"/>
            <w:vAlign w:val="center"/>
            <w:hideMark/>
          </w:tcPr>
          <w:p w:rsidR="00C01F58" w:rsidRPr="006D41FB" w14:paraId="5E170A2D" w14:textId="77777777">
            <w:pPr>
              <w:jc w:val="right"/>
              <w:rPr>
                <w:color w:val="FF0000"/>
                <w:sz w:val="18"/>
                <w:szCs w:val="18"/>
              </w:rPr>
            </w:pPr>
            <w:r w:rsidRPr="006D41FB">
              <w:rPr>
                <w:color w:val="FF0000"/>
                <w:sz w:val="18"/>
                <w:szCs w:val="18"/>
              </w:rPr>
              <w:t> </w:t>
            </w:r>
          </w:p>
        </w:tc>
        <w:tc>
          <w:tcPr>
            <w:tcW w:w="0" w:type="auto"/>
            <w:vAlign w:val="center"/>
            <w:hideMark/>
          </w:tcPr>
          <w:p w:rsidR="00C01F58" w:rsidRPr="006D41FB" w14:paraId="34EE51CA" w14:textId="77777777">
            <w:pPr>
              <w:jc w:val="right"/>
              <w:rPr>
                <w:color w:val="FF0000"/>
                <w:sz w:val="18"/>
                <w:szCs w:val="18"/>
              </w:rPr>
            </w:pPr>
            <w:r w:rsidRPr="006D41FB">
              <w:rPr>
                <w:color w:val="FF0000"/>
                <w:sz w:val="18"/>
                <w:szCs w:val="18"/>
              </w:rPr>
              <w:t> </w:t>
            </w:r>
          </w:p>
        </w:tc>
        <w:tc>
          <w:tcPr>
            <w:tcW w:w="0" w:type="auto"/>
            <w:vAlign w:val="center"/>
            <w:hideMark/>
          </w:tcPr>
          <w:p w:rsidR="00C01F58" w:rsidRPr="006D41FB" w14:paraId="35C48C5F" w14:textId="77777777">
            <w:pPr>
              <w:jc w:val="right"/>
              <w:rPr>
                <w:color w:val="FF0000"/>
                <w:sz w:val="18"/>
                <w:szCs w:val="18"/>
              </w:rPr>
            </w:pPr>
            <w:r w:rsidRPr="006D41FB">
              <w:rPr>
                <w:color w:val="FF0000"/>
                <w:sz w:val="18"/>
                <w:szCs w:val="18"/>
              </w:rPr>
              <w:t> </w:t>
            </w:r>
          </w:p>
        </w:tc>
        <w:tc>
          <w:tcPr>
            <w:tcW w:w="0" w:type="auto"/>
            <w:vAlign w:val="center"/>
            <w:hideMark/>
          </w:tcPr>
          <w:p w:rsidR="00C01F58" w:rsidRPr="006D41FB" w14:paraId="5049F81F" w14:textId="77777777">
            <w:pPr>
              <w:jc w:val="right"/>
              <w:rPr>
                <w:color w:val="FF0000"/>
                <w:sz w:val="18"/>
                <w:szCs w:val="18"/>
              </w:rPr>
            </w:pPr>
            <w:r w:rsidRPr="006D41FB">
              <w:rPr>
                <w:color w:val="FF0000"/>
                <w:sz w:val="18"/>
                <w:szCs w:val="18"/>
              </w:rPr>
              <w:t> </w:t>
            </w:r>
          </w:p>
        </w:tc>
        <w:tc>
          <w:tcPr>
            <w:tcW w:w="1182" w:type="dxa"/>
            <w:vAlign w:val="center"/>
            <w:hideMark/>
          </w:tcPr>
          <w:p w:rsidR="00C01F58" w:rsidRPr="006D41FB" w14:paraId="40C08E69" w14:textId="77777777">
            <w:pPr>
              <w:jc w:val="right"/>
              <w:rPr>
                <w:color w:val="FF0000"/>
                <w:sz w:val="18"/>
                <w:szCs w:val="18"/>
              </w:rPr>
            </w:pPr>
            <w:r w:rsidRPr="006D41FB">
              <w:rPr>
                <w:color w:val="FF0000"/>
                <w:sz w:val="18"/>
                <w:szCs w:val="18"/>
              </w:rPr>
              <w:t>246.846.800,00 € </w:t>
            </w:r>
          </w:p>
        </w:tc>
      </w:tr>
    </w:tbl>
    <w:p w:rsidR="00412FCF" w:rsidRPr="006D41FB" w:rsidP="004A6E30" w14:paraId="36579990" w14:textId="59D6EAB3">
      <w:pPr>
        <w:spacing w:after="120"/>
        <w:jc w:val="both"/>
        <w:rPr>
          <w:color w:val="FF0000"/>
        </w:rPr>
      </w:pPr>
    </w:p>
    <w:p w:rsidR="00737EBC" w:rsidRPr="006D41FB" w:rsidP="00737EBC" w14:paraId="08EF76AF" w14:textId="18563268">
      <w:pPr>
        <w:jc w:val="center"/>
        <w:rPr>
          <w:b/>
          <w:bCs/>
          <w:color w:val="FF0000"/>
        </w:rPr>
      </w:pPr>
      <w:r w:rsidRPr="006D41FB">
        <w:rPr>
          <w:b/>
          <w:bCs/>
          <w:color w:val="FF0000"/>
        </w:rPr>
        <w:t>QUADRO ECONOMICO</w:t>
      </w:r>
    </w:p>
    <w:tbl>
      <w:tblPr>
        <w:tblW w:w="958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528"/>
        <w:gridCol w:w="3058"/>
      </w:tblGrid>
      <w:tr w14:paraId="6EC5FB7F" w14:textId="77777777">
        <w:tblPrEx>
          <w:tblW w:w="9586" w:type="dxa"/>
          <w:tblLook w:val="04A0"/>
        </w:tblPrEx>
        <w:trPr>
          <w:trHeight w:val="225"/>
        </w:trPr>
        <w:tc>
          <w:tcPr>
            <w:tcW w:w="0" w:type="auto"/>
            <w:vAlign w:val="center"/>
            <w:hideMark/>
          </w:tcPr>
          <w:p w:rsidR="00F3113D" w:rsidRPr="006D41FB" w14:paraId="724BCD3F" w14:textId="77777777">
            <w:pPr>
              <w:rPr>
                <w:color w:val="FF0000"/>
                <w:sz w:val="18"/>
                <w:szCs w:val="18"/>
              </w:rPr>
            </w:pPr>
            <w:r w:rsidRPr="006D41FB">
              <w:rPr>
                <w:b/>
                <w:bCs/>
                <w:color w:val="FF0000"/>
                <w:sz w:val="18"/>
                <w:szCs w:val="18"/>
              </w:rPr>
              <w:t>Tipologia voce spesa</w:t>
            </w:r>
          </w:p>
        </w:tc>
        <w:tc>
          <w:tcPr>
            <w:tcW w:w="0" w:type="auto"/>
            <w:vAlign w:val="center"/>
            <w:hideMark/>
          </w:tcPr>
          <w:p w:rsidR="00F3113D" w:rsidRPr="006D41FB" w14:paraId="610DF03B" w14:textId="77777777">
            <w:pPr>
              <w:rPr>
                <w:color w:val="FF0000"/>
                <w:sz w:val="18"/>
                <w:szCs w:val="18"/>
              </w:rPr>
            </w:pPr>
            <w:r w:rsidRPr="006D41FB">
              <w:rPr>
                <w:b/>
                <w:bCs/>
                <w:color w:val="FF0000"/>
                <w:sz w:val="18"/>
                <w:szCs w:val="18"/>
              </w:rPr>
              <w:t>Importo</w:t>
            </w:r>
          </w:p>
        </w:tc>
      </w:tr>
      <w:tr w14:paraId="0F10F8F0" w14:textId="77777777">
        <w:tblPrEx>
          <w:tblW w:w="9586" w:type="dxa"/>
          <w:tblLook w:val="04A0"/>
        </w:tblPrEx>
        <w:trPr>
          <w:trHeight w:val="236"/>
        </w:trPr>
        <w:tc>
          <w:tcPr>
            <w:tcW w:w="0" w:type="auto"/>
            <w:vAlign w:val="center"/>
            <w:hideMark/>
          </w:tcPr>
          <w:p w:rsidR="00F3113D" w:rsidRPr="006D41FB" w14:paraId="3C4E1ED7" w14:textId="77777777">
            <w:pPr>
              <w:rPr>
                <w:color w:val="FF0000"/>
                <w:sz w:val="18"/>
                <w:szCs w:val="18"/>
              </w:rPr>
            </w:pPr>
            <w:r w:rsidRPr="006D41FB">
              <w:rPr>
                <w:color w:val="FF0000"/>
                <w:sz w:val="18"/>
                <w:szCs w:val="18"/>
              </w:rPr>
              <w:t>ACQUISIZIONE AREE O IMMOBILI</w:t>
            </w:r>
          </w:p>
        </w:tc>
        <w:tc>
          <w:tcPr>
            <w:tcW w:w="0" w:type="auto"/>
            <w:vAlign w:val="center"/>
            <w:hideMark/>
          </w:tcPr>
          <w:p w:rsidR="00F3113D" w:rsidRPr="006D41FB" w14:paraId="1C01E092" w14:textId="77777777">
            <w:pPr>
              <w:jc w:val="right"/>
              <w:rPr>
                <w:color w:val="FF0000"/>
                <w:sz w:val="18"/>
                <w:szCs w:val="18"/>
              </w:rPr>
            </w:pPr>
            <w:r w:rsidRPr="006D41FB">
              <w:rPr>
                <w:color w:val="FF0000"/>
                <w:sz w:val="18"/>
                <w:szCs w:val="18"/>
              </w:rPr>
              <w:t>2.100.000,00 €</w:t>
            </w:r>
          </w:p>
        </w:tc>
      </w:tr>
      <w:tr w14:paraId="5BEB9E24" w14:textId="77777777">
        <w:tblPrEx>
          <w:tblW w:w="9586" w:type="dxa"/>
          <w:tblLook w:val="04A0"/>
        </w:tblPrEx>
        <w:trPr>
          <w:trHeight w:val="236"/>
        </w:trPr>
        <w:tc>
          <w:tcPr>
            <w:tcW w:w="0" w:type="auto"/>
            <w:vAlign w:val="center"/>
            <w:hideMark/>
          </w:tcPr>
          <w:p w:rsidR="00F3113D" w:rsidRPr="006D41FB" w14:paraId="192AD5FF" w14:textId="77777777">
            <w:pPr>
              <w:rPr>
                <w:color w:val="FF0000"/>
                <w:sz w:val="18"/>
                <w:szCs w:val="18"/>
              </w:rPr>
            </w:pPr>
            <w:r w:rsidRPr="006D41FB">
              <w:rPr>
                <w:color w:val="FF0000"/>
                <w:sz w:val="18"/>
                <w:szCs w:val="18"/>
              </w:rPr>
              <w:t>ALTRO</w:t>
            </w:r>
          </w:p>
        </w:tc>
        <w:tc>
          <w:tcPr>
            <w:tcW w:w="0" w:type="auto"/>
            <w:vAlign w:val="center"/>
            <w:hideMark/>
          </w:tcPr>
          <w:p w:rsidR="00F3113D" w:rsidRPr="006D41FB" w14:paraId="1B606411" w14:textId="77777777">
            <w:pPr>
              <w:jc w:val="right"/>
              <w:rPr>
                <w:color w:val="FF0000"/>
                <w:sz w:val="18"/>
                <w:szCs w:val="18"/>
              </w:rPr>
            </w:pPr>
            <w:r w:rsidRPr="006D41FB">
              <w:rPr>
                <w:color w:val="FF0000"/>
                <w:sz w:val="18"/>
                <w:szCs w:val="18"/>
              </w:rPr>
              <w:t>97.085.521,35 €</w:t>
            </w:r>
          </w:p>
        </w:tc>
      </w:tr>
      <w:tr w14:paraId="01827254" w14:textId="77777777">
        <w:tblPrEx>
          <w:tblW w:w="9586" w:type="dxa"/>
          <w:tblLook w:val="04A0"/>
        </w:tblPrEx>
        <w:trPr>
          <w:trHeight w:val="236"/>
        </w:trPr>
        <w:tc>
          <w:tcPr>
            <w:tcW w:w="0" w:type="auto"/>
            <w:vAlign w:val="center"/>
            <w:hideMark/>
          </w:tcPr>
          <w:p w:rsidR="00F3113D" w:rsidRPr="006D41FB" w14:paraId="791EAD3B" w14:textId="77777777">
            <w:pPr>
              <w:rPr>
                <w:color w:val="FF0000"/>
                <w:sz w:val="18"/>
                <w:szCs w:val="18"/>
              </w:rPr>
            </w:pPr>
            <w:r w:rsidRPr="006D41FB">
              <w:rPr>
                <w:color w:val="FF0000"/>
                <w:sz w:val="18"/>
                <w:szCs w:val="18"/>
              </w:rPr>
              <w:t>LAVORI</w:t>
            </w:r>
          </w:p>
        </w:tc>
        <w:tc>
          <w:tcPr>
            <w:tcW w:w="0" w:type="auto"/>
            <w:vAlign w:val="center"/>
            <w:hideMark/>
          </w:tcPr>
          <w:p w:rsidR="00F3113D" w:rsidRPr="006D41FB" w14:paraId="28E8AEB1" w14:textId="77777777">
            <w:pPr>
              <w:jc w:val="right"/>
              <w:rPr>
                <w:color w:val="FF0000"/>
                <w:sz w:val="18"/>
                <w:szCs w:val="18"/>
              </w:rPr>
            </w:pPr>
            <w:r w:rsidRPr="006D41FB">
              <w:rPr>
                <w:color w:val="FF0000"/>
                <w:sz w:val="18"/>
                <w:szCs w:val="18"/>
              </w:rPr>
              <w:t>126.868.895,66 €</w:t>
            </w:r>
          </w:p>
        </w:tc>
      </w:tr>
      <w:tr w14:paraId="2A3494E1" w14:textId="77777777">
        <w:tblPrEx>
          <w:tblW w:w="9586" w:type="dxa"/>
          <w:tblLook w:val="04A0"/>
        </w:tblPrEx>
        <w:trPr>
          <w:trHeight w:val="236"/>
        </w:trPr>
        <w:tc>
          <w:tcPr>
            <w:tcW w:w="0" w:type="auto"/>
            <w:vAlign w:val="center"/>
            <w:hideMark/>
          </w:tcPr>
          <w:p w:rsidR="00F3113D" w:rsidRPr="006D41FB" w14:paraId="0468B292" w14:textId="77777777">
            <w:pPr>
              <w:rPr>
                <w:color w:val="FF0000"/>
                <w:sz w:val="18"/>
                <w:szCs w:val="18"/>
              </w:rPr>
            </w:pPr>
            <w:r w:rsidRPr="006D41FB">
              <w:rPr>
                <w:color w:val="FF0000"/>
                <w:sz w:val="18"/>
                <w:szCs w:val="18"/>
              </w:rPr>
              <w:t>PROGETTAZIONE E STUDI</w:t>
            </w:r>
          </w:p>
        </w:tc>
        <w:tc>
          <w:tcPr>
            <w:tcW w:w="0" w:type="auto"/>
            <w:vAlign w:val="center"/>
            <w:hideMark/>
          </w:tcPr>
          <w:p w:rsidR="00F3113D" w:rsidRPr="006D41FB" w14:paraId="3F974B67" w14:textId="77777777">
            <w:pPr>
              <w:jc w:val="right"/>
              <w:rPr>
                <w:color w:val="FF0000"/>
                <w:sz w:val="18"/>
                <w:szCs w:val="18"/>
              </w:rPr>
            </w:pPr>
            <w:r w:rsidRPr="006D41FB">
              <w:rPr>
                <w:color w:val="FF0000"/>
                <w:sz w:val="18"/>
                <w:szCs w:val="18"/>
              </w:rPr>
              <w:t>6.617.121,00 €</w:t>
            </w:r>
          </w:p>
        </w:tc>
      </w:tr>
      <w:tr w14:paraId="40097B22" w14:textId="77777777">
        <w:tblPrEx>
          <w:tblW w:w="9586" w:type="dxa"/>
          <w:tblLook w:val="04A0"/>
        </w:tblPrEx>
        <w:trPr>
          <w:trHeight w:val="236"/>
        </w:trPr>
        <w:tc>
          <w:tcPr>
            <w:tcW w:w="0" w:type="auto"/>
            <w:vAlign w:val="center"/>
            <w:hideMark/>
          </w:tcPr>
          <w:p w:rsidR="00F3113D" w:rsidRPr="006D41FB" w14:paraId="3E4049E4" w14:textId="77777777">
            <w:pPr>
              <w:rPr>
                <w:color w:val="FF0000"/>
                <w:sz w:val="18"/>
                <w:szCs w:val="18"/>
              </w:rPr>
            </w:pPr>
            <w:r w:rsidRPr="006D41FB">
              <w:rPr>
                <w:color w:val="FF0000"/>
                <w:sz w:val="18"/>
                <w:szCs w:val="18"/>
              </w:rPr>
              <w:t>IMPREVISTI</w:t>
            </w:r>
          </w:p>
        </w:tc>
        <w:tc>
          <w:tcPr>
            <w:tcW w:w="0" w:type="auto"/>
            <w:vAlign w:val="center"/>
            <w:hideMark/>
          </w:tcPr>
          <w:p w:rsidR="00F3113D" w:rsidRPr="006D41FB" w14:paraId="435F749D" w14:textId="77777777">
            <w:pPr>
              <w:jc w:val="right"/>
              <w:rPr>
                <w:color w:val="FF0000"/>
                <w:sz w:val="18"/>
                <w:szCs w:val="18"/>
              </w:rPr>
            </w:pPr>
            <w:r w:rsidRPr="006D41FB">
              <w:rPr>
                <w:color w:val="FF0000"/>
                <w:sz w:val="18"/>
                <w:szCs w:val="18"/>
              </w:rPr>
              <w:t>14.175.261,99 € </w:t>
            </w:r>
          </w:p>
        </w:tc>
      </w:tr>
      <w:tr w14:paraId="5E0B199D" w14:textId="77777777">
        <w:tblPrEx>
          <w:tblW w:w="9586" w:type="dxa"/>
          <w:tblLook w:val="04A0"/>
        </w:tblPrEx>
        <w:trPr>
          <w:trHeight w:val="236"/>
        </w:trPr>
        <w:tc>
          <w:tcPr>
            <w:tcW w:w="0" w:type="auto"/>
            <w:vAlign w:val="center"/>
            <w:hideMark/>
          </w:tcPr>
          <w:p w:rsidR="00F3113D" w:rsidRPr="006D41FB" w14:paraId="46C5A7DC" w14:textId="77777777">
            <w:pPr>
              <w:rPr>
                <w:color w:val="FF0000"/>
                <w:sz w:val="18"/>
                <w:szCs w:val="18"/>
              </w:rPr>
            </w:pPr>
            <w:r w:rsidRPr="006D41FB">
              <w:rPr>
                <w:color w:val="FF0000"/>
                <w:sz w:val="18"/>
                <w:szCs w:val="18"/>
              </w:rPr>
              <w:t> </w:t>
            </w:r>
          </w:p>
        </w:tc>
        <w:tc>
          <w:tcPr>
            <w:tcW w:w="0" w:type="auto"/>
            <w:vAlign w:val="center"/>
            <w:hideMark/>
          </w:tcPr>
          <w:p w:rsidR="00F3113D" w:rsidRPr="006D41FB" w14:paraId="27C57AF7" w14:textId="77777777">
            <w:pPr>
              <w:jc w:val="right"/>
              <w:rPr>
                <w:color w:val="FF0000"/>
                <w:sz w:val="18"/>
                <w:szCs w:val="18"/>
              </w:rPr>
            </w:pPr>
            <w:r w:rsidRPr="006D41FB">
              <w:rPr>
                <w:color w:val="FF0000"/>
                <w:sz w:val="18"/>
                <w:szCs w:val="18"/>
              </w:rPr>
              <w:t>246.846.800,00 € </w:t>
            </w:r>
          </w:p>
        </w:tc>
      </w:tr>
    </w:tbl>
    <w:p w:rsidR="00737EBC" w:rsidRPr="006D41FB" w:rsidP="004A6E30" w14:paraId="46CB8664" w14:textId="226B8EF4">
      <w:pPr>
        <w:spacing w:after="120"/>
        <w:jc w:val="both"/>
        <w:rPr>
          <w:color w:val="FF0000"/>
        </w:rPr>
      </w:pPr>
    </w:p>
    <w:p w:rsidR="00A8110A" w:rsidRPr="006D41FB" w:rsidP="00A8110A" w14:paraId="768F7911" w14:textId="59CD13AB">
      <w:pPr>
        <w:jc w:val="both"/>
        <w:rPr>
          <w:color w:val="FF0000"/>
        </w:rPr>
      </w:pPr>
      <w:r w:rsidRPr="006D41FB">
        <w:rPr>
          <w:b/>
          <w:color w:val="FF0000"/>
        </w:rPr>
        <w:t>Descrizione del progetto</w:t>
      </w:r>
      <w:r w:rsidRPr="006D41FB">
        <w:rPr>
          <w:color w:val="FF0000"/>
        </w:rPr>
        <w:t xml:space="preserve">: L’intervento in oggetto consiste nella prima delle tre fasi funzionali che prevedono il rifacimento dell’Acquedotto Marcio che rappresenta il secondo sistema di adduzione dell’ATO2 Lazio Centrale Roma e che risulta in esercizio continuato da oltre 100 anni. Questa prima fase funzionale, il cui tracciato interessa i comuni dell’alta valle dell’Aniene, prevede la realizzazione di un primo tratto di lunghezza pari a circa 2,3 km di due condotte in acciaio DN2000 a superficie libera e di un secondo tratto in pressione con tubazione DN1800 in cemento armato </w:t>
      </w:r>
      <w:r w:rsidRPr="006D41FB">
        <w:rPr>
          <w:color w:val="FF0000"/>
        </w:rPr>
        <w:t>vibrocompresso</w:t>
      </w:r>
      <w:r w:rsidRPr="006D41FB">
        <w:rPr>
          <w:color w:val="FF0000"/>
        </w:rPr>
        <w:t xml:space="preserve"> (</w:t>
      </w:r>
      <w:r w:rsidRPr="006D41FB">
        <w:rPr>
          <w:color w:val="FF0000"/>
        </w:rPr>
        <w:t>c.a.v</w:t>
      </w:r>
      <w:r w:rsidRPr="006D41FB">
        <w:rPr>
          <w:color w:val="FF0000"/>
        </w:rPr>
        <w:t>.) rivestito internamente in PEAD di lunghezza pari a 5 km fino al nodo, denominato Sifone Ceraso, di interconnessione agli acquedotti esistenti. Lo scavo e la posa di quest’ultimo tratto avviene attraverso la tecnologia di scavo in microtunneling. Al termine dell’intervento sarà possibile alimentare mediante il nuovo sistema idraulico realizzato, con una portata pari a quella media odierna di 4,2 m3/s, le due gallerie esistenti a valle del nodo di connessione con le stesse.</w:t>
      </w:r>
    </w:p>
    <w:p w:rsidR="00A8110A" w:rsidRPr="006D41FB" w:rsidP="004A6E30" w14:paraId="751660E0" w14:textId="6A8F69D0">
      <w:pPr>
        <w:spacing w:after="120"/>
        <w:jc w:val="both"/>
        <w:rPr>
          <w:color w:val="FF0000"/>
        </w:rPr>
      </w:pPr>
    </w:p>
    <w:p w:rsidR="00A00004" w:rsidRPr="006D41FB" w:rsidP="002402E8" w14:paraId="222CC6D9" w14:textId="255B15A2">
      <w:pPr>
        <w:jc w:val="both"/>
        <w:rPr>
          <w:color w:val="FF0000"/>
        </w:rPr>
      </w:pPr>
      <w:r w:rsidRPr="006D41FB">
        <w:rPr>
          <w:color w:val="FF0000"/>
        </w:rPr>
        <w:t xml:space="preserve">Il </w:t>
      </w:r>
      <w:r w:rsidRPr="006D41FB">
        <w:rPr>
          <w:b/>
          <w:color w:val="FF0000"/>
          <w:u w:val="single"/>
        </w:rPr>
        <w:t xml:space="preserve">comma </w:t>
      </w:r>
      <w:r w:rsidRPr="006D41FB" w:rsidR="0A049A72">
        <w:rPr>
          <w:b/>
          <w:color w:val="FF0000"/>
          <w:u w:val="single"/>
        </w:rPr>
        <w:t>4</w:t>
      </w:r>
      <w:r w:rsidRPr="006D41FB">
        <w:rPr>
          <w:b/>
          <w:bCs/>
          <w:color w:val="FF0000"/>
        </w:rPr>
        <w:t xml:space="preserve">, </w:t>
      </w:r>
      <w:r w:rsidRPr="006D41FB">
        <w:rPr>
          <w:color w:val="FF0000"/>
        </w:rPr>
        <w:t>con una ulteriore disposizione di carattere transitorio, prevede che, in sede di prima applicazione, la quota delle risorse dello Strumento finanziario in parola di cui al comma 2, lettera b) (ovverosia la quota riveniente da eventuali risorse nazionali), sia prioritariamente destinata al finanziamento degli interventi del settore idrico colpiti da eventi alluvionali ricompresi nell’Investimento 4.1, Misura 2, Componente 4. Trattasi, in particolare, degli interventi relativi alla “Interventi di adeguamento e messa in sicurezza della cassa di laminazione del fiume Secchia comprensivi dell’utilizzo dell’invaso a scopi irrigui” e degli interventi di “Recupero di bacini di ex cava in destra idraulica del F. Marecchia, con funzione di stoccaggio per soccorso e distribuzione irrigua sulla Bassa Valmarecchia, laminazione delle piene ed uso ambientale - Stralcio 1”, entrambi già ricompresi nel PNIISSI. Conseguentemente, al comma 5, si dispone il contestuale definanziamento dei suddetti interventi dall’Investimento 4.1, Misura 2, Componente 4, del PNRR.</w:t>
      </w:r>
    </w:p>
    <w:p w:rsidR="002402E8" w:rsidRPr="006D41FB" w:rsidP="002402E8" w14:paraId="388772CC" w14:textId="77777777">
      <w:pPr>
        <w:jc w:val="both"/>
        <w:rPr>
          <w:color w:val="FF0000"/>
        </w:rPr>
      </w:pPr>
    </w:p>
    <w:p w:rsidR="008748DF" w:rsidRPr="006D41FB" w:rsidP="002402E8" w14:paraId="1CEAF9AC" w14:textId="63907939">
      <w:pPr>
        <w:jc w:val="both"/>
        <w:rPr>
          <w:color w:val="FF0000"/>
        </w:rPr>
      </w:pPr>
      <w:r w:rsidRPr="006D41FB">
        <w:rPr>
          <w:color w:val="FF0000"/>
        </w:rPr>
        <w:t>Di seguito una scheda sintetica dei suddetti interventi</w:t>
      </w:r>
      <w:r w:rsidRPr="006D41FB" w:rsidR="002402E8">
        <w:rPr>
          <w:color w:val="FF0000"/>
        </w:rPr>
        <w:t>.</w:t>
      </w:r>
    </w:p>
    <w:p w:rsidR="00A00004" w:rsidRPr="006D41FB" w:rsidP="00987C41" w14:paraId="4F4249D3" w14:textId="77777777">
      <w:pPr>
        <w:spacing w:after="120"/>
        <w:jc w:val="both"/>
        <w:rPr>
          <w:b/>
          <w:bCs/>
          <w:color w:val="FF0000"/>
        </w:rPr>
      </w:pPr>
    </w:p>
    <w:p w:rsidR="00E564CE" w:rsidRPr="006D41FB" w:rsidP="00987C41" w14:paraId="4085F02C" w14:textId="77777777">
      <w:pPr>
        <w:spacing w:after="120"/>
        <w:jc w:val="both"/>
        <w:rPr>
          <w:b/>
          <w:bCs/>
          <w:color w:val="FF0000"/>
        </w:rPr>
      </w:pPr>
    </w:p>
    <w:p w:rsidR="002D71C8" w:rsidRPr="006D41FB" w:rsidP="002402E8" w14:paraId="77ADC106" w14:textId="5FDF1454">
      <w:pPr>
        <w:jc w:val="both"/>
        <w:rPr>
          <w:b/>
          <w:bCs/>
          <w:color w:val="FF0000"/>
        </w:rPr>
      </w:pPr>
      <w:r w:rsidRPr="006D41FB">
        <w:rPr>
          <w:b/>
          <w:bCs/>
          <w:color w:val="FF0000"/>
        </w:rPr>
        <w:t xml:space="preserve">4. </w:t>
      </w:r>
      <w:r w:rsidRPr="006D41FB">
        <w:rPr>
          <w:b/>
          <w:bCs/>
          <w:i/>
          <w:iCs/>
          <w:color w:val="FF0000"/>
        </w:rPr>
        <w:t>INTERVENTI DI ADEGUAMENTO E MESSA IN SICUREZZA DELLA CASSA DI LAMINAZIONE DEL FIUME SECCHIA ALLA NORMATIVA DPR 1363/59 E DM 26/06/2014, COMPRENSIVI DELL’UTILIZZO DELL’INVASO A SCOPI IRRIGUI</w:t>
      </w:r>
      <w:r w:rsidRPr="006D41FB" w:rsidR="002402E8">
        <w:rPr>
          <w:b/>
          <w:bCs/>
          <w:i/>
          <w:iCs/>
          <w:color w:val="FF0000"/>
        </w:rPr>
        <w:t xml:space="preserve"> (</w:t>
      </w:r>
      <w:r w:rsidRPr="006D41FB">
        <w:rPr>
          <w:b/>
          <w:bCs/>
          <w:color w:val="FF0000"/>
        </w:rPr>
        <w:t xml:space="preserve">CODICE INTERVENTO A1-1 </w:t>
      </w:r>
      <w:r w:rsidRPr="006D41FB">
        <w:rPr>
          <w:b/>
          <w:bCs/>
          <w:i/>
          <w:iCs/>
          <w:color w:val="FF0000"/>
        </w:rPr>
        <w:t>LOTTO 2</w:t>
      </w:r>
      <w:r w:rsidRPr="006D41FB" w:rsidR="002402E8">
        <w:rPr>
          <w:b/>
          <w:bCs/>
          <w:i/>
          <w:iCs/>
          <w:color w:val="FF0000"/>
        </w:rPr>
        <w:t>)</w:t>
      </w:r>
    </w:p>
    <w:p w:rsidR="002D71C8" w:rsidRPr="006D41FB" w:rsidP="002D71C8" w14:paraId="5FD2F299" w14:textId="3F4BD5F3">
      <w:pPr>
        <w:ind w:left="360"/>
        <w:jc w:val="center"/>
        <w:rPr>
          <w:b/>
          <w:bCs/>
          <w:color w:val="FF0000"/>
        </w:rPr>
      </w:pPr>
    </w:p>
    <w:tbl>
      <w:tblPr>
        <w:tblStyle w:val="TableGrid"/>
        <w:tblW w:w="0" w:type="auto"/>
        <w:tblLook w:val="04A0"/>
      </w:tblPr>
      <w:tblGrid>
        <w:gridCol w:w="9628"/>
      </w:tblGrid>
      <w:tr w14:paraId="247B59B7" w14:textId="77777777">
        <w:tblPrEx>
          <w:tblW w:w="0" w:type="auto"/>
          <w:tblLook w:val="04A0"/>
        </w:tblPrEx>
        <w:tc>
          <w:tcPr>
            <w:tcW w:w="9628" w:type="dxa"/>
          </w:tcPr>
          <w:p w:rsidR="006667A7" w:rsidRPr="006D41FB" w14:paraId="041493EB" w14:textId="77777777">
            <w:pPr>
              <w:jc w:val="both"/>
              <w:rPr>
                <w:color w:val="FF0000"/>
                <w:sz w:val="24"/>
                <w:szCs w:val="24"/>
              </w:rPr>
            </w:pPr>
            <w:r w:rsidRPr="006D41FB">
              <w:rPr>
                <w:b/>
                <w:bCs/>
                <w:color w:val="FF0000"/>
                <w:sz w:val="24"/>
                <w:szCs w:val="24"/>
              </w:rPr>
              <w:t>CUP:</w:t>
            </w:r>
            <w:r w:rsidRPr="006D41FB">
              <w:rPr>
                <w:color w:val="FF0000"/>
                <w:sz w:val="24"/>
                <w:szCs w:val="24"/>
              </w:rPr>
              <w:t xml:space="preserve"> B94H20001600001</w:t>
            </w:r>
          </w:p>
        </w:tc>
      </w:tr>
      <w:tr w14:paraId="0EDD73C7" w14:textId="77777777">
        <w:tblPrEx>
          <w:tblW w:w="0" w:type="auto"/>
          <w:tblLook w:val="04A0"/>
        </w:tblPrEx>
        <w:tc>
          <w:tcPr>
            <w:tcW w:w="9628" w:type="dxa"/>
          </w:tcPr>
          <w:p w:rsidR="006667A7" w:rsidRPr="006D41FB" w14:paraId="2B2D95ED" w14:textId="77777777">
            <w:pPr>
              <w:jc w:val="both"/>
              <w:rPr>
                <w:b/>
                <w:bCs/>
                <w:color w:val="FF0000"/>
                <w:sz w:val="24"/>
                <w:szCs w:val="24"/>
              </w:rPr>
            </w:pPr>
            <w:r w:rsidRPr="006D41FB">
              <w:rPr>
                <w:b/>
                <w:bCs/>
                <w:color w:val="FF0000"/>
                <w:sz w:val="24"/>
                <w:szCs w:val="24"/>
              </w:rPr>
              <w:t>CLP :</w:t>
            </w:r>
            <w:r w:rsidRPr="006D41FB">
              <w:rPr>
                <w:b/>
                <w:bCs/>
                <w:color w:val="FF0000"/>
                <w:sz w:val="24"/>
                <w:szCs w:val="24"/>
              </w:rPr>
              <w:t xml:space="preserve"> </w:t>
            </w:r>
            <w:r w:rsidRPr="006D41FB">
              <w:rPr>
                <w:color w:val="FF0000"/>
                <w:sz w:val="24"/>
                <w:szCs w:val="24"/>
              </w:rPr>
              <w:t>M2C4-I4.1-A1-1 lotto 2</w:t>
            </w:r>
          </w:p>
        </w:tc>
      </w:tr>
      <w:tr w14:paraId="3E88C59A" w14:textId="77777777">
        <w:tblPrEx>
          <w:tblW w:w="0" w:type="auto"/>
          <w:tblLook w:val="04A0"/>
        </w:tblPrEx>
        <w:tc>
          <w:tcPr>
            <w:tcW w:w="9628" w:type="dxa"/>
          </w:tcPr>
          <w:p w:rsidR="006667A7" w:rsidRPr="006D41FB" w14:paraId="60AF4221" w14:textId="77777777">
            <w:pPr>
              <w:jc w:val="both"/>
              <w:rPr>
                <w:color w:val="FF0000"/>
                <w:sz w:val="24"/>
                <w:szCs w:val="24"/>
              </w:rPr>
            </w:pPr>
            <w:r w:rsidRPr="006D41FB">
              <w:rPr>
                <w:b/>
                <w:bCs/>
                <w:color w:val="FF0000"/>
                <w:sz w:val="24"/>
                <w:szCs w:val="24"/>
              </w:rPr>
              <w:t>Importo Progetto</w:t>
            </w:r>
            <w:r w:rsidRPr="006D41FB">
              <w:rPr>
                <w:color w:val="FF0000"/>
                <w:sz w:val="24"/>
                <w:szCs w:val="24"/>
              </w:rPr>
              <w:t>: 25.000.000,00 €</w:t>
            </w:r>
          </w:p>
        </w:tc>
      </w:tr>
      <w:tr w14:paraId="5B9E26A7" w14:textId="77777777">
        <w:tblPrEx>
          <w:tblW w:w="0" w:type="auto"/>
          <w:tblLook w:val="04A0"/>
        </w:tblPrEx>
        <w:tc>
          <w:tcPr>
            <w:tcW w:w="9628" w:type="dxa"/>
          </w:tcPr>
          <w:p w:rsidR="006667A7" w:rsidRPr="006D41FB" w14:paraId="20118814" w14:textId="77777777">
            <w:pPr>
              <w:jc w:val="both"/>
              <w:rPr>
                <w:color w:val="FF0000"/>
                <w:sz w:val="24"/>
                <w:szCs w:val="24"/>
              </w:rPr>
            </w:pPr>
            <w:r w:rsidRPr="006D41FB">
              <w:rPr>
                <w:b/>
                <w:bCs/>
                <w:color w:val="FF0000"/>
                <w:sz w:val="24"/>
                <w:szCs w:val="24"/>
              </w:rPr>
              <w:t>Importo PNRR</w:t>
            </w:r>
            <w:r w:rsidRPr="006D41FB">
              <w:rPr>
                <w:color w:val="FF0000"/>
                <w:sz w:val="24"/>
                <w:szCs w:val="24"/>
              </w:rPr>
              <w:t>: 25.000.000,00 €</w:t>
            </w:r>
          </w:p>
        </w:tc>
      </w:tr>
    </w:tbl>
    <w:p w:rsidR="006667A7" w:rsidRPr="006D41FB" w:rsidP="006667A7" w14:paraId="5D3DC822" w14:textId="77777777">
      <w:pPr>
        <w:jc w:val="both"/>
        <w:rPr>
          <w:color w:val="FF0000"/>
        </w:rPr>
      </w:pPr>
    </w:p>
    <w:p w:rsidR="00361588" w:rsidRPr="006D41FB" w:rsidP="00361588" w14:paraId="26FB8D48" w14:textId="77777777">
      <w:pPr>
        <w:jc w:val="center"/>
        <w:rPr>
          <w:b/>
          <w:bCs/>
          <w:color w:val="FF0000"/>
        </w:rPr>
      </w:pPr>
      <w:r w:rsidRPr="006D41FB">
        <w:rPr>
          <w:b/>
          <w:bCs/>
          <w:color w:val="FF0000"/>
        </w:rPr>
        <w:t>CRONOPROGRAMMA FINANZIARIO</w:t>
      </w:r>
    </w:p>
    <w:tbl>
      <w:tblPr>
        <w:tblW w:w="963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519"/>
        <w:gridCol w:w="1478"/>
        <w:gridCol w:w="1040"/>
        <w:gridCol w:w="1792"/>
        <w:gridCol w:w="1807"/>
      </w:tblGrid>
      <w:tr w14:paraId="5B8CA061" w14:textId="77777777">
        <w:tblPrEx>
          <w:tblW w:w="9636" w:type="dxa"/>
          <w:tblLook w:val="04A0"/>
        </w:tblPrEx>
        <w:trPr>
          <w:trHeight w:val="297"/>
        </w:trPr>
        <w:tc>
          <w:tcPr>
            <w:tcW w:w="0" w:type="auto"/>
            <w:vAlign w:val="center"/>
            <w:hideMark/>
          </w:tcPr>
          <w:p w:rsidR="00D14A16" w:rsidRPr="006D41FB" w14:paraId="04B1DA3D" w14:textId="77777777">
            <w:pPr>
              <w:rPr>
                <w:color w:val="FF0000"/>
                <w:sz w:val="18"/>
                <w:szCs w:val="18"/>
              </w:rPr>
            </w:pPr>
            <w:r w:rsidRPr="006D41FB">
              <w:rPr>
                <w:b/>
                <w:bCs/>
                <w:color w:val="FF0000"/>
                <w:sz w:val="18"/>
                <w:szCs w:val="18"/>
              </w:rPr>
              <w:t>Anno di riferimento</w:t>
            </w:r>
          </w:p>
        </w:tc>
        <w:tc>
          <w:tcPr>
            <w:tcW w:w="0" w:type="auto"/>
            <w:vAlign w:val="center"/>
            <w:hideMark/>
          </w:tcPr>
          <w:p w:rsidR="00D14A16" w:rsidRPr="006D41FB" w14:paraId="360DF8B4" w14:textId="77777777">
            <w:pPr>
              <w:jc w:val="right"/>
              <w:rPr>
                <w:color w:val="FF0000"/>
                <w:sz w:val="18"/>
                <w:szCs w:val="18"/>
              </w:rPr>
            </w:pPr>
            <w:r w:rsidRPr="006D41FB">
              <w:rPr>
                <w:color w:val="FF0000"/>
                <w:sz w:val="18"/>
                <w:szCs w:val="18"/>
              </w:rPr>
              <w:t>2023</w:t>
            </w:r>
          </w:p>
        </w:tc>
        <w:tc>
          <w:tcPr>
            <w:tcW w:w="0" w:type="auto"/>
            <w:vAlign w:val="center"/>
            <w:hideMark/>
          </w:tcPr>
          <w:p w:rsidR="00D14A16" w:rsidRPr="006D41FB" w14:paraId="510AE11D" w14:textId="77777777">
            <w:pPr>
              <w:jc w:val="right"/>
              <w:rPr>
                <w:color w:val="FF0000"/>
                <w:sz w:val="18"/>
                <w:szCs w:val="18"/>
              </w:rPr>
            </w:pPr>
            <w:r w:rsidRPr="006D41FB">
              <w:rPr>
                <w:color w:val="FF0000"/>
                <w:sz w:val="18"/>
                <w:szCs w:val="18"/>
              </w:rPr>
              <w:t>2024</w:t>
            </w:r>
          </w:p>
        </w:tc>
        <w:tc>
          <w:tcPr>
            <w:tcW w:w="0" w:type="auto"/>
            <w:vAlign w:val="center"/>
            <w:hideMark/>
          </w:tcPr>
          <w:p w:rsidR="00D14A16" w:rsidRPr="006D41FB" w14:paraId="296AF991" w14:textId="77777777">
            <w:pPr>
              <w:jc w:val="right"/>
              <w:rPr>
                <w:color w:val="FF0000"/>
                <w:sz w:val="18"/>
                <w:szCs w:val="18"/>
              </w:rPr>
            </w:pPr>
            <w:r w:rsidRPr="006D41FB">
              <w:rPr>
                <w:color w:val="FF0000"/>
                <w:sz w:val="18"/>
                <w:szCs w:val="18"/>
              </w:rPr>
              <w:t>2025</w:t>
            </w:r>
          </w:p>
        </w:tc>
        <w:tc>
          <w:tcPr>
            <w:tcW w:w="0" w:type="auto"/>
            <w:vAlign w:val="center"/>
            <w:hideMark/>
          </w:tcPr>
          <w:p w:rsidR="00D14A16" w:rsidRPr="006D41FB" w14:paraId="07F4F5F6" w14:textId="77777777">
            <w:pPr>
              <w:jc w:val="right"/>
              <w:rPr>
                <w:color w:val="FF0000"/>
                <w:sz w:val="18"/>
                <w:szCs w:val="18"/>
              </w:rPr>
            </w:pPr>
            <w:r w:rsidRPr="006D41FB">
              <w:rPr>
                <w:color w:val="FF0000"/>
                <w:sz w:val="18"/>
                <w:szCs w:val="18"/>
              </w:rPr>
              <w:t>Totale</w:t>
            </w:r>
          </w:p>
        </w:tc>
      </w:tr>
      <w:tr w14:paraId="7DFE644D" w14:textId="77777777">
        <w:tblPrEx>
          <w:tblW w:w="9636" w:type="dxa"/>
          <w:tblLook w:val="04A0"/>
        </w:tblPrEx>
        <w:trPr>
          <w:trHeight w:val="308"/>
        </w:trPr>
        <w:tc>
          <w:tcPr>
            <w:tcW w:w="0" w:type="auto"/>
            <w:vAlign w:val="center"/>
            <w:hideMark/>
          </w:tcPr>
          <w:p w:rsidR="00D14A16" w:rsidRPr="006D41FB" w14:paraId="3CF1840D" w14:textId="77777777">
            <w:pPr>
              <w:rPr>
                <w:color w:val="FF0000"/>
                <w:sz w:val="18"/>
                <w:szCs w:val="18"/>
              </w:rPr>
            </w:pPr>
            <w:r w:rsidRPr="006D41FB">
              <w:rPr>
                <w:b/>
                <w:bCs/>
                <w:color w:val="FF0000"/>
                <w:sz w:val="18"/>
                <w:szCs w:val="18"/>
              </w:rPr>
              <w:t>Importo da realizzare nell’anno</w:t>
            </w:r>
          </w:p>
        </w:tc>
        <w:tc>
          <w:tcPr>
            <w:tcW w:w="0" w:type="auto"/>
            <w:vAlign w:val="center"/>
            <w:hideMark/>
          </w:tcPr>
          <w:p w:rsidR="00D14A16" w:rsidRPr="006D41FB" w14:paraId="1863C642" w14:textId="77777777">
            <w:pPr>
              <w:jc w:val="right"/>
              <w:rPr>
                <w:color w:val="FF0000"/>
                <w:sz w:val="18"/>
                <w:szCs w:val="18"/>
              </w:rPr>
            </w:pPr>
            <w:r w:rsidRPr="006D41FB">
              <w:rPr>
                <w:color w:val="FF0000"/>
                <w:sz w:val="18"/>
                <w:szCs w:val="18"/>
              </w:rPr>
              <w:t>-   € </w:t>
            </w:r>
          </w:p>
        </w:tc>
        <w:tc>
          <w:tcPr>
            <w:tcW w:w="0" w:type="auto"/>
            <w:vAlign w:val="center"/>
            <w:hideMark/>
          </w:tcPr>
          <w:p w:rsidR="00D14A16" w:rsidRPr="006D41FB" w14:paraId="46B99C28" w14:textId="77777777">
            <w:pPr>
              <w:jc w:val="right"/>
              <w:rPr>
                <w:color w:val="FF0000"/>
                <w:sz w:val="18"/>
                <w:szCs w:val="18"/>
              </w:rPr>
            </w:pPr>
            <w:r w:rsidRPr="006D41FB">
              <w:rPr>
                <w:color w:val="FF0000"/>
                <w:sz w:val="18"/>
                <w:szCs w:val="18"/>
              </w:rPr>
              <w:t>-   € </w:t>
            </w:r>
          </w:p>
        </w:tc>
        <w:tc>
          <w:tcPr>
            <w:tcW w:w="0" w:type="auto"/>
            <w:vAlign w:val="center"/>
            <w:hideMark/>
          </w:tcPr>
          <w:p w:rsidR="00D14A16" w:rsidRPr="006D41FB" w14:paraId="59A87DA0" w14:textId="77777777">
            <w:pPr>
              <w:jc w:val="right"/>
              <w:rPr>
                <w:color w:val="FF0000"/>
                <w:sz w:val="18"/>
                <w:szCs w:val="18"/>
              </w:rPr>
            </w:pPr>
            <w:r w:rsidRPr="006D41FB">
              <w:rPr>
                <w:color w:val="FF0000"/>
                <w:sz w:val="18"/>
                <w:szCs w:val="18"/>
              </w:rPr>
              <w:t>24.856.087,47 € </w:t>
            </w:r>
          </w:p>
        </w:tc>
        <w:tc>
          <w:tcPr>
            <w:tcW w:w="0" w:type="auto"/>
            <w:vAlign w:val="center"/>
            <w:hideMark/>
          </w:tcPr>
          <w:p w:rsidR="00D14A16" w:rsidRPr="006D41FB" w14:paraId="2FE84DD3" w14:textId="77777777">
            <w:pPr>
              <w:jc w:val="right"/>
              <w:rPr>
                <w:color w:val="FF0000"/>
                <w:sz w:val="18"/>
                <w:szCs w:val="18"/>
              </w:rPr>
            </w:pPr>
            <w:r w:rsidRPr="006D41FB">
              <w:rPr>
                <w:color w:val="FF0000"/>
                <w:sz w:val="18"/>
                <w:szCs w:val="18"/>
              </w:rPr>
              <w:t>24.856.087,47 €</w:t>
            </w:r>
          </w:p>
        </w:tc>
      </w:tr>
      <w:tr w14:paraId="5FE2E4E2" w14:textId="77777777">
        <w:tblPrEx>
          <w:tblW w:w="9636" w:type="dxa"/>
          <w:tblLook w:val="04A0"/>
        </w:tblPrEx>
        <w:trPr>
          <w:trHeight w:val="297"/>
        </w:trPr>
        <w:tc>
          <w:tcPr>
            <w:tcW w:w="0" w:type="auto"/>
            <w:vAlign w:val="center"/>
            <w:hideMark/>
          </w:tcPr>
          <w:p w:rsidR="00D14A16" w:rsidRPr="006D41FB" w14:paraId="235AD735" w14:textId="77777777">
            <w:pPr>
              <w:rPr>
                <w:color w:val="FF0000"/>
                <w:sz w:val="18"/>
                <w:szCs w:val="18"/>
              </w:rPr>
            </w:pPr>
            <w:r w:rsidRPr="006D41FB">
              <w:rPr>
                <w:b/>
                <w:bCs/>
                <w:color w:val="FF0000"/>
                <w:sz w:val="18"/>
                <w:szCs w:val="18"/>
              </w:rPr>
              <w:t>Importo realizzato nell’anno</w:t>
            </w:r>
          </w:p>
        </w:tc>
        <w:tc>
          <w:tcPr>
            <w:tcW w:w="0" w:type="auto"/>
            <w:vAlign w:val="center"/>
            <w:hideMark/>
          </w:tcPr>
          <w:p w:rsidR="00D14A16" w:rsidRPr="006D41FB" w14:paraId="6EFEE232" w14:textId="77777777">
            <w:pPr>
              <w:jc w:val="right"/>
              <w:rPr>
                <w:color w:val="FF0000"/>
                <w:sz w:val="18"/>
                <w:szCs w:val="18"/>
              </w:rPr>
            </w:pPr>
            <w:r w:rsidRPr="006D41FB">
              <w:rPr>
                <w:color w:val="FF0000"/>
                <w:sz w:val="18"/>
                <w:szCs w:val="18"/>
              </w:rPr>
              <w:t>143.667,53 € </w:t>
            </w:r>
          </w:p>
        </w:tc>
        <w:tc>
          <w:tcPr>
            <w:tcW w:w="0" w:type="auto"/>
            <w:vAlign w:val="center"/>
            <w:hideMark/>
          </w:tcPr>
          <w:p w:rsidR="00D14A16" w:rsidRPr="006D41FB" w14:paraId="43387F1E" w14:textId="77777777">
            <w:pPr>
              <w:jc w:val="right"/>
              <w:rPr>
                <w:color w:val="FF0000"/>
                <w:sz w:val="18"/>
                <w:szCs w:val="18"/>
              </w:rPr>
            </w:pPr>
            <w:r w:rsidRPr="006D41FB">
              <w:rPr>
                <w:color w:val="FF0000"/>
                <w:sz w:val="18"/>
                <w:szCs w:val="18"/>
              </w:rPr>
              <w:t>245,00 € </w:t>
            </w:r>
          </w:p>
        </w:tc>
        <w:tc>
          <w:tcPr>
            <w:tcW w:w="0" w:type="auto"/>
            <w:vAlign w:val="center"/>
            <w:hideMark/>
          </w:tcPr>
          <w:p w:rsidR="00D14A16" w:rsidRPr="006D41FB" w14:paraId="69716B8D" w14:textId="77777777">
            <w:pPr>
              <w:jc w:val="right"/>
              <w:rPr>
                <w:color w:val="FF0000"/>
                <w:sz w:val="18"/>
                <w:szCs w:val="18"/>
              </w:rPr>
            </w:pPr>
            <w:r w:rsidRPr="006D41FB">
              <w:rPr>
                <w:color w:val="FF0000"/>
                <w:sz w:val="18"/>
                <w:szCs w:val="18"/>
              </w:rPr>
              <w:t>-   € </w:t>
            </w:r>
          </w:p>
        </w:tc>
        <w:tc>
          <w:tcPr>
            <w:tcW w:w="0" w:type="auto"/>
            <w:vAlign w:val="center"/>
            <w:hideMark/>
          </w:tcPr>
          <w:p w:rsidR="00D14A16" w:rsidRPr="006D41FB" w14:paraId="3F37EF44" w14:textId="77777777">
            <w:pPr>
              <w:jc w:val="right"/>
              <w:rPr>
                <w:color w:val="FF0000"/>
                <w:sz w:val="18"/>
                <w:szCs w:val="18"/>
              </w:rPr>
            </w:pPr>
            <w:r w:rsidRPr="006D41FB">
              <w:rPr>
                <w:color w:val="FF0000"/>
                <w:sz w:val="18"/>
                <w:szCs w:val="18"/>
              </w:rPr>
              <w:t>143.912,53 € </w:t>
            </w:r>
          </w:p>
        </w:tc>
      </w:tr>
      <w:tr w14:paraId="582429F5" w14:textId="77777777">
        <w:tblPrEx>
          <w:tblW w:w="9636" w:type="dxa"/>
          <w:tblLook w:val="04A0"/>
        </w:tblPrEx>
        <w:trPr>
          <w:trHeight w:val="297"/>
        </w:trPr>
        <w:tc>
          <w:tcPr>
            <w:tcW w:w="0" w:type="auto"/>
            <w:vAlign w:val="center"/>
            <w:hideMark/>
          </w:tcPr>
          <w:p w:rsidR="00D14A16" w:rsidRPr="006D41FB" w14:paraId="1E73A27F" w14:textId="77777777">
            <w:pPr>
              <w:rPr>
                <w:color w:val="FF0000"/>
                <w:sz w:val="18"/>
                <w:szCs w:val="18"/>
              </w:rPr>
            </w:pPr>
            <w:r w:rsidRPr="006D41FB">
              <w:rPr>
                <w:color w:val="FF0000"/>
                <w:sz w:val="18"/>
                <w:szCs w:val="18"/>
              </w:rPr>
              <w:t> </w:t>
            </w:r>
          </w:p>
        </w:tc>
        <w:tc>
          <w:tcPr>
            <w:tcW w:w="0" w:type="auto"/>
            <w:vAlign w:val="center"/>
            <w:hideMark/>
          </w:tcPr>
          <w:p w:rsidR="00D14A16" w:rsidRPr="006D41FB" w14:paraId="552DA74B" w14:textId="77777777">
            <w:pPr>
              <w:jc w:val="right"/>
              <w:rPr>
                <w:color w:val="FF0000"/>
                <w:sz w:val="18"/>
                <w:szCs w:val="18"/>
              </w:rPr>
            </w:pPr>
            <w:r w:rsidRPr="006D41FB">
              <w:rPr>
                <w:color w:val="FF0000"/>
                <w:sz w:val="18"/>
                <w:szCs w:val="18"/>
              </w:rPr>
              <w:t> </w:t>
            </w:r>
          </w:p>
        </w:tc>
        <w:tc>
          <w:tcPr>
            <w:tcW w:w="0" w:type="auto"/>
            <w:vAlign w:val="center"/>
            <w:hideMark/>
          </w:tcPr>
          <w:p w:rsidR="00D14A16" w:rsidRPr="006D41FB" w14:paraId="5377DB2F" w14:textId="77777777">
            <w:pPr>
              <w:jc w:val="right"/>
              <w:rPr>
                <w:color w:val="FF0000"/>
                <w:sz w:val="18"/>
                <w:szCs w:val="18"/>
              </w:rPr>
            </w:pPr>
            <w:r w:rsidRPr="006D41FB">
              <w:rPr>
                <w:color w:val="FF0000"/>
                <w:sz w:val="18"/>
                <w:szCs w:val="18"/>
              </w:rPr>
              <w:t> </w:t>
            </w:r>
          </w:p>
        </w:tc>
        <w:tc>
          <w:tcPr>
            <w:tcW w:w="0" w:type="auto"/>
            <w:vAlign w:val="center"/>
            <w:hideMark/>
          </w:tcPr>
          <w:p w:rsidR="00D14A16" w:rsidRPr="006D41FB" w14:paraId="38208C57" w14:textId="77777777">
            <w:pPr>
              <w:jc w:val="right"/>
              <w:rPr>
                <w:color w:val="FF0000"/>
                <w:sz w:val="18"/>
                <w:szCs w:val="18"/>
              </w:rPr>
            </w:pPr>
            <w:r w:rsidRPr="006D41FB">
              <w:rPr>
                <w:color w:val="FF0000"/>
                <w:sz w:val="18"/>
                <w:szCs w:val="18"/>
              </w:rPr>
              <w:t> </w:t>
            </w:r>
          </w:p>
        </w:tc>
        <w:tc>
          <w:tcPr>
            <w:tcW w:w="0" w:type="auto"/>
            <w:vAlign w:val="center"/>
            <w:hideMark/>
          </w:tcPr>
          <w:p w:rsidR="00D14A16" w:rsidRPr="006D41FB" w14:paraId="53B4BF85" w14:textId="77777777">
            <w:pPr>
              <w:jc w:val="right"/>
              <w:rPr>
                <w:color w:val="FF0000"/>
                <w:sz w:val="18"/>
                <w:szCs w:val="18"/>
              </w:rPr>
            </w:pPr>
            <w:r w:rsidRPr="006D41FB">
              <w:rPr>
                <w:color w:val="FF0000"/>
                <w:sz w:val="18"/>
                <w:szCs w:val="18"/>
              </w:rPr>
              <w:t>25.000.000,00 € </w:t>
            </w:r>
          </w:p>
        </w:tc>
      </w:tr>
    </w:tbl>
    <w:p w:rsidR="00E7291B" w:rsidRPr="006D41FB" w:rsidP="00E7291B" w14:paraId="3587BC2D" w14:textId="77777777">
      <w:pPr>
        <w:jc w:val="center"/>
        <w:rPr>
          <w:b/>
          <w:bCs/>
          <w:color w:val="FF0000"/>
        </w:rPr>
      </w:pPr>
    </w:p>
    <w:p w:rsidR="00E7291B" w:rsidRPr="006D41FB" w:rsidP="00E7291B" w14:paraId="08A2C371" w14:textId="7D4E07A2">
      <w:pPr>
        <w:jc w:val="center"/>
        <w:rPr>
          <w:b/>
          <w:bCs/>
          <w:color w:val="FF0000"/>
        </w:rPr>
      </w:pPr>
      <w:r w:rsidRPr="006D41FB">
        <w:rPr>
          <w:b/>
          <w:bCs/>
          <w:color w:val="FF0000"/>
        </w:rPr>
        <w:t>QUADRO ECONOMICO</w:t>
      </w:r>
    </w:p>
    <w:tbl>
      <w:tblPr>
        <w:tblW w:w="9629"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992"/>
        <w:gridCol w:w="2637"/>
      </w:tblGrid>
      <w:tr w14:paraId="5820D44A" w14:textId="77777777">
        <w:tblPrEx>
          <w:tblW w:w="9629" w:type="dxa"/>
          <w:tblLook w:val="04A0"/>
        </w:tblPrEx>
        <w:trPr>
          <w:trHeight w:val="276"/>
        </w:trPr>
        <w:tc>
          <w:tcPr>
            <w:tcW w:w="0" w:type="auto"/>
            <w:vAlign w:val="center"/>
            <w:hideMark/>
          </w:tcPr>
          <w:p w:rsidR="00253D55" w:rsidRPr="006D41FB" w14:paraId="34D18AF0" w14:textId="77777777">
            <w:pPr>
              <w:rPr>
                <w:color w:val="FF0000"/>
                <w:sz w:val="18"/>
                <w:szCs w:val="18"/>
              </w:rPr>
            </w:pPr>
            <w:r w:rsidRPr="006D41FB">
              <w:rPr>
                <w:b/>
                <w:bCs/>
                <w:color w:val="FF0000"/>
                <w:sz w:val="18"/>
                <w:szCs w:val="18"/>
              </w:rPr>
              <w:t>Tipologia voce spesa</w:t>
            </w:r>
          </w:p>
        </w:tc>
        <w:tc>
          <w:tcPr>
            <w:tcW w:w="0" w:type="auto"/>
            <w:vAlign w:val="center"/>
            <w:hideMark/>
          </w:tcPr>
          <w:p w:rsidR="00253D55" w:rsidRPr="006D41FB" w14:paraId="65CBD7C0" w14:textId="77777777">
            <w:pPr>
              <w:rPr>
                <w:color w:val="FF0000"/>
                <w:sz w:val="18"/>
                <w:szCs w:val="18"/>
              </w:rPr>
            </w:pPr>
            <w:r w:rsidRPr="006D41FB">
              <w:rPr>
                <w:b/>
                <w:bCs/>
                <w:color w:val="FF0000"/>
                <w:sz w:val="18"/>
                <w:szCs w:val="18"/>
              </w:rPr>
              <w:t>Importo</w:t>
            </w:r>
          </w:p>
        </w:tc>
      </w:tr>
      <w:tr w14:paraId="6A4B4E19" w14:textId="77777777">
        <w:tblPrEx>
          <w:tblW w:w="9629" w:type="dxa"/>
          <w:tblLook w:val="04A0"/>
        </w:tblPrEx>
        <w:trPr>
          <w:trHeight w:val="287"/>
        </w:trPr>
        <w:tc>
          <w:tcPr>
            <w:tcW w:w="0" w:type="auto"/>
            <w:vAlign w:val="center"/>
            <w:hideMark/>
          </w:tcPr>
          <w:p w:rsidR="00253D55" w:rsidRPr="006D41FB" w14:paraId="7E7CF82A" w14:textId="77777777">
            <w:pPr>
              <w:rPr>
                <w:color w:val="FF0000"/>
                <w:sz w:val="18"/>
                <w:szCs w:val="18"/>
              </w:rPr>
            </w:pPr>
            <w:r w:rsidRPr="006D41FB">
              <w:rPr>
                <w:color w:val="FF0000"/>
                <w:sz w:val="18"/>
                <w:szCs w:val="18"/>
              </w:rPr>
              <w:t>SERVIZI DI CONSULENZA</w:t>
            </w:r>
          </w:p>
        </w:tc>
        <w:tc>
          <w:tcPr>
            <w:tcW w:w="0" w:type="auto"/>
            <w:vAlign w:val="center"/>
            <w:hideMark/>
          </w:tcPr>
          <w:p w:rsidR="00253D55" w:rsidRPr="006D41FB" w14:paraId="1B4968EF" w14:textId="77777777">
            <w:pPr>
              <w:jc w:val="right"/>
              <w:rPr>
                <w:color w:val="FF0000"/>
                <w:sz w:val="18"/>
                <w:szCs w:val="18"/>
              </w:rPr>
            </w:pPr>
            <w:r w:rsidRPr="006D41FB">
              <w:rPr>
                <w:color w:val="FF0000"/>
                <w:sz w:val="18"/>
                <w:szCs w:val="18"/>
              </w:rPr>
              <w:t>10.000,00 €</w:t>
            </w:r>
          </w:p>
        </w:tc>
      </w:tr>
      <w:tr w14:paraId="0BE065F9" w14:textId="77777777">
        <w:tblPrEx>
          <w:tblW w:w="9629" w:type="dxa"/>
          <w:tblLook w:val="04A0"/>
        </w:tblPrEx>
        <w:trPr>
          <w:trHeight w:val="276"/>
        </w:trPr>
        <w:tc>
          <w:tcPr>
            <w:tcW w:w="0" w:type="auto"/>
            <w:vAlign w:val="center"/>
            <w:hideMark/>
          </w:tcPr>
          <w:p w:rsidR="00253D55" w:rsidRPr="006D41FB" w14:paraId="65FFF48A" w14:textId="77777777">
            <w:pPr>
              <w:rPr>
                <w:color w:val="FF0000"/>
                <w:sz w:val="18"/>
                <w:szCs w:val="18"/>
              </w:rPr>
            </w:pPr>
            <w:r w:rsidRPr="006D41FB">
              <w:rPr>
                <w:color w:val="FF0000"/>
                <w:sz w:val="18"/>
                <w:szCs w:val="18"/>
              </w:rPr>
              <w:t>INTERFERENZE</w:t>
            </w:r>
          </w:p>
        </w:tc>
        <w:tc>
          <w:tcPr>
            <w:tcW w:w="0" w:type="auto"/>
            <w:vAlign w:val="center"/>
            <w:hideMark/>
          </w:tcPr>
          <w:p w:rsidR="00253D55" w:rsidRPr="006D41FB" w14:paraId="27553BB5" w14:textId="77777777">
            <w:pPr>
              <w:jc w:val="right"/>
              <w:rPr>
                <w:color w:val="FF0000"/>
                <w:sz w:val="18"/>
                <w:szCs w:val="18"/>
              </w:rPr>
            </w:pPr>
            <w:r w:rsidRPr="006D41FB">
              <w:rPr>
                <w:color w:val="FF0000"/>
                <w:sz w:val="18"/>
                <w:szCs w:val="18"/>
              </w:rPr>
              <w:t>20.000,00 €</w:t>
            </w:r>
          </w:p>
        </w:tc>
      </w:tr>
      <w:tr w14:paraId="451F0F79" w14:textId="77777777">
        <w:tblPrEx>
          <w:tblW w:w="9629" w:type="dxa"/>
          <w:tblLook w:val="04A0"/>
        </w:tblPrEx>
        <w:trPr>
          <w:trHeight w:val="287"/>
        </w:trPr>
        <w:tc>
          <w:tcPr>
            <w:tcW w:w="0" w:type="auto"/>
            <w:vAlign w:val="center"/>
            <w:hideMark/>
          </w:tcPr>
          <w:p w:rsidR="00253D55" w:rsidRPr="006D41FB" w14:paraId="3AB4C56B" w14:textId="77777777">
            <w:pPr>
              <w:rPr>
                <w:color w:val="FF0000"/>
                <w:sz w:val="18"/>
                <w:szCs w:val="18"/>
              </w:rPr>
            </w:pPr>
            <w:r w:rsidRPr="006D41FB">
              <w:rPr>
                <w:color w:val="FF0000"/>
                <w:sz w:val="18"/>
                <w:szCs w:val="18"/>
              </w:rPr>
              <w:t>LAVORI</w:t>
            </w:r>
          </w:p>
        </w:tc>
        <w:tc>
          <w:tcPr>
            <w:tcW w:w="0" w:type="auto"/>
            <w:vAlign w:val="center"/>
            <w:hideMark/>
          </w:tcPr>
          <w:p w:rsidR="00253D55" w:rsidRPr="006D41FB" w14:paraId="44066A0B" w14:textId="77777777">
            <w:pPr>
              <w:jc w:val="right"/>
              <w:rPr>
                <w:color w:val="FF0000"/>
                <w:sz w:val="18"/>
                <w:szCs w:val="18"/>
              </w:rPr>
            </w:pPr>
            <w:r w:rsidRPr="006D41FB">
              <w:rPr>
                <w:color w:val="FF0000"/>
                <w:sz w:val="18"/>
                <w:szCs w:val="18"/>
              </w:rPr>
              <w:t>13.387.766,73 €</w:t>
            </w:r>
          </w:p>
        </w:tc>
      </w:tr>
      <w:tr w14:paraId="4CDA79AF" w14:textId="77777777">
        <w:tblPrEx>
          <w:tblW w:w="9629" w:type="dxa"/>
          <w:tblLook w:val="04A0"/>
        </w:tblPrEx>
        <w:trPr>
          <w:trHeight w:val="276"/>
        </w:trPr>
        <w:tc>
          <w:tcPr>
            <w:tcW w:w="0" w:type="auto"/>
            <w:vAlign w:val="center"/>
            <w:hideMark/>
          </w:tcPr>
          <w:p w:rsidR="00253D55" w:rsidRPr="006D41FB" w14:paraId="53A168E0" w14:textId="77777777">
            <w:pPr>
              <w:rPr>
                <w:color w:val="FF0000"/>
                <w:sz w:val="18"/>
                <w:szCs w:val="18"/>
              </w:rPr>
            </w:pPr>
            <w:r w:rsidRPr="006D41FB">
              <w:rPr>
                <w:color w:val="FF0000"/>
                <w:sz w:val="18"/>
                <w:szCs w:val="18"/>
              </w:rPr>
              <w:t>IVA SU LAVORI E ONERI DI SICUREZZA</w:t>
            </w:r>
          </w:p>
        </w:tc>
        <w:tc>
          <w:tcPr>
            <w:tcW w:w="0" w:type="auto"/>
            <w:vAlign w:val="center"/>
            <w:hideMark/>
          </w:tcPr>
          <w:p w:rsidR="00253D55" w:rsidRPr="006D41FB" w14:paraId="724143FF" w14:textId="77777777">
            <w:pPr>
              <w:jc w:val="right"/>
              <w:rPr>
                <w:color w:val="FF0000"/>
                <w:sz w:val="18"/>
                <w:szCs w:val="18"/>
              </w:rPr>
            </w:pPr>
            <w:r w:rsidRPr="006D41FB">
              <w:rPr>
                <w:color w:val="FF0000"/>
                <w:sz w:val="18"/>
                <w:szCs w:val="18"/>
              </w:rPr>
              <w:t>2.993.588,53 €</w:t>
            </w:r>
          </w:p>
        </w:tc>
      </w:tr>
      <w:tr w14:paraId="76D3862F" w14:textId="77777777">
        <w:tblPrEx>
          <w:tblW w:w="9629" w:type="dxa"/>
          <w:tblLook w:val="04A0"/>
        </w:tblPrEx>
        <w:trPr>
          <w:trHeight w:val="287"/>
        </w:trPr>
        <w:tc>
          <w:tcPr>
            <w:tcW w:w="0" w:type="auto"/>
            <w:vAlign w:val="center"/>
            <w:hideMark/>
          </w:tcPr>
          <w:p w:rsidR="00253D55" w:rsidRPr="006D41FB" w14:paraId="747B05B7" w14:textId="77777777">
            <w:pPr>
              <w:rPr>
                <w:color w:val="FF0000"/>
                <w:sz w:val="18"/>
                <w:szCs w:val="18"/>
              </w:rPr>
            </w:pPr>
            <w:r w:rsidRPr="006D41FB">
              <w:rPr>
                <w:color w:val="FF0000"/>
                <w:sz w:val="18"/>
                <w:szCs w:val="18"/>
              </w:rPr>
              <w:t>ALTRO</w:t>
            </w:r>
          </w:p>
        </w:tc>
        <w:tc>
          <w:tcPr>
            <w:tcW w:w="0" w:type="auto"/>
            <w:vAlign w:val="center"/>
            <w:hideMark/>
          </w:tcPr>
          <w:p w:rsidR="00253D55" w:rsidRPr="006D41FB" w14:paraId="2E9720D6" w14:textId="77777777">
            <w:pPr>
              <w:jc w:val="right"/>
              <w:rPr>
                <w:color w:val="FF0000"/>
                <w:sz w:val="18"/>
                <w:szCs w:val="18"/>
              </w:rPr>
            </w:pPr>
            <w:r w:rsidRPr="006D41FB">
              <w:rPr>
                <w:color w:val="FF0000"/>
                <w:sz w:val="18"/>
                <w:szCs w:val="18"/>
              </w:rPr>
              <w:t>2.005.418,26 €</w:t>
            </w:r>
          </w:p>
        </w:tc>
      </w:tr>
      <w:tr w14:paraId="07B98EA8" w14:textId="77777777">
        <w:tblPrEx>
          <w:tblW w:w="9629" w:type="dxa"/>
          <w:tblLook w:val="04A0"/>
        </w:tblPrEx>
        <w:trPr>
          <w:trHeight w:val="287"/>
        </w:trPr>
        <w:tc>
          <w:tcPr>
            <w:tcW w:w="0" w:type="auto"/>
            <w:vAlign w:val="center"/>
            <w:hideMark/>
          </w:tcPr>
          <w:p w:rsidR="00253D55" w:rsidRPr="006D41FB" w14:paraId="2BCFAE1D" w14:textId="77777777">
            <w:pPr>
              <w:rPr>
                <w:color w:val="FF0000"/>
                <w:sz w:val="18"/>
                <w:szCs w:val="18"/>
              </w:rPr>
            </w:pPr>
            <w:r w:rsidRPr="006D41FB">
              <w:rPr>
                <w:color w:val="FF0000"/>
                <w:sz w:val="18"/>
                <w:szCs w:val="18"/>
              </w:rPr>
              <w:t>PROGETTAZIONE E STUDI</w:t>
            </w:r>
          </w:p>
        </w:tc>
        <w:tc>
          <w:tcPr>
            <w:tcW w:w="0" w:type="auto"/>
            <w:vAlign w:val="center"/>
            <w:hideMark/>
          </w:tcPr>
          <w:p w:rsidR="00253D55" w:rsidRPr="006D41FB" w14:paraId="59575DE2" w14:textId="77777777">
            <w:pPr>
              <w:jc w:val="right"/>
              <w:rPr>
                <w:color w:val="FF0000"/>
                <w:sz w:val="18"/>
                <w:szCs w:val="18"/>
              </w:rPr>
            </w:pPr>
            <w:r w:rsidRPr="006D41FB">
              <w:rPr>
                <w:color w:val="FF0000"/>
                <w:sz w:val="18"/>
                <w:szCs w:val="18"/>
              </w:rPr>
              <w:t>950.647,79 €</w:t>
            </w:r>
          </w:p>
        </w:tc>
      </w:tr>
      <w:tr w14:paraId="57B95D6A" w14:textId="77777777">
        <w:tblPrEx>
          <w:tblW w:w="9629" w:type="dxa"/>
          <w:tblLook w:val="04A0"/>
        </w:tblPrEx>
        <w:trPr>
          <w:trHeight w:val="276"/>
        </w:trPr>
        <w:tc>
          <w:tcPr>
            <w:tcW w:w="0" w:type="auto"/>
            <w:vAlign w:val="center"/>
            <w:hideMark/>
          </w:tcPr>
          <w:p w:rsidR="00253D55" w:rsidRPr="006D41FB" w14:paraId="74A2778E" w14:textId="77777777">
            <w:pPr>
              <w:rPr>
                <w:color w:val="FF0000"/>
                <w:sz w:val="18"/>
                <w:szCs w:val="18"/>
              </w:rPr>
            </w:pPr>
            <w:r w:rsidRPr="006D41FB">
              <w:rPr>
                <w:color w:val="FF0000"/>
                <w:sz w:val="18"/>
                <w:szCs w:val="18"/>
              </w:rPr>
              <w:t>ONERI DI SICUREZZA</w:t>
            </w:r>
          </w:p>
        </w:tc>
        <w:tc>
          <w:tcPr>
            <w:tcW w:w="0" w:type="auto"/>
            <w:vAlign w:val="center"/>
            <w:hideMark/>
          </w:tcPr>
          <w:p w:rsidR="00253D55" w:rsidRPr="006D41FB" w14:paraId="17D16917" w14:textId="77777777">
            <w:pPr>
              <w:jc w:val="right"/>
              <w:rPr>
                <w:color w:val="FF0000"/>
                <w:sz w:val="18"/>
                <w:szCs w:val="18"/>
              </w:rPr>
            </w:pPr>
            <w:r w:rsidRPr="006D41FB">
              <w:rPr>
                <w:color w:val="FF0000"/>
                <w:sz w:val="18"/>
                <w:szCs w:val="18"/>
              </w:rPr>
              <w:t>219.453,84 €</w:t>
            </w:r>
          </w:p>
        </w:tc>
      </w:tr>
      <w:tr w14:paraId="2ABECC1F" w14:textId="77777777">
        <w:tblPrEx>
          <w:tblW w:w="9629" w:type="dxa"/>
          <w:tblLook w:val="04A0"/>
        </w:tblPrEx>
        <w:trPr>
          <w:trHeight w:val="287"/>
        </w:trPr>
        <w:tc>
          <w:tcPr>
            <w:tcW w:w="0" w:type="auto"/>
            <w:vAlign w:val="center"/>
            <w:hideMark/>
          </w:tcPr>
          <w:p w:rsidR="00253D55" w:rsidRPr="006D41FB" w14:paraId="7D417EF9" w14:textId="77777777">
            <w:pPr>
              <w:rPr>
                <w:color w:val="FF0000"/>
                <w:sz w:val="18"/>
                <w:szCs w:val="18"/>
              </w:rPr>
            </w:pPr>
            <w:r w:rsidRPr="006D41FB">
              <w:rPr>
                <w:color w:val="FF0000"/>
                <w:sz w:val="18"/>
                <w:szCs w:val="18"/>
              </w:rPr>
              <w:t>IMPREVISTI</w:t>
            </w:r>
          </w:p>
        </w:tc>
        <w:tc>
          <w:tcPr>
            <w:tcW w:w="0" w:type="auto"/>
            <w:vAlign w:val="center"/>
            <w:hideMark/>
          </w:tcPr>
          <w:p w:rsidR="00253D55" w:rsidRPr="006D41FB" w14:paraId="54B123FF" w14:textId="77777777">
            <w:pPr>
              <w:jc w:val="right"/>
              <w:rPr>
                <w:color w:val="FF0000"/>
                <w:sz w:val="18"/>
                <w:szCs w:val="18"/>
              </w:rPr>
            </w:pPr>
            <w:r w:rsidRPr="006D41FB">
              <w:rPr>
                <w:color w:val="FF0000"/>
                <w:sz w:val="18"/>
                <w:szCs w:val="18"/>
              </w:rPr>
              <w:t>4.070.889,38 €</w:t>
            </w:r>
          </w:p>
        </w:tc>
      </w:tr>
      <w:tr w14:paraId="25C7DDA2" w14:textId="77777777">
        <w:tblPrEx>
          <w:tblW w:w="9629" w:type="dxa"/>
          <w:tblLook w:val="04A0"/>
        </w:tblPrEx>
        <w:trPr>
          <w:trHeight w:val="276"/>
        </w:trPr>
        <w:tc>
          <w:tcPr>
            <w:tcW w:w="0" w:type="auto"/>
            <w:vAlign w:val="center"/>
            <w:hideMark/>
          </w:tcPr>
          <w:p w:rsidR="00253D55" w:rsidRPr="006D41FB" w14:paraId="74A99CF9" w14:textId="77777777">
            <w:pPr>
              <w:rPr>
                <w:color w:val="FF0000"/>
                <w:sz w:val="18"/>
                <w:szCs w:val="18"/>
              </w:rPr>
            </w:pPr>
            <w:r w:rsidRPr="006D41FB">
              <w:rPr>
                <w:color w:val="FF0000"/>
                <w:sz w:val="18"/>
                <w:szCs w:val="18"/>
              </w:rPr>
              <w:t>ACQUISIZIONE AREE O IMMOBILI</w:t>
            </w:r>
          </w:p>
        </w:tc>
        <w:tc>
          <w:tcPr>
            <w:tcW w:w="0" w:type="auto"/>
            <w:vAlign w:val="center"/>
            <w:hideMark/>
          </w:tcPr>
          <w:p w:rsidR="00253D55" w:rsidRPr="006D41FB" w14:paraId="29F7E2E3" w14:textId="77777777">
            <w:pPr>
              <w:jc w:val="right"/>
              <w:rPr>
                <w:color w:val="FF0000"/>
                <w:sz w:val="18"/>
                <w:szCs w:val="18"/>
              </w:rPr>
            </w:pPr>
            <w:r w:rsidRPr="006D41FB">
              <w:rPr>
                <w:color w:val="FF0000"/>
                <w:sz w:val="18"/>
                <w:szCs w:val="18"/>
              </w:rPr>
              <w:t>1.342.235,47 € </w:t>
            </w:r>
          </w:p>
        </w:tc>
      </w:tr>
      <w:tr w14:paraId="073C7D04" w14:textId="77777777">
        <w:tblPrEx>
          <w:tblW w:w="9629" w:type="dxa"/>
          <w:tblLook w:val="04A0"/>
        </w:tblPrEx>
        <w:trPr>
          <w:trHeight w:val="287"/>
        </w:trPr>
        <w:tc>
          <w:tcPr>
            <w:tcW w:w="0" w:type="auto"/>
            <w:vAlign w:val="center"/>
            <w:hideMark/>
          </w:tcPr>
          <w:p w:rsidR="00253D55" w:rsidRPr="006D41FB" w14:paraId="7F8E480B" w14:textId="77777777">
            <w:pPr>
              <w:rPr>
                <w:color w:val="FF0000"/>
                <w:sz w:val="18"/>
                <w:szCs w:val="18"/>
              </w:rPr>
            </w:pPr>
            <w:r w:rsidRPr="006D41FB">
              <w:rPr>
                <w:color w:val="FF0000"/>
                <w:sz w:val="18"/>
                <w:szCs w:val="18"/>
              </w:rPr>
              <w:t> </w:t>
            </w:r>
          </w:p>
        </w:tc>
        <w:tc>
          <w:tcPr>
            <w:tcW w:w="0" w:type="auto"/>
            <w:vAlign w:val="center"/>
            <w:hideMark/>
          </w:tcPr>
          <w:p w:rsidR="00253D55" w:rsidRPr="006D41FB" w14:paraId="106ED70B" w14:textId="77777777">
            <w:pPr>
              <w:jc w:val="right"/>
              <w:rPr>
                <w:color w:val="FF0000"/>
                <w:sz w:val="18"/>
                <w:szCs w:val="18"/>
              </w:rPr>
            </w:pPr>
            <w:r w:rsidRPr="006D41FB">
              <w:rPr>
                <w:color w:val="FF0000"/>
                <w:sz w:val="18"/>
                <w:szCs w:val="18"/>
              </w:rPr>
              <w:t>25.000.000,00 € </w:t>
            </w:r>
          </w:p>
        </w:tc>
      </w:tr>
    </w:tbl>
    <w:p w:rsidR="002D71C8" w:rsidRPr="006D41FB" w:rsidP="00987C41" w14:paraId="6E18BB83" w14:textId="77777777">
      <w:pPr>
        <w:spacing w:after="120"/>
        <w:jc w:val="both"/>
        <w:rPr>
          <w:b/>
          <w:bCs/>
          <w:color w:val="FF0000"/>
        </w:rPr>
      </w:pPr>
    </w:p>
    <w:p w:rsidR="00DE2C0F" w:rsidRPr="006D41FB" w:rsidP="00DE2C0F" w14:paraId="6E82512F" w14:textId="7C81BC58">
      <w:pPr>
        <w:pStyle w:val="ListParagraph"/>
        <w:jc w:val="center"/>
        <w:rPr>
          <w:b/>
          <w:bCs/>
          <w:color w:val="FF0000"/>
        </w:rPr>
      </w:pPr>
      <w:r w:rsidRPr="006D41FB">
        <w:rPr>
          <w:b/>
          <w:bCs/>
          <w:color w:val="FF0000"/>
        </w:rPr>
        <w:t xml:space="preserve">CODICE </w:t>
      </w:r>
      <w:r w:rsidRPr="006D41FB" w:rsidR="001665F7">
        <w:rPr>
          <w:b/>
          <w:bCs/>
          <w:color w:val="FF0000"/>
        </w:rPr>
        <w:t>INTERVENTO A</w:t>
      </w:r>
      <w:r w:rsidRPr="006D41FB">
        <w:rPr>
          <w:b/>
          <w:bCs/>
          <w:color w:val="FF0000"/>
        </w:rPr>
        <w:t xml:space="preserve">1-1 </w:t>
      </w:r>
      <w:r w:rsidRPr="006D41FB">
        <w:rPr>
          <w:b/>
          <w:bCs/>
          <w:i/>
          <w:iCs/>
          <w:color w:val="FF0000"/>
        </w:rPr>
        <w:t>LOTTO 4</w:t>
      </w:r>
    </w:p>
    <w:p w:rsidR="00BC01CE" w:rsidRPr="006D41FB" w:rsidP="00BC01CE" w14:paraId="145F30CA" w14:textId="77777777">
      <w:pPr>
        <w:rPr>
          <w:b/>
          <w:bCs/>
          <w:color w:val="FF0000"/>
        </w:rPr>
      </w:pPr>
    </w:p>
    <w:tbl>
      <w:tblPr>
        <w:tblStyle w:val="TableGrid"/>
        <w:tblW w:w="0" w:type="auto"/>
        <w:tblLook w:val="04A0"/>
      </w:tblPr>
      <w:tblGrid>
        <w:gridCol w:w="9628"/>
      </w:tblGrid>
      <w:tr w14:paraId="72A6707C" w14:textId="77777777">
        <w:tblPrEx>
          <w:tblW w:w="0" w:type="auto"/>
          <w:tblLook w:val="04A0"/>
        </w:tblPrEx>
        <w:tc>
          <w:tcPr>
            <w:tcW w:w="9628" w:type="dxa"/>
          </w:tcPr>
          <w:p w:rsidR="00BC01CE" w:rsidRPr="006D41FB" w14:paraId="22DF7C0B" w14:textId="77777777">
            <w:pPr>
              <w:jc w:val="both"/>
              <w:rPr>
                <w:color w:val="FF0000"/>
                <w:sz w:val="24"/>
                <w:szCs w:val="24"/>
              </w:rPr>
            </w:pPr>
            <w:r w:rsidRPr="006D41FB">
              <w:rPr>
                <w:b/>
                <w:bCs/>
                <w:color w:val="FF0000"/>
                <w:sz w:val="24"/>
                <w:szCs w:val="24"/>
              </w:rPr>
              <w:t>CUP:</w:t>
            </w:r>
            <w:r w:rsidRPr="006D41FB">
              <w:rPr>
                <w:color w:val="FF0000"/>
                <w:sz w:val="24"/>
                <w:szCs w:val="24"/>
              </w:rPr>
              <w:t xml:space="preserve"> B94H20001600001</w:t>
            </w:r>
          </w:p>
        </w:tc>
      </w:tr>
      <w:tr w14:paraId="181A5BE2" w14:textId="77777777">
        <w:tblPrEx>
          <w:tblW w:w="0" w:type="auto"/>
          <w:tblLook w:val="04A0"/>
        </w:tblPrEx>
        <w:tc>
          <w:tcPr>
            <w:tcW w:w="9628" w:type="dxa"/>
          </w:tcPr>
          <w:p w:rsidR="00BC01CE" w:rsidRPr="006D41FB" w14:paraId="7636319D" w14:textId="77777777">
            <w:pPr>
              <w:jc w:val="both"/>
              <w:rPr>
                <w:b/>
                <w:bCs/>
                <w:color w:val="FF0000"/>
                <w:sz w:val="24"/>
                <w:szCs w:val="24"/>
              </w:rPr>
            </w:pPr>
            <w:r w:rsidRPr="006D41FB">
              <w:rPr>
                <w:b/>
                <w:bCs/>
                <w:color w:val="FF0000"/>
                <w:sz w:val="24"/>
                <w:szCs w:val="24"/>
              </w:rPr>
              <w:t>CLP :</w:t>
            </w:r>
            <w:r w:rsidRPr="006D41FB">
              <w:rPr>
                <w:b/>
                <w:bCs/>
                <w:color w:val="FF0000"/>
                <w:sz w:val="24"/>
                <w:szCs w:val="24"/>
              </w:rPr>
              <w:t xml:space="preserve"> </w:t>
            </w:r>
            <w:r w:rsidRPr="006D41FB">
              <w:rPr>
                <w:color w:val="FF0000"/>
                <w:sz w:val="24"/>
                <w:szCs w:val="24"/>
              </w:rPr>
              <w:t>M2C4-I4.1-A1-1 lotto 4</w:t>
            </w:r>
          </w:p>
        </w:tc>
      </w:tr>
      <w:tr w14:paraId="2D45CA7D" w14:textId="77777777">
        <w:tblPrEx>
          <w:tblW w:w="0" w:type="auto"/>
          <w:tblLook w:val="04A0"/>
        </w:tblPrEx>
        <w:tc>
          <w:tcPr>
            <w:tcW w:w="9628" w:type="dxa"/>
          </w:tcPr>
          <w:p w:rsidR="00BC01CE" w:rsidRPr="006D41FB" w14:paraId="4643ACB7" w14:textId="77777777">
            <w:pPr>
              <w:jc w:val="both"/>
              <w:rPr>
                <w:color w:val="FF0000"/>
                <w:sz w:val="24"/>
                <w:szCs w:val="24"/>
              </w:rPr>
            </w:pPr>
            <w:r w:rsidRPr="006D41FB">
              <w:rPr>
                <w:b/>
                <w:bCs/>
                <w:color w:val="FF0000"/>
                <w:sz w:val="24"/>
                <w:szCs w:val="24"/>
              </w:rPr>
              <w:t>Importo Progetto</w:t>
            </w:r>
            <w:r w:rsidRPr="006D41FB">
              <w:rPr>
                <w:color w:val="FF0000"/>
                <w:sz w:val="24"/>
                <w:szCs w:val="24"/>
              </w:rPr>
              <w:t>: 2.000.000,00 €</w:t>
            </w:r>
          </w:p>
        </w:tc>
      </w:tr>
      <w:tr w14:paraId="6B39BF56" w14:textId="77777777">
        <w:tblPrEx>
          <w:tblW w:w="0" w:type="auto"/>
          <w:tblLook w:val="04A0"/>
        </w:tblPrEx>
        <w:tc>
          <w:tcPr>
            <w:tcW w:w="9628" w:type="dxa"/>
          </w:tcPr>
          <w:p w:rsidR="00BC01CE" w:rsidRPr="006D41FB" w14:paraId="6975E75D" w14:textId="77777777">
            <w:pPr>
              <w:jc w:val="both"/>
              <w:rPr>
                <w:color w:val="FF0000"/>
                <w:sz w:val="24"/>
                <w:szCs w:val="24"/>
              </w:rPr>
            </w:pPr>
            <w:r w:rsidRPr="006D41FB">
              <w:rPr>
                <w:b/>
                <w:bCs/>
                <w:color w:val="FF0000"/>
                <w:sz w:val="24"/>
                <w:szCs w:val="24"/>
              </w:rPr>
              <w:t>Importo PNRR</w:t>
            </w:r>
            <w:r w:rsidRPr="006D41FB">
              <w:rPr>
                <w:color w:val="FF0000"/>
                <w:sz w:val="24"/>
                <w:szCs w:val="24"/>
              </w:rPr>
              <w:t>: 2.000.000,00 €</w:t>
            </w:r>
          </w:p>
        </w:tc>
      </w:tr>
    </w:tbl>
    <w:p w:rsidR="00776A5F" w:rsidRPr="006D41FB" w:rsidP="00776A5F" w14:paraId="301CD1D6" w14:textId="77777777">
      <w:pPr>
        <w:jc w:val="center"/>
        <w:rPr>
          <w:b/>
          <w:bCs/>
          <w:color w:val="FF0000"/>
        </w:rPr>
      </w:pPr>
    </w:p>
    <w:p w:rsidR="002604BD" w:rsidRPr="006D41FB" w:rsidP="00776A5F" w14:paraId="2BDD5854" w14:textId="77777777">
      <w:pPr>
        <w:jc w:val="center"/>
        <w:rPr>
          <w:b/>
          <w:bCs/>
          <w:color w:val="FF0000"/>
        </w:rPr>
      </w:pPr>
    </w:p>
    <w:p w:rsidR="00776A5F" w:rsidRPr="006D41FB" w:rsidP="00776A5F" w14:paraId="4EA7A54D" w14:textId="2D444BCD">
      <w:pPr>
        <w:jc w:val="center"/>
        <w:rPr>
          <w:b/>
          <w:bCs/>
          <w:color w:val="FF0000"/>
        </w:rPr>
      </w:pPr>
      <w:r w:rsidRPr="006D41FB">
        <w:rPr>
          <w:b/>
          <w:bCs/>
          <w:color w:val="FF0000"/>
        </w:rPr>
        <w:t>CRONOPROGRAMMA FINANZIARIO</w:t>
      </w:r>
    </w:p>
    <w:tbl>
      <w:tblPr>
        <w:tblW w:w="959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576"/>
        <w:gridCol w:w="1374"/>
        <w:gridCol w:w="1247"/>
        <w:gridCol w:w="1692"/>
        <w:gridCol w:w="1707"/>
      </w:tblGrid>
      <w:tr w14:paraId="5E92B6A1" w14:textId="77777777">
        <w:tblPrEx>
          <w:tblW w:w="9596" w:type="dxa"/>
          <w:tblLook w:val="04A0"/>
        </w:tblPrEx>
        <w:trPr>
          <w:trHeight w:val="277"/>
        </w:trPr>
        <w:tc>
          <w:tcPr>
            <w:tcW w:w="0" w:type="auto"/>
            <w:vAlign w:val="center"/>
            <w:hideMark/>
          </w:tcPr>
          <w:p w:rsidR="002604BD" w:rsidRPr="006D41FB" w14:paraId="65926A73" w14:textId="77777777">
            <w:pPr>
              <w:rPr>
                <w:color w:val="FF0000"/>
                <w:sz w:val="18"/>
                <w:szCs w:val="18"/>
              </w:rPr>
            </w:pPr>
            <w:r w:rsidRPr="006D41FB">
              <w:rPr>
                <w:b/>
                <w:bCs/>
                <w:color w:val="FF0000"/>
                <w:sz w:val="18"/>
                <w:szCs w:val="18"/>
              </w:rPr>
              <w:t>Anno di riferimento</w:t>
            </w:r>
          </w:p>
        </w:tc>
        <w:tc>
          <w:tcPr>
            <w:tcW w:w="0" w:type="auto"/>
            <w:vAlign w:val="center"/>
            <w:hideMark/>
          </w:tcPr>
          <w:p w:rsidR="002604BD" w:rsidRPr="006D41FB" w14:paraId="3D0AB91C" w14:textId="77777777">
            <w:pPr>
              <w:rPr>
                <w:color w:val="FF0000"/>
                <w:sz w:val="18"/>
                <w:szCs w:val="18"/>
              </w:rPr>
            </w:pPr>
            <w:r w:rsidRPr="006D41FB">
              <w:rPr>
                <w:color w:val="FF0000"/>
                <w:sz w:val="18"/>
                <w:szCs w:val="18"/>
              </w:rPr>
              <w:t>2023</w:t>
            </w:r>
          </w:p>
        </w:tc>
        <w:tc>
          <w:tcPr>
            <w:tcW w:w="0" w:type="auto"/>
            <w:vAlign w:val="center"/>
            <w:hideMark/>
          </w:tcPr>
          <w:p w:rsidR="002604BD" w:rsidRPr="006D41FB" w14:paraId="5F6C4043" w14:textId="77777777">
            <w:pPr>
              <w:rPr>
                <w:color w:val="FF0000"/>
                <w:sz w:val="18"/>
                <w:szCs w:val="18"/>
              </w:rPr>
            </w:pPr>
            <w:r w:rsidRPr="006D41FB">
              <w:rPr>
                <w:color w:val="FF0000"/>
                <w:sz w:val="18"/>
                <w:szCs w:val="18"/>
              </w:rPr>
              <w:t>2024</w:t>
            </w:r>
          </w:p>
        </w:tc>
        <w:tc>
          <w:tcPr>
            <w:tcW w:w="0" w:type="auto"/>
            <w:vAlign w:val="center"/>
            <w:hideMark/>
          </w:tcPr>
          <w:p w:rsidR="002604BD" w:rsidRPr="006D41FB" w14:paraId="56EA230E" w14:textId="77777777">
            <w:pPr>
              <w:rPr>
                <w:color w:val="FF0000"/>
                <w:sz w:val="18"/>
                <w:szCs w:val="18"/>
              </w:rPr>
            </w:pPr>
            <w:r w:rsidRPr="006D41FB">
              <w:rPr>
                <w:color w:val="FF0000"/>
                <w:sz w:val="18"/>
                <w:szCs w:val="18"/>
              </w:rPr>
              <w:t>2025</w:t>
            </w:r>
          </w:p>
        </w:tc>
        <w:tc>
          <w:tcPr>
            <w:tcW w:w="0" w:type="auto"/>
            <w:vAlign w:val="center"/>
            <w:hideMark/>
          </w:tcPr>
          <w:p w:rsidR="002604BD" w:rsidRPr="006D41FB" w14:paraId="6F4FAC52" w14:textId="77777777">
            <w:pPr>
              <w:rPr>
                <w:color w:val="FF0000"/>
                <w:sz w:val="18"/>
                <w:szCs w:val="18"/>
              </w:rPr>
            </w:pPr>
            <w:r w:rsidRPr="006D41FB">
              <w:rPr>
                <w:color w:val="FF0000"/>
                <w:sz w:val="18"/>
                <w:szCs w:val="18"/>
              </w:rPr>
              <w:t>Totale</w:t>
            </w:r>
          </w:p>
        </w:tc>
      </w:tr>
      <w:tr w14:paraId="6F2B6432" w14:textId="77777777">
        <w:tblPrEx>
          <w:tblW w:w="9596" w:type="dxa"/>
          <w:tblLook w:val="04A0"/>
        </w:tblPrEx>
        <w:trPr>
          <w:trHeight w:val="287"/>
        </w:trPr>
        <w:tc>
          <w:tcPr>
            <w:tcW w:w="0" w:type="auto"/>
            <w:vAlign w:val="center"/>
            <w:hideMark/>
          </w:tcPr>
          <w:p w:rsidR="002604BD" w:rsidRPr="006D41FB" w14:paraId="3D752D9B" w14:textId="77777777">
            <w:pPr>
              <w:rPr>
                <w:color w:val="FF0000"/>
                <w:sz w:val="18"/>
                <w:szCs w:val="18"/>
              </w:rPr>
            </w:pPr>
            <w:r w:rsidRPr="006D41FB">
              <w:rPr>
                <w:b/>
                <w:bCs/>
                <w:color w:val="FF0000"/>
                <w:sz w:val="18"/>
                <w:szCs w:val="18"/>
              </w:rPr>
              <w:t>Importo da realizzare nell’anno</w:t>
            </w:r>
          </w:p>
        </w:tc>
        <w:tc>
          <w:tcPr>
            <w:tcW w:w="0" w:type="auto"/>
            <w:vAlign w:val="center"/>
            <w:hideMark/>
          </w:tcPr>
          <w:p w:rsidR="002604BD" w:rsidRPr="006D41FB" w14:paraId="53637B75" w14:textId="77777777">
            <w:pPr>
              <w:jc w:val="right"/>
              <w:rPr>
                <w:color w:val="FF0000"/>
                <w:sz w:val="18"/>
                <w:szCs w:val="18"/>
              </w:rPr>
            </w:pPr>
            <w:r w:rsidRPr="006D41FB">
              <w:rPr>
                <w:color w:val="FF0000"/>
                <w:sz w:val="18"/>
                <w:szCs w:val="18"/>
              </w:rPr>
              <w:t>-   € </w:t>
            </w:r>
          </w:p>
        </w:tc>
        <w:tc>
          <w:tcPr>
            <w:tcW w:w="0" w:type="auto"/>
            <w:vAlign w:val="center"/>
            <w:hideMark/>
          </w:tcPr>
          <w:p w:rsidR="002604BD" w:rsidRPr="006D41FB" w14:paraId="2A8423C7" w14:textId="77777777">
            <w:pPr>
              <w:jc w:val="right"/>
              <w:rPr>
                <w:color w:val="FF0000"/>
                <w:sz w:val="18"/>
                <w:szCs w:val="18"/>
              </w:rPr>
            </w:pPr>
            <w:r w:rsidRPr="006D41FB">
              <w:rPr>
                <w:color w:val="FF0000"/>
                <w:sz w:val="18"/>
                <w:szCs w:val="18"/>
              </w:rPr>
              <w:t>-   € </w:t>
            </w:r>
          </w:p>
        </w:tc>
        <w:tc>
          <w:tcPr>
            <w:tcW w:w="0" w:type="auto"/>
            <w:vAlign w:val="center"/>
            <w:hideMark/>
          </w:tcPr>
          <w:p w:rsidR="002604BD" w:rsidRPr="006D41FB" w14:paraId="2A5D4ED4" w14:textId="77777777">
            <w:pPr>
              <w:jc w:val="right"/>
              <w:rPr>
                <w:color w:val="FF0000"/>
                <w:sz w:val="18"/>
                <w:szCs w:val="18"/>
              </w:rPr>
            </w:pPr>
            <w:r w:rsidRPr="006D41FB">
              <w:rPr>
                <w:color w:val="FF0000"/>
                <w:sz w:val="18"/>
                <w:szCs w:val="18"/>
              </w:rPr>
              <w:t>1.927.023,03 € </w:t>
            </w:r>
          </w:p>
        </w:tc>
        <w:tc>
          <w:tcPr>
            <w:tcW w:w="0" w:type="auto"/>
            <w:vAlign w:val="center"/>
            <w:hideMark/>
          </w:tcPr>
          <w:p w:rsidR="002604BD" w:rsidRPr="006D41FB" w14:paraId="58A5E412" w14:textId="77777777">
            <w:pPr>
              <w:jc w:val="right"/>
              <w:rPr>
                <w:color w:val="FF0000"/>
                <w:sz w:val="18"/>
                <w:szCs w:val="18"/>
              </w:rPr>
            </w:pPr>
            <w:r w:rsidRPr="006D41FB">
              <w:rPr>
                <w:color w:val="FF0000"/>
                <w:sz w:val="18"/>
                <w:szCs w:val="18"/>
              </w:rPr>
              <w:t>1.927.023,03 €</w:t>
            </w:r>
          </w:p>
        </w:tc>
      </w:tr>
      <w:tr w14:paraId="32D2B13E" w14:textId="77777777">
        <w:tblPrEx>
          <w:tblW w:w="9596" w:type="dxa"/>
          <w:tblLook w:val="04A0"/>
        </w:tblPrEx>
        <w:trPr>
          <w:trHeight w:val="277"/>
        </w:trPr>
        <w:tc>
          <w:tcPr>
            <w:tcW w:w="0" w:type="auto"/>
            <w:vAlign w:val="center"/>
            <w:hideMark/>
          </w:tcPr>
          <w:p w:rsidR="002604BD" w:rsidRPr="006D41FB" w14:paraId="6EAFD450" w14:textId="77777777">
            <w:pPr>
              <w:rPr>
                <w:color w:val="FF0000"/>
                <w:sz w:val="18"/>
                <w:szCs w:val="18"/>
              </w:rPr>
            </w:pPr>
            <w:r w:rsidRPr="006D41FB">
              <w:rPr>
                <w:b/>
                <w:bCs/>
                <w:color w:val="FF0000"/>
                <w:sz w:val="18"/>
                <w:szCs w:val="18"/>
              </w:rPr>
              <w:t>Importo realizzato nell’anno</w:t>
            </w:r>
          </w:p>
        </w:tc>
        <w:tc>
          <w:tcPr>
            <w:tcW w:w="0" w:type="auto"/>
            <w:vAlign w:val="center"/>
            <w:hideMark/>
          </w:tcPr>
          <w:p w:rsidR="002604BD" w:rsidRPr="006D41FB" w14:paraId="6A70EE88" w14:textId="77777777">
            <w:pPr>
              <w:jc w:val="right"/>
              <w:rPr>
                <w:color w:val="FF0000"/>
                <w:sz w:val="18"/>
                <w:szCs w:val="18"/>
              </w:rPr>
            </w:pPr>
            <w:r w:rsidRPr="006D41FB">
              <w:rPr>
                <w:color w:val="FF0000"/>
                <w:sz w:val="18"/>
                <w:szCs w:val="18"/>
              </w:rPr>
              <w:t>68.940,57 € </w:t>
            </w:r>
          </w:p>
        </w:tc>
        <w:tc>
          <w:tcPr>
            <w:tcW w:w="0" w:type="auto"/>
            <w:vAlign w:val="center"/>
            <w:hideMark/>
          </w:tcPr>
          <w:p w:rsidR="002604BD" w:rsidRPr="006D41FB" w14:paraId="097BBFC9" w14:textId="77777777">
            <w:pPr>
              <w:jc w:val="right"/>
              <w:rPr>
                <w:color w:val="FF0000"/>
                <w:sz w:val="18"/>
                <w:szCs w:val="18"/>
              </w:rPr>
            </w:pPr>
            <w:r w:rsidRPr="006D41FB">
              <w:rPr>
                <w:color w:val="FF0000"/>
                <w:sz w:val="18"/>
                <w:szCs w:val="18"/>
              </w:rPr>
              <w:t>4.036,40 € </w:t>
            </w:r>
          </w:p>
        </w:tc>
        <w:tc>
          <w:tcPr>
            <w:tcW w:w="0" w:type="auto"/>
            <w:vAlign w:val="center"/>
            <w:hideMark/>
          </w:tcPr>
          <w:p w:rsidR="002604BD" w:rsidRPr="006D41FB" w14:paraId="6B793678" w14:textId="77777777">
            <w:pPr>
              <w:jc w:val="right"/>
              <w:rPr>
                <w:color w:val="FF0000"/>
                <w:sz w:val="18"/>
                <w:szCs w:val="18"/>
              </w:rPr>
            </w:pPr>
            <w:r w:rsidRPr="006D41FB">
              <w:rPr>
                <w:color w:val="FF0000"/>
                <w:sz w:val="18"/>
                <w:szCs w:val="18"/>
              </w:rPr>
              <w:t>-   € </w:t>
            </w:r>
          </w:p>
        </w:tc>
        <w:tc>
          <w:tcPr>
            <w:tcW w:w="0" w:type="auto"/>
            <w:vAlign w:val="center"/>
            <w:hideMark/>
          </w:tcPr>
          <w:p w:rsidR="002604BD" w:rsidRPr="006D41FB" w14:paraId="242B7921" w14:textId="77777777">
            <w:pPr>
              <w:jc w:val="right"/>
              <w:rPr>
                <w:color w:val="FF0000"/>
                <w:sz w:val="18"/>
                <w:szCs w:val="18"/>
              </w:rPr>
            </w:pPr>
            <w:r w:rsidRPr="006D41FB">
              <w:rPr>
                <w:color w:val="FF0000"/>
                <w:sz w:val="18"/>
                <w:szCs w:val="18"/>
              </w:rPr>
              <w:t>72.976,97 € </w:t>
            </w:r>
          </w:p>
        </w:tc>
      </w:tr>
      <w:tr w14:paraId="7C5BFCF8" w14:textId="77777777">
        <w:tblPrEx>
          <w:tblW w:w="9596" w:type="dxa"/>
          <w:tblLook w:val="04A0"/>
        </w:tblPrEx>
        <w:trPr>
          <w:trHeight w:val="277"/>
        </w:trPr>
        <w:tc>
          <w:tcPr>
            <w:tcW w:w="0" w:type="auto"/>
            <w:vAlign w:val="center"/>
            <w:hideMark/>
          </w:tcPr>
          <w:p w:rsidR="002604BD" w:rsidRPr="006D41FB" w14:paraId="57E67196" w14:textId="77777777">
            <w:pPr>
              <w:rPr>
                <w:color w:val="FF0000"/>
                <w:sz w:val="18"/>
                <w:szCs w:val="18"/>
              </w:rPr>
            </w:pPr>
            <w:r w:rsidRPr="006D41FB">
              <w:rPr>
                <w:color w:val="FF0000"/>
                <w:sz w:val="18"/>
                <w:szCs w:val="18"/>
              </w:rPr>
              <w:t> </w:t>
            </w:r>
          </w:p>
        </w:tc>
        <w:tc>
          <w:tcPr>
            <w:tcW w:w="0" w:type="auto"/>
            <w:vAlign w:val="center"/>
            <w:hideMark/>
          </w:tcPr>
          <w:p w:rsidR="002604BD" w:rsidRPr="006D41FB" w14:paraId="3EA06E12" w14:textId="77777777">
            <w:pPr>
              <w:jc w:val="right"/>
              <w:rPr>
                <w:color w:val="FF0000"/>
                <w:sz w:val="18"/>
                <w:szCs w:val="18"/>
              </w:rPr>
            </w:pPr>
            <w:r w:rsidRPr="006D41FB">
              <w:rPr>
                <w:color w:val="FF0000"/>
                <w:sz w:val="18"/>
                <w:szCs w:val="18"/>
              </w:rPr>
              <w:t> </w:t>
            </w:r>
          </w:p>
        </w:tc>
        <w:tc>
          <w:tcPr>
            <w:tcW w:w="0" w:type="auto"/>
            <w:vAlign w:val="center"/>
            <w:hideMark/>
          </w:tcPr>
          <w:p w:rsidR="002604BD" w:rsidRPr="006D41FB" w14:paraId="2BAB7591" w14:textId="77777777">
            <w:pPr>
              <w:jc w:val="right"/>
              <w:rPr>
                <w:color w:val="FF0000"/>
                <w:sz w:val="18"/>
                <w:szCs w:val="18"/>
              </w:rPr>
            </w:pPr>
            <w:r w:rsidRPr="006D41FB">
              <w:rPr>
                <w:color w:val="FF0000"/>
                <w:sz w:val="18"/>
                <w:szCs w:val="18"/>
              </w:rPr>
              <w:t> </w:t>
            </w:r>
          </w:p>
        </w:tc>
        <w:tc>
          <w:tcPr>
            <w:tcW w:w="0" w:type="auto"/>
            <w:vAlign w:val="center"/>
            <w:hideMark/>
          </w:tcPr>
          <w:p w:rsidR="002604BD" w:rsidRPr="006D41FB" w14:paraId="6BCA0B06" w14:textId="77777777">
            <w:pPr>
              <w:jc w:val="right"/>
              <w:rPr>
                <w:color w:val="FF0000"/>
                <w:sz w:val="18"/>
                <w:szCs w:val="18"/>
              </w:rPr>
            </w:pPr>
            <w:r w:rsidRPr="006D41FB">
              <w:rPr>
                <w:color w:val="FF0000"/>
                <w:sz w:val="18"/>
                <w:szCs w:val="18"/>
              </w:rPr>
              <w:t> </w:t>
            </w:r>
          </w:p>
        </w:tc>
        <w:tc>
          <w:tcPr>
            <w:tcW w:w="0" w:type="auto"/>
            <w:vAlign w:val="center"/>
            <w:hideMark/>
          </w:tcPr>
          <w:p w:rsidR="002604BD" w:rsidRPr="006D41FB" w14:paraId="4115CCBB" w14:textId="77777777">
            <w:pPr>
              <w:jc w:val="right"/>
              <w:rPr>
                <w:color w:val="FF0000"/>
                <w:sz w:val="18"/>
                <w:szCs w:val="18"/>
              </w:rPr>
            </w:pPr>
            <w:r w:rsidRPr="006D41FB">
              <w:rPr>
                <w:color w:val="FF0000"/>
                <w:sz w:val="18"/>
                <w:szCs w:val="18"/>
              </w:rPr>
              <w:t>2.000.000,00 € </w:t>
            </w:r>
          </w:p>
        </w:tc>
      </w:tr>
    </w:tbl>
    <w:p w:rsidR="00A00004" w:rsidRPr="006D41FB" w:rsidP="00987C41" w14:paraId="1443CA12" w14:textId="77777777">
      <w:pPr>
        <w:spacing w:after="120"/>
        <w:jc w:val="both"/>
        <w:rPr>
          <w:b/>
          <w:bCs/>
          <w:color w:val="FF0000"/>
        </w:rPr>
      </w:pPr>
    </w:p>
    <w:p w:rsidR="00313663" w:rsidRPr="006D41FB" w:rsidP="00313663" w14:paraId="7A2D620E" w14:textId="77777777">
      <w:pPr>
        <w:jc w:val="center"/>
        <w:rPr>
          <w:b/>
          <w:bCs/>
          <w:color w:val="FF0000"/>
        </w:rPr>
      </w:pPr>
      <w:r w:rsidRPr="006D41FB">
        <w:rPr>
          <w:b/>
          <w:bCs/>
          <w:color w:val="FF0000"/>
        </w:rPr>
        <w:t>QUADRO ECONOMICO</w:t>
      </w:r>
    </w:p>
    <w:tbl>
      <w:tblPr>
        <w:tblW w:w="958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7093"/>
        <w:gridCol w:w="2488"/>
      </w:tblGrid>
      <w:tr w14:paraId="2BA4C623" w14:textId="77777777">
        <w:tblPrEx>
          <w:tblW w:w="9581" w:type="dxa"/>
          <w:tblLook w:val="04A0"/>
        </w:tblPrEx>
        <w:trPr>
          <w:trHeight w:val="280"/>
        </w:trPr>
        <w:tc>
          <w:tcPr>
            <w:tcW w:w="0" w:type="auto"/>
            <w:vAlign w:val="center"/>
            <w:hideMark/>
          </w:tcPr>
          <w:p w:rsidR="00DD35B4" w:rsidRPr="006D41FB" w14:paraId="1610887F" w14:textId="77777777">
            <w:pPr>
              <w:rPr>
                <w:color w:val="FF0000"/>
                <w:sz w:val="18"/>
                <w:szCs w:val="18"/>
              </w:rPr>
            </w:pPr>
            <w:r w:rsidRPr="006D41FB">
              <w:rPr>
                <w:b/>
                <w:bCs/>
                <w:color w:val="FF0000"/>
                <w:sz w:val="18"/>
                <w:szCs w:val="18"/>
              </w:rPr>
              <w:t>Tipologia voce spesa</w:t>
            </w:r>
          </w:p>
        </w:tc>
        <w:tc>
          <w:tcPr>
            <w:tcW w:w="0" w:type="auto"/>
            <w:vAlign w:val="center"/>
            <w:hideMark/>
          </w:tcPr>
          <w:p w:rsidR="00DD35B4" w:rsidRPr="006D41FB" w14:paraId="13512929" w14:textId="77777777">
            <w:pPr>
              <w:rPr>
                <w:color w:val="FF0000"/>
                <w:sz w:val="18"/>
                <w:szCs w:val="18"/>
              </w:rPr>
            </w:pPr>
            <w:r w:rsidRPr="006D41FB">
              <w:rPr>
                <w:b/>
                <w:bCs/>
                <w:color w:val="FF0000"/>
                <w:sz w:val="18"/>
                <w:szCs w:val="18"/>
              </w:rPr>
              <w:t>Importo</w:t>
            </w:r>
          </w:p>
        </w:tc>
      </w:tr>
      <w:tr w14:paraId="6F84CE54" w14:textId="77777777">
        <w:tblPrEx>
          <w:tblW w:w="9581" w:type="dxa"/>
          <w:tblLook w:val="04A0"/>
        </w:tblPrEx>
        <w:trPr>
          <w:trHeight w:val="290"/>
        </w:trPr>
        <w:tc>
          <w:tcPr>
            <w:tcW w:w="0" w:type="auto"/>
            <w:vAlign w:val="center"/>
            <w:hideMark/>
          </w:tcPr>
          <w:p w:rsidR="00DD35B4" w:rsidRPr="006D41FB" w14:paraId="6B52080D" w14:textId="77777777">
            <w:pPr>
              <w:rPr>
                <w:color w:val="FF0000"/>
                <w:sz w:val="18"/>
                <w:szCs w:val="18"/>
              </w:rPr>
            </w:pPr>
            <w:r w:rsidRPr="006D41FB">
              <w:rPr>
                <w:color w:val="FF0000"/>
                <w:sz w:val="18"/>
                <w:szCs w:val="18"/>
              </w:rPr>
              <w:t>INTERFERENZE</w:t>
            </w:r>
          </w:p>
        </w:tc>
        <w:tc>
          <w:tcPr>
            <w:tcW w:w="0" w:type="auto"/>
            <w:vAlign w:val="center"/>
            <w:hideMark/>
          </w:tcPr>
          <w:p w:rsidR="00DD35B4" w:rsidRPr="006D41FB" w14:paraId="450BC4AC" w14:textId="77777777">
            <w:pPr>
              <w:jc w:val="right"/>
              <w:rPr>
                <w:color w:val="FF0000"/>
                <w:sz w:val="18"/>
                <w:szCs w:val="18"/>
              </w:rPr>
            </w:pPr>
            <w:r w:rsidRPr="006D41FB">
              <w:rPr>
                <w:color w:val="FF0000"/>
                <w:sz w:val="18"/>
                <w:szCs w:val="18"/>
              </w:rPr>
              <w:t>10.000,00 €</w:t>
            </w:r>
          </w:p>
        </w:tc>
      </w:tr>
      <w:tr w14:paraId="263BE8BE" w14:textId="77777777">
        <w:tblPrEx>
          <w:tblW w:w="9581" w:type="dxa"/>
          <w:tblLook w:val="04A0"/>
        </w:tblPrEx>
        <w:trPr>
          <w:trHeight w:val="280"/>
        </w:trPr>
        <w:tc>
          <w:tcPr>
            <w:tcW w:w="0" w:type="auto"/>
            <w:vAlign w:val="center"/>
            <w:hideMark/>
          </w:tcPr>
          <w:p w:rsidR="00DD35B4" w:rsidRPr="006D41FB" w14:paraId="54EC502B" w14:textId="77777777">
            <w:pPr>
              <w:rPr>
                <w:color w:val="FF0000"/>
                <w:sz w:val="18"/>
                <w:szCs w:val="18"/>
              </w:rPr>
            </w:pPr>
            <w:r w:rsidRPr="006D41FB">
              <w:rPr>
                <w:color w:val="FF0000"/>
                <w:sz w:val="18"/>
                <w:szCs w:val="18"/>
              </w:rPr>
              <w:t>ACQUISIZIONE AREE O IMMOBILI</w:t>
            </w:r>
          </w:p>
        </w:tc>
        <w:tc>
          <w:tcPr>
            <w:tcW w:w="0" w:type="auto"/>
            <w:vAlign w:val="center"/>
            <w:hideMark/>
          </w:tcPr>
          <w:p w:rsidR="00DD35B4" w:rsidRPr="006D41FB" w14:paraId="08CC71F1" w14:textId="77777777">
            <w:pPr>
              <w:jc w:val="right"/>
              <w:rPr>
                <w:color w:val="FF0000"/>
                <w:sz w:val="18"/>
                <w:szCs w:val="18"/>
              </w:rPr>
            </w:pPr>
            <w:r w:rsidRPr="006D41FB">
              <w:rPr>
                <w:color w:val="FF0000"/>
                <w:sz w:val="18"/>
                <w:szCs w:val="18"/>
              </w:rPr>
              <w:t>7.500,00 €</w:t>
            </w:r>
          </w:p>
        </w:tc>
      </w:tr>
      <w:tr w14:paraId="0633D6BC" w14:textId="77777777">
        <w:tblPrEx>
          <w:tblW w:w="9581" w:type="dxa"/>
          <w:tblLook w:val="04A0"/>
        </w:tblPrEx>
        <w:trPr>
          <w:trHeight w:val="290"/>
        </w:trPr>
        <w:tc>
          <w:tcPr>
            <w:tcW w:w="0" w:type="auto"/>
            <w:vAlign w:val="center"/>
            <w:hideMark/>
          </w:tcPr>
          <w:p w:rsidR="00DD35B4" w:rsidRPr="006D41FB" w14:paraId="635C91B8" w14:textId="77777777">
            <w:pPr>
              <w:rPr>
                <w:color w:val="FF0000"/>
                <w:sz w:val="18"/>
                <w:szCs w:val="18"/>
              </w:rPr>
            </w:pPr>
            <w:r w:rsidRPr="006D41FB">
              <w:rPr>
                <w:color w:val="FF0000"/>
                <w:sz w:val="18"/>
                <w:szCs w:val="18"/>
              </w:rPr>
              <w:t>LAVORI</w:t>
            </w:r>
          </w:p>
        </w:tc>
        <w:tc>
          <w:tcPr>
            <w:tcW w:w="0" w:type="auto"/>
            <w:vAlign w:val="center"/>
            <w:hideMark/>
          </w:tcPr>
          <w:p w:rsidR="00DD35B4" w:rsidRPr="006D41FB" w14:paraId="714F31BB" w14:textId="77777777">
            <w:pPr>
              <w:jc w:val="right"/>
              <w:rPr>
                <w:color w:val="FF0000"/>
                <w:sz w:val="18"/>
                <w:szCs w:val="18"/>
              </w:rPr>
            </w:pPr>
            <w:r w:rsidRPr="006D41FB">
              <w:rPr>
                <w:color w:val="FF0000"/>
                <w:sz w:val="18"/>
                <w:szCs w:val="18"/>
              </w:rPr>
              <w:t>1.341.402,06 €</w:t>
            </w:r>
          </w:p>
        </w:tc>
      </w:tr>
      <w:tr w14:paraId="289226E9" w14:textId="77777777">
        <w:tblPrEx>
          <w:tblW w:w="9581" w:type="dxa"/>
          <w:tblLook w:val="04A0"/>
        </w:tblPrEx>
        <w:trPr>
          <w:trHeight w:val="280"/>
        </w:trPr>
        <w:tc>
          <w:tcPr>
            <w:tcW w:w="0" w:type="auto"/>
            <w:vAlign w:val="center"/>
            <w:hideMark/>
          </w:tcPr>
          <w:p w:rsidR="00DD35B4" w:rsidRPr="006D41FB" w14:paraId="0DC1B142" w14:textId="77777777">
            <w:pPr>
              <w:rPr>
                <w:color w:val="FF0000"/>
                <w:sz w:val="18"/>
                <w:szCs w:val="18"/>
              </w:rPr>
            </w:pPr>
            <w:r w:rsidRPr="006D41FB">
              <w:rPr>
                <w:color w:val="FF0000"/>
                <w:sz w:val="18"/>
                <w:szCs w:val="18"/>
              </w:rPr>
              <w:t>IVA SU LAVORI E ONERI DI SICUREZZA</w:t>
            </w:r>
          </w:p>
        </w:tc>
        <w:tc>
          <w:tcPr>
            <w:tcW w:w="0" w:type="auto"/>
            <w:vAlign w:val="center"/>
            <w:hideMark/>
          </w:tcPr>
          <w:p w:rsidR="00DD35B4" w:rsidRPr="006D41FB" w14:paraId="5AB9E4FA" w14:textId="77777777">
            <w:pPr>
              <w:jc w:val="right"/>
              <w:rPr>
                <w:color w:val="FF0000"/>
                <w:sz w:val="18"/>
                <w:szCs w:val="18"/>
              </w:rPr>
            </w:pPr>
            <w:r w:rsidRPr="006D41FB">
              <w:rPr>
                <w:color w:val="FF0000"/>
                <w:sz w:val="18"/>
                <w:szCs w:val="18"/>
              </w:rPr>
              <w:t>319.704,45 €</w:t>
            </w:r>
          </w:p>
        </w:tc>
      </w:tr>
      <w:tr w14:paraId="53E860FC" w14:textId="77777777">
        <w:tblPrEx>
          <w:tblW w:w="9581" w:type="dxa"/>
          <w:tblLook w:val="04A0"/>
        </w:tblPrEx>
        <w:trPr>
          <w:trHeight w:val="290"/>
        </w:trPr>
        <w:tc>
          <w:tcPr>
            <w:tcW w:w="0" w:type="auto"/>
            <w:vAlign w:val="center"/>
            <w:hideMark/>
          </w:tcPr>
          <w:p w:rsidR="00DD35B4" w:rsidRPr="006D41FB" w14:paraId="09EB7531" w14:textId="77777777">
            <w:pPr>
              <w:rPr>
                <w:color w:val="FF0000"/>
                <w:sz w:val="18"/>
                <w:szCs w:val="18"/>
              </w:rPr>
            </w:pPr>
            <w:r w:rsidRPr="006D41FB">
              <w:rPr>
                <w:color w:val="FF0000"/>
                <w:sz w:val="18"/>
                <w:szCs w:val="18"/>
              </w:rPr>
              <w:t>ALTRO</w:t>
            </w:r>
          </w:p>
        </w:tc>
        <w:tc>
          <w:tcPr>
            <w:tcW w:w="0" w:type="auto"/>
            <w:vAlign w:val="center"/>
            <w:hideMark/>
          </w:tcPr>
          <w:p w:rsidR="00DD35B4" w:rsidRPr="006D41FB" w14:paraId="28FB8349" w14:textId="77777777">
            <w:pPr>
              <w:jc w:val="right"/>
              <w:rPr>
                <w:color w:val="FF0000"/>
                <w:sz w:val="18"/>
                <w:szCs w:val="18"/>
              </w:rPr>
            </w:pPr>
            <w:r w:rsidRPr="006D41FB">
              <w:rPr>
                <w:color w:val="FF0000"/>
                <w:sz w:val="18"/>
                <w:szCs w:val="18"/>
              </w:rPr>
              <w:t>28.467,68 €</w:t>
            </w:r>
          </w:p>
        </w:tc>
      </w:tr>
      <w:tr w14:paraId="041D7163" w14:textId="77777777">
        <w:tblPrEx>
          <w:tblW w:w="9581" w:type="dxa"/>
          <w:tblLook w:val="04A0"/>
        </w:tblPrEx>
        <w:trPr>
          <w:trHeight w:val="290"/>
        </w:trPr>
        <w:tc>
          <w:tcPr>
            <w:tcW w:w="0" w:type="auto"/>
            <w:vAlign w:val="center"/>
            <w:hideMark/>
          </w:tcPr>
          <w:p w:rsidR="00DD35B4" w:rsidRPr="006D41FB" w14:paraId="14DD78BE" w14:textId="77777777">
            <w:pPr>
              <w:rPr>
                <w:color w:val="FF0000"/>
                <w:sz w:val="18"/>
                <w:szCs w:val="18"/>
              </w:rPr>
            </w:pPr>
            <w:r w:rsidRPr="006D41FB">
              <w:rPr>
                <w:color w:val="FF0000"/>
                <w:sz w:val="18"/>
                <w:szCs w:val="18"/>
              </w:rPr>
              <w:t>PROGETTAZIONE E STUDI</w:t>
            </w:r>
          </w:p>
        </w:tc>
        <w:tc>
          <w:tcPr>
            <w:tcW w:w="0" w:type="auto"/>
            <w:vAlign w:val="center"/>
            <w:hideMark/>
          </w:tcPr>
          <w:p w:rsidR="00DD35B4" w:rsidRPr="006D41FB" w14:paraId="0F6DD8A8" w14:textId="77777777">
            <w:pPr>
              <w:jc w:val="right"/>
              <w:rPr>
                <w:color w:val="FF0000"/>
                <w:sz w:val="18"/>
                <w:szCs w:val="18"/>
              </w:rPr>
            </w:pPr>
            <w:r w:rsidRPr="006D41FB">
              <w:rPr>
                <w:color w:val="FF0000"/>
                <w:sz w:val="18"/>
                <w:szCs w:val="18"/>
              </w:rPr>
              <w:t>136.232,32 €</w:t>
            </w:r>
          </w:p>
        </w:tc>
      </w:tr>
      <w:tr w14:paraId="2A038989" w14:textId="77777777">
        <w:tblPrEx>
          <w:tblW w:w="9581" w:type="dxa"/>
          <w:tblLook w:val="04A0"/>
        </w:tblPrEx>
        <w:trPr>
          <w:trHeight w:val="280"/>
        </w:trPr>
        <w:tc>
          <w:tcPr>
            <w:tcW w:w="0" w:type="auto"/>
            <w:vAlign w:val="center"/>
            <w:hideMark/>
          </w:tcPr>
          <w:p w:rsidR="00DD35B4" w:rsidRPr="006D41FB" w14:paraId="789399F6" w14:textId="77777777">
            <w:pPr>
              <w:rPr>
                <w:color w:val="FF0000"/>
                <w:sz w:val="18"/>
                <w:szCs w:val="18"/>
              </w:rPr>
            </w:pPr>
            <w:r w:rsidRPr="006D41FB">
              <w:rPr>
                <w:color w:val="FF0000"/>
                <w:sz w:val="18"/>
                <w:szCs w:val="18"/>
              </w:rPr>
              <w:t>ONERI DI SICUREZZA</w:t>
            </w:r>
          </w:p>
        </w:tc>
        <w:tc>
          <w:tcPr>
            <w:tcW w:w="0" w:type="auto"/>
            <w:vAlign w:val="center"/>
            <w:hideMark/>
          </w:tcPr>
          <w:p w:rsidR="00DD35B4" w:rsidRPr="006D41FB" w14:paraId="518658A5" w14:textId="77777777">
            <w:pPr>
              <w:jc w:val="right"/>
              <w:rPr>
                <w:color w:val="FF0000"/>
                <w:sz w:val="18"/>
                <w:szCs w:val="18"/>
              </w:rPr>
            </w:pPr>
            <w:r w:rsidRPr="006D41FB">
              <w:rPr>
                <w:color w:val="FF0000"/>
                <w:sz w:val="18"/>
                <w:szCs w:val="18"/>
              </w:rPr>
              <w:t>111.800,00 €</w:t>
            </w:r>
          </w:p>
        </w:tc>
      </w:tr>
      <w:tr w14:paraId="2059D06D" w14:textId="77777777">
        <w:tblPrEx>
          <w:tblW w:w="9581" w:type="dxa"/>
          <w:tblLook w:val="04A0"/>
        </w:tblPrEx>
        <w:trPr>
          <w:trHeight w:val="290"/>
        </w:trPr>
        <w:tc>
          <w:tcPr>
            <w:tcW w:w="0" w:type="auto"/>
            <w:vAlign w:val="center"/>
            <w:hideMark/>
          </w:tcPr>
          <w:p w:rsidR="00DD35B4" w:rsidRPr="006D41FB" w14:paraId="64C00D35" w14:textId="77777777">
            <w:pPr>
              <w:rPr>
                <w:color w:val="FF0000"/>
                <w:sz w:val="18"/>
                <w:szCs w:val="18"/>
              </w:rPr>
            </w:pPr>
            <w:r w:rsidRPr="006D41FB">
              <w:rPr>
                <w:color w:val="FF0000"/>
                <w:sz w:val="18"/>
                <w:szCs w:val="18"/>
              </w:rPr>
              <w:t>IMPREVISTI</w:t>
            </w:r>
          </w:p>
        </w:tc>
        <w:tc>
          <w:tcPr>
            <w:tcW w:w="0" w:type="auto"/>
            <w:vAlign w:val="center"/>
            <w:hideMark/>
          </w:tcPr>
          <w:p w:rsidR="00DD35B4" w:rsidRPr="006D41FB" w14:paraId="36C78C30" w14:textId="77777777">
            <w:pPr>
              <w:jc w:val="right"/>
              <w:rPr>
                <w:color w:val="FF0000"/>
                <w:sz w:val="18"/>
                <w:szCs w:val="18"/>
              </w:rPr>
            </w:pPr>
            <w:r w:rsidRPr="006D41FB">
              <w:rPr>
                <w:color w:val="FF0000"/>
                <w:sz w:val="18"/>
                <w:szCs w:val="18"/>
              </w:rPr>
              <w:t>44.893,49 € </w:t>
            </w:r>
          </w:p>
        </w:tc>
      </w:tr>
      <w:tr w14:paraId="3A37AA25" w14:textId="77777777">
        <w:tblPrEx>
          <w:tblW w:w="9581" w:type="dxa"/>
          <w:tblLook w:val="04A0"/>
        </w:tblPrEx>
        <w:trPr>
          <w:trHeight w:val="280"/>
        </w:trPr>
        <w:tc>
          <w:tcPr>
            <w:tcW w:w="0" w:type="auto"/>
            <w:vAlign w:val="center"/>
            <w:hideMark/>
          </w:tcPr>
          <w:p w:rsidR="00DD35B4" w:rsidRPr="006D41FB" w14:paraId="309DA7E9" w14:textId="77777777">
            <w:pPr>
              <w:rPr>
                <w:color w:val="FF0000"/>
                <w:sz w:val="18"/>
                <w:szCs w:val="18"/>
              </w:rPr>
            </w:pPr>
            <w:r w:rsidRPr="006D41FB">
              <w:rPr>
                <w:color w:val="FF0000"/>
                <w:sz w:val="18"/>
                <w:szCs w:val="18"/>
              </w:rPr>
              <w:t> </w:t>
            </w:r>
          </w:p>
        </w:tc>
        <w:tc>
          <w:tcPr>
            <w:tcW w:w="0" w:type="auto"/>
            <w:vAlign w:val="center"/>
            <w:hideMark/>
          </w:tcPr>
          <w:p w:rsidR="00DD35B4" w:rsidRPr="006D41FB" w14:paraId="2B3F65F8" w14:textId="77777777">
            <w:pPr>
              <w:jc w:val="right"/>
              <w:rPr>
                <w:color w:val="FF0000"/>
                <w:sz w:val="18"/>
                <w:szCs w:val="18"/>
              </w:rPr>
            </w:pPr>
            <w:r w:rsidRPr="006D41FB">
              <w:rPr>
                <w:color w:val="FF0000"/>
                <w:sz w:val="18"/>
                <w:szCs w:val="18"/>
              </w:rPr>
              <w:t>2.000.000,00 € </w:t>
            </w:r>
          </w:p>
        </w:tc>
      </w:tr>
    </w:tbl>
    <w:p w:rsidR="001077B7" w:rsidRPr="006D41FB" w:rsidP="001077B7" w14:paraId="2E9B003C" w14:textId="77777777">
      <w:pPr>
        <w:jc w:val="both"/>
        <w:rPr>
          <w:color w:val="FF0000"/>
        </w:rPr>
      </w:pPr>
      <w:r w:rsidRPr="006D41FB">
        <w:rPr>
          <w:b/>
          <w:bCs/>
          <w:color w:val="FF0000"/>
        </w:rPr>
        <w:t>Descrizione del progetto</w:t>
      </w:r>
      <w:r w:rsidRPr="006D41FB">
        <w:rPr>
          <w:color w:val="FF0000"/>
        </w:rPr>
        <w:t>: L’intervento prevede l’adeguamento e completamento delle arginature perimetrali della cassa di espansione del fiume Secchia e realizzazione di opere per l’utilizzo di una parte dell’invaso per scopi irrigui ed è suddiviso in due lotti funzionali. Il LOTTO 2 prevede l’adeguamento in sagoma e in quota dei rilevati esistenti a contenimento dell’invaso alla quota di 51,75 m s.l.m.., mentre il LOTTO 4 vedrà la realizzazione degli impianti di prelievo dall’invaso (pompe e manufatti per il sollevamento) e delle opere di adduzione (condotte/canali di distribuzione) dall’invaso alla rete di distribuzione gestita dal Consorzio di bonifica Emilia Centrale.</w:t>
      </w:r>
    </w:p>
    <w:p w:rsidR="001077B7" w:rsidRPr="006D41FB" w:rsidP="00987C41" w14:paraId="280C22E2" w14:textId="47AFF7EF">
      <w:pPr>
        <w:spacing w:after="120"/>
        <w:jc w:val="both"/>
        <w:rPr>
          <w:b/>
          <w:bCs/>
          <w:color w:val="FF0000"/>
        </w:rPr>
      </w:pPr>
    </w:p>
    <w:p w:rsidR="005E2408" w:rsidRPr="006D41FB" w:rsidP="002402E8" w14:paraId="6EDF3DFC" w14:textId="010CCDD5">
      <w:pPr>
        <w:jc w:val="both"/>
        <w:rPr>
          <w:b/>
          <w:bCs/>
          <w:color w:val="FF0000"/>
        </w:rPr>
      </w:pPr>
      <w:r w:rsidRPr="006D41FB">
        <w:rPr>
          <w:b/>
          <w:bCs/>
          <w:i/>
          <w:iCs/>
          <w:color w:val="FF0000"/>
        </w:rPr>
        <w:t>5. RECUPERO DI BACINI DI EX CAVA IN DESTRA IDRAULICA DEL F. MARECCHIA, CON FUNZIONE DI STOCCAGGIO PER SOCCORSO E DISTRIBUZIONE IRRIGUA SULLA BASSA VALMARECCHIA, LAMINAZIONE DELLE PIENE ED USO AMBIENTALE - STRALCIO 1</w:t>
      </w:r>
      <w:r w:rsidRPr="006D41FB" w:rsidR="002402E8">
        <w:rPr>
          <w:b/>
          <w:bCs/>
          <w:i/>
          <w:iCs/>
          <w:color w:val="FF0000"/>
        </w:rPr>
        <w:t xml:space="preserve"> (</w:t>
      </w:r>
      <w:r w:rsidRPr="006D41FB">
        <w:rPr>
          <w:b/>
          <w:bCs/>
          <w:color w:val="FF0000"/>
        </w:rPr>
        <w:t>CODICE INTERVENTO A1-4</w:t>
      </w:r>
      <w:r w:rsidRPr="006D41FB" w:rsidR="002402E8">
        <w:rPr>
          <w:b/>
          <w:bCs/>
          <w:color w:val="FF0000"/>
        </w:rPr>
        <w:t>)</w:t>
      </w:r>
    </w:p>
    <w:p w:rsidR="005E2408" w:rsidRPr="006D41FB" w:rsidP="005E2408" w14:paraId="0559CFE8" w14:textId="703F8987">
      <w:pPr>
        <w:jc w:val="center"/>
        <w:rPr>
          <w:b/>
          <w:bCs/>
          <w:color w:val="FF0000"/>
        </w:rPr>
      </w:pPr>
    </w:p>
    <w:tbl>
      <w:tblPr>
        <w:tblStyle w:val="TableGrid"/>
        <w:tblW w:w="0" w:type="auto"/>
        <w:tblLook w:val="04A0"/>
      </w:tblPr>
      <w:tblGrid>
        <w:gridCol w:w="9628"/>
      </w:tblGrid>
      <w:tr w14:paraId="7899AF75" w14:textId="77777777">
        <w:tblPrEx>
          <w:tblW w:w="0" w:type="auto"/>
          <w:tblLook w:val="04A0"/>
        </w:tblPrEx>
        <w:tc>
          <w:tcPr>
            <w:tcW w:w="9628" w:type="dxa"/>
          </w:tcPr>
          <w:p w:rsidR="005E2408" w:rsidRPr="006D41FB" w14:paraId="6189A55C" w14:textId="77777777">
            <w:pPr>
              <w:jc w:val="both"/>
              <w:rPr>
                <w:color w:val="FF0000"/>
                <w:sz w:val="24"/>
                <w:szCs w:val="24"/>
              </w:rPr>
            </w:pPr>
            <w:r w:rsidRPr="006D41FB">
              <w:rPr>
                <w:b/>
                <w:bCs/>
                <w:color w:val="FF0000"/>
                <w:sz w:val="24"/>
                <w:szCs w:val="24"/>
              </w:rPr>
              <w:t>CUP:</w:t>
            </w:r>
            <w:r w:rsidRPr="006D41FB">
              <w:rPr>
                <w:color w:val="FF0000"/>
                <w:sz w:val="24"/>
                <w:szCs w:val="24"/>
              </w:rPr>
              <w:t xml:space="preserve"> G83D21003240006</w:t>
            </w:r>
          </w:p>
        </w:tc>
      </w:tr>
      <w:tr w14:paraId="33B492DE" w14:textId="77777777">
        <w:tblPrEx>
          <w:tblW w:w="0" w:type="auto"/>
          <w:tblLook w:val="04A0"/>
        </w:tblPrEx>
        <w:tc>
          <w:tcPr>
            <w:tcW w:w="9628" w:type="dxa"/>
          </w:tcPr>
          <w:p w:rsidR="005E2408" w:rsidRPr="006D41FB" w14:paraId="3AED1111" w14:textId="77777777">
            <w:pPr>
              <w:jc w:val="both"/>
              <w:rPr>
                <w:color w:val="FF0000"/>
                <w:sz w:val="24"/>
                <w:szCs w:val="24"/>
              </w:rPr>
            </w:pPr>
            <w:r w:rsidRPr="006D41FB">
              <w:rPr>
                <w:b/>
                <w:bCs/>
                <w:color w:val="FF0000"/>
                <w:sz w:val="24"/>
                <w:szCs w:val="24"/>
              </w:rPr>
              <w:t>Importo Progetto</w:t>
            </w:r>
            <w:r w:rsidRPr="006D41FB">
              <w:rPr>
                <w:color w:val="FF0000"/>
                <w:sz w:val="24"/>
                <w:szCs w:val="24"/>
              </w:rPr>
              <w:t>: 16.107.788,13 €</w:t>
            </w:r>
          </w:p>
        </w:tc>
      </w:tr>
      <w:tr w14:paraId="26951B3C" w14:textId="77777777">
        <w:tblPrEx>
          <w:tblW w:w="0" w:type="auto"/>
          <w:tblLook w:val="04A0"/>
        </w:tblPrEx>
        <w:trPr>
          <w:trHeight w:val="163"/>
        </w:trPr>
        <w:tc>
          <w:tcPr>
            <w:tcW w:w="9628" w:type="dxa"/>
          </w:tcPr>
          <w:p w:rsidR="005E2408" w:rsidRPr="006D41FB" w14:paraId="31731263" w14:textId="77777777">
            <w:pPr>
              <w:jc w:val="both"/>
              <w:rPr>
                <w:color w:val="FF0000"/>
                <w:sz w:val="24"/>
                <w:szCs w:val="24"/>
              </w:rPr>
            </w:pPr>
            <w:r w:rsidRPr="006D41FB">
              <w:rPr>
                <w:b/>
                <w:bCs/>
                <w:color w:val="FF0000"/>
                <w:sz w:val="24"/>
                <w:szCs w:val="24"/>
              </w:rPr>
              <w:t>Importo PNRR</w:t>
            </w:r>
            <w:r w:rsidRPr="006D41FB">
              <w:rPr>
                <w:color w:val="FF0000"/>
                <w:sz w:val="24"/>
                <w:szCs w:val="24"/>
              </w:rPr>
              <w:t>: 12.126.800,00 €</w:t>
            </w:r>
          </w:p>
        </w:tc>
      </w:tr>
      <w:tr w14:paraId="3325423A" w14:textId="77777777">
        <w:tblPrEx>
          <w:tblW w:w="0" w:type="auto"/>
          <w:tblLook w:val="04A0"/>
        </w:tblPrEx>
        <w:tc>
          <w:tcPr>
            <w:tcW w:w="9628" w:type="dxa"/>
          </w:tcPr>
          <w:p w:rsidR="005E2408" w:rsidRPr="006D41FB" w14:paraId="41429A46" w14:textId="77777777">
            <w:pPr>
              <w:jc w:val="both"/>
              <w:rPr>
                <w:color w:val="FF0000"/>
                <w:sz w:val="24"/>
                <w:szCs w:val="24"/>
              </w:rPr>
            </w:pPr>
            <w:r w:rsidRPr="006D41FB">
              <w:rPr>
                <w:b/>
                <w:bCs/>
                <w:color w:val="FF0000"/>
                <w:sz w:val="24"/>
                <w:szCs w:val="24"/>
              </w:rPr>
              <w:t>Importo FOI</w:t>
            </w:r>
            <w:r w:rsidRPr="006D41FB">
              <w:rPr>
                <w:color w:val="FF0000"/>
                <w:sz w:val="24"/>
                <w:szCs w:val="24"/>
              </w:rPr>
              <w:t>: 3.730.988,13 €</w:t>
            </w:r>
          </w:p>
        </w:tc>
      </w:tr>
      <w:tr w14:paraId="0AD32355" w14:textId="77777777">
        <w:tblPrEx>
          <w:tblW w:w="0" w:type="auto"/>
          <w:tblLook w:val="04A0"/>
        </w:tblPrEx>
        <w:tc>
          <w:tcPr>
            <w:tcW w:w="9628" w:type="dxa"/>
          </w:tcPr>
          <w:p w:rsidR="005E2408" w:rsidRPr="006D41FB" w14:paraId="376A79E5" w14:textId="77777777">
            <w:pPr>
              <w:jc w:val="both"/>
              <w:rPr>
                <w:color w:val="FF0000"/>
                <w:sz w:val="24"/>
                <w:szCs w:val="24"/>
              </w:rPr>
            </w:pPr>
            <w:r w:rsidRPr="006D41FB">
              <w:rPr>
                <w:b/>
                <w:bCs/>
                <w:color w:val="FF0000"/>
                <w:sz w:val="24"/>
                <w:szCs w:val="24"/>
              </w:rPr>
              <w:t>Altro Nazionale:</w:t>
            </w:r>
            <w:r w:rsidRPr="006D41FB">
              <w:rPr>
                <w:color w:val="FF0000"/>
                <w:sz w:val="24"/>
                <w:szCs w:val="24"/>
              </w:rPr>
              <w:t xml:space="preserve"> 250.000,00 €</w:t>
            </w:r>
          </w:p>
        </w:tc>
      </w:tr>
      <w:tr w14:paraId="3650CE58" w14:textId="77777777">
        <w:tblPrEx>
          <w:tblW w:w="0" w:type="auto"/>
          <w:tblLook w:val="04A0"/>
        </w:tblPrEx>
        <w:tc>
          <w:tcPr>
            <w:tcW w:w="9628" w:type="dxa"/>
          </w:tcPr>
          <w:p w:rsidR="005E2408" w:rsidRPr="006D41FB" w14:paraId="60FF1EE3" w14:textId="77777777">
            <w:pPr>
              <w:jc w:val="both"/>
              <w:rPr>
                <w:color w:val="FF0000"/>
                <w:sz w:val="24"/>
                <w:szCs w:val="24"/>
              </w:rPr>
            </w:pPr>
            <w:r w:rsidRPr="006D41FB">
              <w:rPr>
                <w:b/>
                <w:bCs/>
                <w:color w:val="FF0000"/>
                <w:sz w:val="24"/>
                <w:szCs w:val="24"/>
              </w:rPr>
              <w:t>Altro UE</w:t>
            </w:r>
            <w:r w:rsidRPr="006D41FB">
              <w:rPr>
                <w:color w:val="FF0000"/>
                <w:sz w:val="24"/>
                <w:szCs w:val="24"/>
              </w:rPr>
              <w:t xml:space="preserve">: - </w:t>
            </w:r>
          </w:p>
        </w:tc>
      </w:tr>
    </w:tbl>
    <w:p w:rsidR="00C45943" w:rsidRPr="006D41FB" w:rsidP="00C45943" w14:paraId="136E9D5F" w14:textId="40597620">
      <w:pPr>
        <w:jc w:val="center"/>
        <w:rPr>
          <w:b/>
          <w:bCs/>
          <w:color w:val="FF0000"/>
        </w:rPr>
      </w:pPr>
      <w:r w:rsidRPr="006D41FB">
        <w:rPr>
          <w:b/>
          <w:bCs/>
          <w:color w:val="FF0000"/>
        </w:rPr>
        <w:t>CRONOPROGRAMMA FINANZIARIO</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540"/>
        <w:gridCol w:w="980"/>
        <w:gridCol w:w="1025"/>
        <w:gridCol w:w="1205"/>
        <w:gridCol w:w="1205"/>
        <w:gridCol w:w="1205"/>
        <w:gridCol w:w="1310"/>
      </w:tblGrid>
      <w:tr w14:paraId="0A41C4CC" w14:textId="77777777">
        <w:tblPrEx>
          <w:tblW w:w="0" w:type="auto"/>
          <w:tblLook w:val="04A0"/>
        </w:tblPrEx>
        <w:tc>
          <w:tcPr>
            <w:tcW w:w="0" w:type="auto"/>
            <w:vAlign w:val="center"/>
            <w:hideMark/>
          </w:tcPr>
          <w:p w:rsidR="001F0459" w:rsidRPr="006D41FB" w14:paraId="4AB5150A" w14:textId="77777777">
            <w:pPr>
              <w:rPr>
                <w:color w:val="FF0000"/>
                <w:sz w:val="18"/>
                <w:szCs w:val="18"/>
              </w:rPr>
            </w:pPr>
            <w:r w:rsidRPr="006D41FB">
              <w:rPr>
                <w:b/>
                <w:bCs/>
                <w:color w:val="FF0000"/>
                <w:sz w:val="18"/>
                <w:szCs w:val="18"/>
              </w:rPr>
              <w:t>Anno di riferimento</w:t>
            </w:r>
          </w:p>
        </w:tc>
        <w:tc>
          <w:tcPr>
            <w:tcW w:w="0" w:type="auto"/>
            <w:vAlign w:val="center"/>
            <w:hideMark/>
          </w:tcPr>
          <w:p w:rsidR="001F0459" w:rsidRPr="006D41FB" w14:paraId="1FF4F5FA" w14:textId="77777777">
            <w:pPr>
              <w:rPr>
                <w:color w:val="FF0000"/>
                <w:sz w:val="18"/>
                <w:szCs w:val="18"/>
              </w:rPr>
            </w:pPr>
            <w:r w:rsidRPr="006D41FB">
              <w:rPr>
                <w:color w:val="FF0000"/>
                <w:sz w:val="18"/>
                <w:szCs w:val="18"/>
              </w:rPr>
              <w:t>2022</w:t>
            </w:r>
          </w:p>
        </w:tc>
        <w:tc>
          <w:tcPr>
            <w:tcW w:w="0" w:type="auto"/>
            <w:vAlign w:val="center"/>
            <w:hideMark/>
          </w:tcPr>
          <w:p w:rsidR="001F0459" w:rsidRPr="006D41FB" w14:paraId="138D4D64" w14:textId="77777777">
            <w:pPr>
              <w:rPr>
                <w:color w:val="FF0000"/>
                <w:sz w:val="18"/>
                <w:szCs w:val="18"/>
              </w:rPr>
            </w:pPr>
            <w:r w:rsidRPr="006D41FB">
              <w:rPr>
                <w:color w:val="FF0000"/>
                <w:sz w:val="18"/>
                <w:szCs w:val="18"/>
              </w:rPr>
              <w:t>2023</w:t>
            </w:r>
          </w:p>
        </w:tc>
        <w:tc>
          <w:tcPr>
            <w:tcW w:w="0" w:type="auto"/>
            <w:vAlign w:val="center"/>
            <w:hideMark/>
          </w:tcPr>
          <w:p w:rsidR="001F0459" w:rsidRPr="006D41FB" w14:paraId="2EDEB970" w14:textId="77777777">
            <w:pPr>
              <w:rPr>
                <w:color w:val="FF0000"/>
                <w:sz w:val="18"/>
                <w:szCs w:val="18"/>
              </w:rPr>
            </w:pPr>
            <w:r w:rsidRPr="006D41FB">
              <w:rPr>
                <w:color w:val="FF0000"/>
                <w:sz w:val="18"/>
                <w:szCs w:val="18"/>
              </w:rPr>
              <w:t>2024</w:t>
            </w:r>
          </w:p>
        </w:tc>
        <w:tc>
          <w:tcPr>
            <w:tcW w:w="0" w:type="auto"/>
            <w:vAlign w:val="center"/>
            <w:hideMark/>
          </w:tcPr>
          <w:p w:rsidR="001F0459" w:rsidRPr="006D41FB" w14:paraId="317CDBCC" w14:textId="77777777">
            <w:pPr>
              <w:rPr>
                <w:color w:val="FF0000"/>
                <w:sz w:val="18"/>
                <w:szCs w:val="18"/>
              </w:rPr>
            </w:pPr>
            <w:r w:rsidRPr="006D41FB">
              <w:rPr>
                <w:color w:val="FF0000"/>
                <w:sz w:val="18"/>
                <w:szCs w:val="18"/>
              </w:rPr>
              <w:t>2025</w:t>
            </w:r>
          </w:p>
        </w:tc>
        <w:tc>
          <w:tcPr>
            <w:tcW w:w="0" w:type="auto"/>
            <w:vAlign w:val="center"/>
            <w:hideMark/>
          </w:tcPr>
          <w:p w:rsidR="001F0459" w:rsidRPr="006D41FB" w14:paraId="1E090058" w14:textId="77777777">
            <w:pPr>
              <w:rPr>
                <w:color w:val="FF0000"/>
                <w:sz w:val="18"/>
                <w:szCs w:val="18"/>
              </w:rPr>
            </w:pPr>
            <w:r w:rsidRPr="006D41FB">
              <w:rPr>
                <w:color w:val="FF0000"/>
                <w:sz w:val="18"/>
                <w:szCs w:val="18"/>
              </w:rPr>
              <w:t>2026</w:t>
            </w:r>
          </w:p>
        </w:tc>
        <w:tc>
          <w:tcPr>
            <w:tcW w:w="0" w:type="auto"/>
            <w:vAlign w:val="center"/>
            <w:hideMark/>
          </w:tcPr>
          <w:p w:rsidR="001F0459" w:rsidRPr="006D41FB" w14:paraId="5A5F04A3" w14:textId="77777777">
            <w:pPr>
              <w:rPr>
                <w:color w:val="FF0000"/>
                <w:sz w:val="18"/>
                <w:szCs w:val="18"/>
              </w:rPr>
            </w:pPr>
            <w:r w:rsidRPr="006D41FB">
              <w:rPr>
                <w:color w:val="FF0000"/>
                <w:sz w:val="18"/>
                <w:szCs w:val="18"/>
              </w:rPr>
              <w:t>Totale</w:t>
            </w:r>
          </w:p>
        </w:tc>
      </w:tr>
      <w:tr w14:paraId="703FEA18" w14:textId="77777777">
        <w:tblPrEx>
          <w:tblW w:w="0" w:type="auto"/>
          <w:tblLook w:val="04A0"/>
        </w:tblPrEx>
        <w:tc>
          <w:tcPr>
            <w:tcW w:w="0" w:type="auto"/>
            <w:vAlign w:val="center"/>
            <w:hideMark/>
          </w:tcPr>
          <w:p w:rsidR="001F0459" w:rsidRPr="006D41FB" w14:paraId="182788F3" w14:textId="77777777">
            <w:pPr>
              <w:rPr>
                <w:color w:val="FF0000"/>
                <w:sz w:val="18"/>
                <w:szCs w:val="18"/>
              </w:rPr>
            </w:pPr>
            <w:r w:rsidRPr="006D41FB">
              <w:rPr>
                <w:b/>
                <w:bCs/>
                <w:color w:val="FF0000"/>
                <w:sz w:val="18"/>
                <w:szCs w:val="18"/>
              </w:rPr>
              <w:t>Importo da realizzare nell’anno</w:t>
            </w:r>
          </w:p>
        </w:tc>
        <w:tc>
          <w:tcPr>
            <w:tcW w:w="0" w:type="auto"/>
            <w:vAlign w:val="center"/>
            <w:hideMark/>
          </w:tcPr>
          <w:p w:rsidR="001F0459" w:rsidRPr="006D41FB" w14:paraId="3FBD86A7" w14:textId="77777777">
            <w:pPr>
              <w:jc w:val="right"/>
              <w:rPr>
                <w:color w:val="FF0000"/>
                <w:sz w:val="18"/>
                <w:szCs w:val="18"/>
              </w:rPr>
            </w:pPr>
            <w:r w:rsidRPr="006D41FB">
              <w:rPr>
                <w:color w:val="FF0000"/>
                <w:sz w:val="18"/>
                <w:szCs w:val="18"/>
              </w:rPr>
              <w:t>-   € </w:t>
            </w:r>
          </w:p>
        </w:tc>
        <w:tc>
          <w:tcPr>
            <w:tcW w:w="0" w:type="auto"/>
            <w:vAlign w:val="center"/>
            <w:hideMark/>
          </w:tcPr>
          <w:p w:rsidR="001F0459" w:rsidRPr="006D41FB" w14:paraId="64E38D3B" w14:textId="77777777">
            <w:pPr>
              <w:jc w:val="right"/>
              <w:rPr>
                <w:color w:val="FF0000"/>
                <w:sz w:val="18"/>
                <w:szCs w:val="18"/>
              </w:rPr>
            </w:pPr>
            <w:r w:rsidRPr="006D41FB">
              <w:rPr>
                <w:color w:val="FF0000"/>
                <w:sz w:val="18"/>
                <w:szCs w:val="18"/>
              </w:rPr>
              <w:t>-   € </w:t>
            </w:r>
          </w:p>
        </w:tc>
        <w:tc>
          <w:tcPr>
            <w:tcW w:w="0" w:type="auto"/>
            <w:vAlign w:val="center"/>
            <w:hideMark/>
          </w:tcPr>
          <w:p w:rsidR="001F0459" w:rsidRPr="006D41FB" w14:paraId="08AE051A" w14:textId="77777777">
            <w:pPr>
              <w:jc w:val="right"/>
              <w:rPr>
                <w:color w:val="FF0000"/>
                <w:sz w:val="18"/>
                <w:szCs w:val="18"/>
              </w:rPr>
            </w:pPr>
            <w:r w:rsidRPr="006D41FB">
              <w:rPr>
                <w:color w:val="FF0000"/>
                <w:sz w:val="18"/>
                <w:szCs w:val="18"/>
              </w:rPr>
              <w:t>-   € </w:t>
            </w:r>
          </w:p>
        </w:tc>
        <w:tc>
          <w:tcPr>
            <w:tcW w:w="0" w:type="auto"/>
            <w:vAlign w:val="center"/>
            <w:hideMark/>
          </w:tcPr>
          <w:p w:rsidR="001F0459" w:rsidRPr="006D41FB" w14:paraId="170662CE" w14:textId="77777777">
            <w:pPr>
              <w:jc w:val="right"/>
              <w:rPr>
                <w:color w:val="FF0000"/>
                <w:sz w:val="18"/>
                <w:szCs w:val="18"/>
              </w:rPr>
            </w:pPr>
            <w:r w:rsidRPr="006D41FB">
              <w:rPr>
                <w:color w:val="FF0000"/>
                <w:sz w:val="18"/>
                <w:szCs w:val="18"/>
              </w:rPr>
              <w:t>-   € </w:t>
            </w:r>
          </w:p>
        </w:tc>
        <w:tc>
          <w:tcPr>
            <w:tcW w:w="0" w:type="auto"/>
            <w:vAlign w:val="center"/>
            <w:hideMark/>
          </w:tcPr>
          <w:p w:rsidR="001F0459" w:rsidRPr="006D41FB" w14:paraId="6B0940B1" w14:textId="77777777">
            <w:pPr>
              <w:jc w:val="right"/>
              <w:rPr>
                <w:color w:val="FF0000"/>
                <w:sz w:val="18"/>
                <w:szCs w:val="18"/>
              </w:rPr>
            </w:pPr>
            <w:r w:rsidRPr="006D41FB">
              <w:rPr>
                <w:color w:val="FF0000"/>
                <w:sz w:val="18"/>
                <w:szCs w:val="18"/>
              </w:rPr>
              <w:t>8.743.434,40 € </w:t>
            </w:r>
          </w:p>
        </w:tc>
        <w:tc>
          <w:tcPr>
            <w:tcW w:w="0" w:type="auto"/>
            <w:vAlign w:val="center"/>
            <w:hideMark/>
          </w:tcPr>
          <w:p w:rsidR="001F0459" w:rsidRPr="006D41FB" w14:paraId="5D03A78E" w14:textId="77777777">
            <w:pPr>
              <w:jc w:val="right"/>
              <w:rPr>
                <w:color w:val="FF0000"/>
                <w:sz w:val="18"/>
                <w:szCs w:val="18"/>
              </w:rPr>
            </w:pPr>
            <w:r w:rsidRPr="006D41FB">
              <w:rPr>
                <w:color w:val="FF0000"/>
                <w:sz w:val="18"/>
                <w:szCs w:val="18"/>
              </w:rPr>
              <w:t>8.743.434,40 €</w:t>
            </w:r>
          </w:p>
        </w:tc>
      </w:tr>
      <w:tr w14:paraId="45684560" w14:textId="77777777">
        <w:tblPrEx>
          <w:tblW w:w="0" w:type="auto"/>
          <w:tblLook w:val="04A0"/>
        </w:tblPrEx>
        <w:tc>
          <w:tcPr>
            <w:tcW w:w="0" w:type="auto"/>
            <w:vAlign w:val="center"/>
            <w:hideMark/>
          </w:tcPr>
          <w:p w:rsidR="001F0459" w:rsidRPr="006D41FB" w14:paraId="5F04900E" w14:textId="77777777">
            <w:pPr>
              <w:rPr>
                <w:color w:val="FF0000"/>
                <w:sz w:val="18"/>
                <w:szCs w:val="18"/>
              </w:rPr>
            </w:pPr>
            <w:r w:rsidRPr="006D41FB">
              <w:rPr>
                <w:b/>
                <w:bCs/>
                <w:color w:val="FF0000"/>
                <w:sz w:val="18"/>
                <w:szCs w:val="18"/>
              </w:rPr>
              <w:t>Importo realizzato nell’anno</w:t>
            </w:r>
          </w:p>
        </w:tc>
        <w:tc>
          <w:tcPr>
            <w:tcW w:w="0" w:type="auto"/>
            <w:vAlign w:val="center"/>
            <w:hideMark/>
          </w:tcPr>
          <w:p w:rsidR="001F0459" w:rsidRPr="006D41FB" w14:paraId="4D17544F" w14:textId="77777777">
            <w:pPr>
              <w:jc w:val="right"/>
              <w:rPr>
                <w:color w:val="FF0000"/>
                <w:sz w:val="18"/>
                <w:szCs w:val="18"/>
              </w:rPr>
            </w:pPr>
            <w:r w:rsidRPr="006D41FB">
              <w:rPr>
                <w:color w:val="FF0000"/>
                <w:sz w:val="18"/>
                <w:szCs w:val="18"/>
              </w:rPr>
              <w:t>32.391,30 € </w:t>
            </w:r>
          </w:p>
        </w:tc>
        <w:tc>
          <w:tcPr>
            <w:tcW w:w="0" w:type="auto"/>
            <w:vAlign w:val="center"/>
            <w:hideMark/>
          </w:tcPr>
          <w:p w:rsidR="001F0459" w:rsidRPr="006D41FB" w14:paraId="130A31C5" w14:textId="77777777">
            <w:pPr>
              <w:jc w:val="right"/>
              <w:rPr>
                <w:color w:val="FF0000"/>
                <w:sz w:val="18"/>
                <w:szCs w:val="18"/>
              </w:rPr>
            </w:pPr>
            <w:r w:rsidRPr="006D41FB">
              <w:rPr>
                <w:color w:val="FF0000"/>
                <w:sz w:val="18"/>
                <w:szCs w:val="18"/>
              </w:rPr>
              <w:t>34.392,65 €  </w:t>
            </w:r>
          </w:p>
        </w:tc>
        <w:tc>
          <w:tcPr>
            <w:tcW w:w="0" w:type="auto"/>
            <w:vAlign w:val="center"/>
            <w:hideMark/>
          </w:tcPr>
          <w:p w:rsidR="001F0459" w:rsidRPr="006D41FB" w14:paraId="09240898" w14:textId="77777777">
            <w:pPr>
              <w:jc w:val="right"/>
              <w:rPr>
                <w:color w:val="FF0000"/>
                <w:sz w:val="18"/>
                <w:szCs w:val="18"/>
              </w:rPr>
            </w:pPr>
            <w:r w:rsidRPr="006D41FB">
              <w:rPr>
                <w:color w:val="FF0000"/>
                <w:sz w:val="18"/>
                <w:szCs w:val="18"/>
              </w:rPr>
              <w:t>3.410.007,98 € </w:t>
            </w:r>
          </w:p>
        </w:tc>
        <w:tc>
          <w:tcPr>
            <w:tcW w:w="0" w:type="auto"/>
            <w:vAlign w:val="center"/>
            <w:hideMark/>
          </w:tcPr>
          <w:p w:rsidR="001F0459" w:rsidRPr="006D41FB" w14:paraId="466A6145" w14:textId="77777777">
            <w:pPr>
              <w:jc w:val="right"/>
              <w:rPr>
                <w:color w:val="FF0000"/>
                <w:sz w:val="18"/>
                <w:szCs w:val="18"/>
              </w:rPr>
            </w:pPr>
            <w:r w:rsidRPr="006D41FB">
              <w:rPr>
                <w:color w:val="FF0000"/>
                <w:sz w:val="18"/>
                <w:szCs w:val="18"/>
              </w:rPr>
              <w:t>3.887.561,80 € </w:t>
            </w:r>
          </w:p>
        </w:tc>
        <w:tc>
          <w:tcPr>
            <w:tcW w:w="0" w:type="auto"/>
            <w:vAlign w:val="center"/>
            <w:hideMark/>
          </w:tcPr>
          <w:p w:rsidR="001F0459" w:rsidRPr="006D41FB" w14:paraId="7A227ACA" w14:textId="77777777">
            <w:pPr>
              <w:jc w:val="right"/>
              <w:rPr>
                <w:color w:val="FF0000"/>
                <w:sz w:val="18"/>
                <w:szCs w:val="18"/>
              </w:rPr>
            </w:pPr>
            <w:r w:rsidRPr="006D41FB">
              <w:rPr>
                <w:color w:val="FF0000"/>
                <w:sz w:val="18"/>
                <w:szCs w:val="18"/>
              </w:rPr>
              <w:t>-   € </w:t>
            </w:r>
          </w:p>
        </w:tc>
        <w:tc>
          <w:tcPr>
            <w:tcW w:w="0" w:type="auto"/>
            <w:vAlign w:val="center"/>
            <w:hideMark/>
          </w:tcPr>
          <w:p w:rsidR="001F0459" w:rsidRPr="006D41FB" w14:paraId="17CD98B6" w14:textId="77777777">
            <w:pPr>
              <w:jc w:val="right"/>
              <w:rPr>
                <w:color w:val="FF0000"/>
                <w:sz w:val="18"/>
                <w:szCs w:val="18"/>
              </w:rPr>
            </w:pPr>
            <w:r w:rsidRPr="006D41FB">
              <w:rPr>
                <w:color w:val="FF0000"/>
                <w:sz w:val="18"/>
                <w:szCs w:val="18"/>
              </w:rPr>
              <w:t>7.364.353,73 € </w:t>
            </w:r>
          </w:p>
        </w:tc>
      </w:tr>
      <w:tr w14:paraId="475B7FEC" w14:textId="77777777">
        <w:tblPrEx>
          <w:tblW w:w="0" w:type="auto"/>
          <w:tblLook w:val="04A0"/>
        </w:tblPrEx>
        <w:tc>
          <w:tcPr>
            <w:tcW w:w="0" w:type="auto"/>
            <w:vAlign w:val="center"/>
            <w:hideMark/>
          </w:tcPr>
          <w:p w:rsidR="001F0459" w:rsidRPr="006D41FB" w14:paraId="4C3A43C0" w14:textId="77777777">
            <w:pPr>
              <w:rPr>
                <w:color w:val="FF0000"/>
                <w:sz w:val="18"/>
                <w:szCs w:val="18"/>
              </w:rPr>
            </w:pPr>
            <w:r w:rsidRPr="006D41FB">
              <w:rPr>
                <w:color w:val="FF0000"/>
                <w:sz w:val="18"/>
                <w:szCs w:val="18"/>
              </w:rPr>
              <w:t> </w:t>
            </w:r>
          </w:p>
        </w:tc>
        <w:tc>
          <w:tcPr>
            <w:tcW w:w="0" w:type="auto"/>
            <w:vAlign w:val="center"/>
            <w:hideMark/>
          </w:tcPr>
          <w:p w:rsidR="001F0459" w:rsidRPr="006D41FB" w14:paraId="7245E85A" w14:textId="77777777">
            <w:pPr>
              <w:jc w:val="right"/>
              <w:rPr>
                <w:color w:val="FF0000"/>
                <w:sz w:val="18"/>
                <w:szCs w:val="18"/>
              </w:rPr>
            </w:pPr>
            <w:r w:rsidRPr="006D41FB">
              <w:rPr>
                <w:color w:val="FF0000"/>
                <w:sz w:val="18"/>
                <w:szCs w:val="18"/>
              </w:rPr>
              <w:t> </w:t>
            </w:r>
          </w:p>
        </w:tc>
        <w:tc>
          <w:tcPr>
            <w:tcW w:w="0" w:type="auto"/>
            <w:vAlign w:val="center"/>
            <w:hideMark/>
          </w:tcPr>
          <w:p w:rsidR="001F0459" w:rsidRPr="006D41FB" w14:paraId="7EEFA919" w14:textId="77777777">
            <w:pPr>
              <w:jc w:val="right"/>
              <w:rPr>
                <w:color w:val="FF0000"/>
                <w:sz w:val="18"/>
                <w:szCs w:val="18"/>
              </w:rPr>
            </w:pPr>
            <w:r w:rsidRPr="006D41FB">
              <w:rPr>
                <w:color w:val="FF0000"/>
                <w:sz w:val="18"/>
                <w:szCs w:val="18"/>
              </w:rPr>
              <w:t> </w:t>
            </w:r>
          </w:p>
        </w:tc>
        <w:tc>
          <w:tcPr>
            <w:tcW w:w="0" w:type="auto"/>
            <w:vAlign w:val="center"/>
            <w:hideMark/>
          </w:tcPr>
          <w:p w:rsidR="001F0459" w:rsidRPr="006D41FB" w14:paraId="4B370D35" w14:textId="77777777">
            <w:pPr>
              <w:jc w:val="right"/>
              <w:rPr>
                <w:color w:val="FF0000"/>
                <w:sz w:val="18"/>
                <w:szCs w:val="18"/>
              </w:rPr>
            </w:pPr>
            <w:r w:rsidRPr="006D41FB">
              <w:rPr>
                <w:color w:val="FF0000"/>
                <w:sz w:val="18"/>
                <w:szCs w:val="18"/>
              </w:rPr>
              <w:t> </w:t>
            </w:r>
          </w:p>
        </w:tc>
        <w:tc>
          <w:tcPr>
            <w:tcW w:w="0" w:type="auto"/>
            <w:vAlign w:val="center"/>
            <w:hideMark/>
          </w:tcPr>
          <w:p w:rsidR="001F0459" w:rsidRPr="006D41FB" w14:paraId="1A027E1A" w14:textId="77777777">
            <w:pPr>
              <w:jc w:val="right"/>
              <w:rPr>
                <w:color w:val="FF0000"/>
                <w:sz w:val="18"/>
                <w:szCs w:val="18"/>
              </w:rPr>
            </w:pPr>
            <w:r w:rsidRPr="006D41FB">
              <w:rPr>
                <w:color w:val="FF0000"/>
                <w:sz w:val="18"/>
                <w:szCs w:val="18"/>
              </w:rPr>
              <w:t> </w:t>
            </w:r>
          </w:p>
        </w:tc>
        <w:tc>
          <w:tcPr>
            <w:tcW w:w="0" w:type="auto"/>
            <w:vAlign w:val="center"/>
            <w:hideMark/>
          </w:tcPr>
          <w:p w:rsidR="001F0459" w:rsidRPr="006D41FB" w14:paraId="6CAC68BC" w14:textId="77777777">
            <w:pPr>
              <w:jc w:val="right"/>
              <w:rPr>
                <w:color w:val="FF0000"/>
                <w:sz w:val="18"/>
                <w:szCs w:val="18"/>
              </w:rPr>
            </w:pPr>
            <w:r w:rsidRPr="006D41FB">
              <w:rPr>
                <w:color w:val="FF0000"/>
                <w:sz w:val="18"/>
                <w:szCs w:val="18"/>
              </w:rPr>
              <w:t> </w:t>
            </w:r>
          </w:p>
        </w:tc>
        <w:tc>
          <w:tcPr>
            <w:tcW w:w="0" w:type="auto"/>
            <w:vAlign w:val="center"/>
            <w:hideMark/>
          </w:tcPr>
          <w:p w:rsidR="001F0459" w:rsidRPr="006D41FB" w14:paraId="2D3AE477" w14:textId="77777777">
            <w:pPr>
              <w:jc w:val="right"/>
              <w:rPr>
                <w:color w:val="FF0000"/>
                <w:sz w:val="18"/>
                <w:szCs w:val="18"/>
              </w:rPr>
            </w:pPr>
            <w:r w:rsidRPr="006D41FB">
              <w:rPr>
                <w:color w:val="FF0000"/>
                <w:sz w:val="18"/>
                <w:szCs w:val="18"/>
              </w:rPr>
              <w:t>16.107.788,13 € </w:t>
            </w:r>
          </w:p>
        </w:tc>
      </w:tr>
    </w:tbl>
    <w:p w:rsidR="0089799A" w:rsidRPr="006D41FB" w:rsidP="0029103C" w14:paraId="268D4079" w14:textId="66FF07E1">
      <w:pPr>
        <w:jc w:val="center"/>
        <w:rPr>
          <w:b/>
          <w:color w:val="FF0000"/>
        </w:rPr>
      </w:pPr>
      <w:r w:rsidRPr="006D41FB">
        <w:rPr>
          <w:b/>
          <w:bCs/>
          <w:color w:val="FF0000"/>
        </w:rPr>
        <w:t>QUADRO ECONOMICO</w:t>
      </w:r>
    </w:p>
    <w:tbl>
      <w:tblPr>
        <w:tblW w:w="9589"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963"/>
        <w:gridCol w:w="2626"/>
      </w:tblGrid>
      <w:tr w14:paraId="221E5084" w14:textId="77777777">
        <w:tblPrEx>
          <w:tblW w:w="9589" w:type="dxa"/>
          <w:tblLook w:val="04A0"/>
        </w:tblPrEx>
        <w:trPr>
          <w:trHeight w:val="224"/>
        </w:trPr>
        <w:tc>
          <w:tcPr>
            <w:tcW w:w="0" w:type="auto"/>
            <w:vAlign w:val="center"/>
            <w:hideMark/>
          </w:tcPr>
          <w:p w:rsidR="0089799A" w:rsidRPr="006D41FB" w14:paraId="13EF1BF4" w14:textId="77777777">
            <w:pPr>
              <w:rPr>
                <w:color w:val="FF0000"/>
                <w:sz w:val="18"/>
                <w:szCs w:val="18"/>
              </w:rPr>
            </w:pPr>
            <w:r w:rsidRPr="006D41FB">
              <w:rPr>
                <w:b/>
                <w:bCs/>
                <w:color w:val="FF0000"/>
                <w:sz w:val="18"/>
                <w:szCs w:val="18"/>
              </w:rPr>
              <w:t>Tipologia voce spesa</w:t>
            </w:r>
          </w:p>
        </w:tc>
        <w:tc>
          <w:tcPr>
            <w:tcW w:w="0" w:type="auto"/>
            <w:vAlign w:val="center"/>
            <w:hideMark/>
          </w:tcPr>
          <w:p w:rsidR="0089799A" w:rsidRPr="006D41FB" w14:paraId="571029BE" w14:textId="77777777">
            <w:pPr>
              <w:rPr>
                <w:color w:val="FF0000"/>
                <w:sz w:val="18"/>
                <w:szCs w:val="18"/>
              </w:rPr>
            </w:pPr>
            <w:r w:rsidRPr="006D41FB">
              <w:rPr>
                <w:b/>
                <w:bCs/>
                <w:color w:val="FF0000"/>
                <w:sz w:val="18"/>
                <w:szCs w:val="18"/>
              </w:rPr>
              <w:t>Importo</w:t>
            </w:r>
          </w:p>
        </w:tc>
      </w:tr>
      <w:tr w14:paraId="40A30DA1" w14:textId="77777777">
        <w:tblPrEx>
          <w:tblW w:w="9589" w:type="dxa"/>
          <w:tblLook w:val="04A0"/>
        </w:tblPrEx>
        <w:trPr>
          <w:trHeight w:val="236"/>
        </w:trPr>
        <w:tc>
          <w:tcPr>
            <w:tcW w:w="0" w:type="auto"/>
            <w:vAlign w:val="center"/>
            <w:hideMark/>
          </w:tcPr>
          <w:p w:rsidR="0089799A" w:rsidRPr="006D41FB" w14:paraId="0003A06A" w14:textId="77777777">
            <w:pPr>
              <w:rPr>
                <w:color w:val="FF0000"/>
                <w:sz w:val="18"/>
                <w:szCs w:val="18"/>
              </w:rPr>
            </w:pPr>
            <w:r w:rsidRPr="006D41FB">
              <w:rPr>
                <w:color w:val="FF0000"/>
                <w:sz w:val="18"/>
                <w:szCs w:val="18"/>
              </w:rPr>
              <w:t>LAVORI</w:t>
            </w:r>
          </w:p>
        </w:tc>
        <w:tc>
          <w:tcPr>
            <w:tcW w:w="0" w:type="auto"/>
            <w:vAlign w:val="center"/>
            <w:hideMark/>
          </w:tcPr>
          <w:p w:rsidR="0089799A" w:rsidRPr="006D41FB" w14:paraId="262DA86C" w14:textId="77777777">
            <w:pPr>
              <w:jc w:val="right"/>
              <w:rPr>
                <w:color w:val="FF0000"/>
                <w:sz w:val="18"/>
                <w:szCs w:val="18"/>
              </w:rPr>
            </w:pPr>
            <w:r w:rsidRPr="006D41FB">
              <w:rPr>
                <w:color w:val="FF0000"/>
                <w:sz w:val="18"/>
                <w:szCs w:val="18"/>
              </w:rPr>
              <w:t>10.338.161,91 €</w:t>
            </w:r>
          </w:p>
        </w:tc>
      </w:tr>
      <w:tr w14:paraId="5766C068" w14:textId="77777777">
        <w:tblPrEx>
          <w:tblW w:w="9589" w:type="dxa"/>
          <w:tblLook w:val="04A0"/>
        </w:tblPrEx>
        <w:trPr>
          <w:trHeight w:val="236"/>
        </w:trPr>
        <w:tc>
          <w:tcPr>
            <w:tcW w:w="0" w:type="auto"/>
            <w:vAlign w:val="center"/>
            <w:hideMark/>
          </w:tcPr>
          <w:p w:rsidR="0089799A" w:rsidRPr="006D41FB" w14:paraId="4A4EAB59" w14:textId="77777777">
            <w:pPr>
              <w:rPr>
                <w:color w:val="FF0000"/>
                <w:sz w:val="18"/>
                <w:szCs w:val="18"/>
              </w:rPr>
            </w:pPr>
            <w:r w:rsidRPr="006D41FB">
              <w:rPr>
                <w:color w:val="FF0000"/>
                <w:sz w:val="18"/>
                <w:szCs w:val="18"/>
              </w:rPr>
              <w:t>IVA SU LAVORI E ONERI DI SICUREZZA</w:t>
            </w:r>
          </w:p>
        </w:tc>
        <w:tc>
          <w:tcPr>
            <w:tcW w:w="0" w:type="auto"/>
            <w:vAlign w:val="center"/>
            <w:hideMark/>
          </w:tcPr>
          <w:p w:rsidR="0089799A" w:rsidRPr="006D41FB" w14:paraId="47104CFF" w14:textId="77777777">
            <w:pPr>
              <w:jc w:val="right"/>
              <w:rPr>
                <w:color w:val="FF0000"/>
                <w:sz w:val="18"/>
                <w:szCs w:val="18"/>
              </w:rPr>
            </w:pPr>
            <w:r w:rsidRPr="006D41FB">
              <w:rPr>
                <w:color w:val="FF0000"/>
                <w:sz w:val="18"/>
                <w:szCs w:val="18"/>
              </w:rPr>
              <w:t>2.274.395,62 €</w:t>
            </w:r>
          </w:p>
        </w:tc>
      </w:tr>
      <w:tr w14:paraId="0FC73FEC" w14:textId="77777777">
        <w:tblPrEx>
          <w:tblW w:w="9589" w:type="dxa"/>
          <w:tblLook w:val="04A0"/>
        </w:tblPrEx>
        <w:trPr>
          <w:trHeight w:val="224"/>
        </w:trPr>
        <w:tc>
          <w:tcPr>
            <w:tcW w:w="0" w:type="auto"/>
            <w:vAlign w:val="center"/>
            <w:hideMark/>
          </w:tcPr>
          <w:p w:rsidR="0089799A" w:rsidRPr="006D41FB" w14:paraId="1BF03398" w14:textId="77777777">
            <w:pPr>
              <w:rPr>
                <w:color w:val="FF0000"/>
                <w:sz w:val="18"/>
                <w:szCs w:val="18"/>
              </w:rPr>
            </w:pPr>
            <w:r w:rsidRPr="006D41FB">
              <w:rPr>
                <w:color w:val="FF0000"/>
                <w:sz w:val="18"/>
                <w:szCs w:val="18"/>
              </w:rPr>
              <w:t>PROGETTAZIONE E STUDI</w:t>
            </w:r>
          </w:p>
        </w:tc>
        <w:tc>
          <w:tcPr>
            <w:tcW w:w="0" w:type="auto"/>
            <w:vAlign w:val="center"/>
            <w:hideMark/>
          </w:tcPr>
          <w:p w:rsidR="0089799A" w:rsidRPr="006D41FB" w14:paraId="68F81194" w14:textId="77777777">
            <w:pPr>
              <w:jc w:val="right"/>
              <w:rPr>
                <w:color w:val="FF0000"/>
                <w:sz w:val="18"/>
                <w:szCs w:val="18"/>
              </w:rPr>
            </w:pPr>
            <w:r w:rsidRPr="006D41FB">
              <w:rPr>
                <w:color w:val="FF0000"/>
                <w:sz w:val="18"/>
                <w:szCs w:val="18"/>
              </w:rPr>
              <w:t>388.989,56 €</w:t>
            </w:r>
          </w:p>
        </w:tc>
      </w:tr>
      <w:tr w14:paraId="57EEA93E" w14:textId="77777777">
        <w:tblPrEx>
          <w:tblW w:w="9589" w:type="dxa"/>
          <w:tblLook w:val="04A0"/>
        </w:tblPrEx>
        <w:trPr>
          <w:trHeight w:val="236"/>
        </w:trPr>
        <w:tc>
          <w:tcPr>
            <w:tcW w:w="0" w:type="auto"/>
            <w:vAlign w:val="center"/>
            <w:hideMark/>
          </w:tcPr>
          <w:p w:rsidR="0089799A" w:rsidRPr="006D41FB" w14:paraId="69EBFC73" w14:textId="77777777">
            <w:pPr>
              <w:rPr>
                <w:color w:val="FF0000"/>
                <w:sz w:val="18"/>
                <w:szCs w:val="18"/>
              </w:rPr>
            </w:pPr>
            <w:r w:rsidRPr="006D41FB">
              <w:rPr>
                <w:color w:val="FF0000"/>
                <w:sz w:val="18"/>
                <w:szCs w:val="18"/>
              </w:rPr>
              <w:t>IMPREVISTI</w:t>
            </w:r>
          </w:p>
        </w:tc>
        <w:tc>
          <w:tcPr>
            <w:tcW w:w="0" w:type="auto"/>
            <w:vAlign w:val="center"/>
            <w:hideMark/>
          </w:tcPr>
          <w:p w:rsidR="0089799A" w:rsidRPr="006D41FB" w14:paraId="1D40BF11" w14:textId="77777777">
            <w:pPr>
              <w:jc w:val="right"/>
              <w:rPr>
                <w:color w:val="FF0000"/>
                <w:sz w:val="18"/>
                <w:szCs w:val="18"/>
              </w:rPr>
            </w:pPr>
            <w:r w:rsidRPr="006D41FB">
              <w:rPr>
                <w:color w:val="FF0000"/>
                <w:sz w:val="18"/>
                <w:szCs w:val="18"/>
              </w:rPr>
              <w:t>259.000,00 €</w:t>
            </w:r>
          </w:p>
        </w:tc>
      </w:tr>
      <w:tr w14:paraId="02C972C9" w14:textId="77777777">
        <w:tblPrEx>
          <w:tblW w:w="9589" w:type="dxa"/>
          <w:tblLook w:val="04A0"/>
        </w:tblPrEx>
        <w:trPr>
          <w:trHeight w:val="236"/>
        </w:trPr>
        <w:tc>
          <w:tcPr>
            <w:tcW w:w="0" w:type="auto"/>
            <w:vAlign w:val="center"/>
            <w:hideMark/>
          </w:tcPr>
          <w:p w:rsidR="0089799A" w:rsidRPr="006D41FB" w14:paraId="79DFA6F5" w14:textId="77777777">
            <w:pPr>
              <w:rPr>
                <w:color w:val="FF0000"/>
                <w:sz w:val="18"/>
                <w:szCs w:val="18"/>
              </w:rPr>
            </w:pPr>
            <w:r w:rsidRPr="006D41FB">
              <w:rPr>
                <w:color w:val="FF0000"/>
                <w:sz w:val="18"/>
                <w:szCs w:val="18"/>
              </w:rPr>
              <w:t>IVA RESIDUA</w:t>
            </w:r>
          </w:p>
        </w:tc>
        <w:tc>
          <w:tcPr>
            <w:tcW w:w="0" w:type="auto"/>
            <w:vAlign w:val="center"/>
            <w:hideMark/>
          </w:tcPr>
          <w:p w:rsidR="0089799A" w:rsidRPr="006D41FB" w14:paraId="1414F360" w14:textId="77777777">
            <w:pPr>
              <w:jc w:val="right"/>
              <w:rPr>
                <w:color w:val="FF0000"/>
                <w:sz w:val="18"/>
                <w:szCs w:val="18"/>
              </w:rPr>
            </w:pPr>
            <w:r w:rsidRPr="006D41FB">
              <w:rPr>
                <w:color w:val="FF0000"/>
                <w:sz w:val="18"/>
                <w:szCs w:val="18"/>
              </w:rPr>
              <w:t>95.451,07 €</w:t>
            </w:r>
          </w:p>
        </w:tc>
      </w:tr>
      <w:tr w14:paraId="0D7A0F59" w14:textId="77777777">
        <w:tblPrEx>
          <w:tblW w:w="9589" w:type="dxa"/>
          <w:tblLook w:val="04A0"/>
        </w:tblPrEx>
        <w:trPr>
          <w:trHeight w:val="224"/>
        </w:trPr>
        <w:tc>
          <w:tcPr>
            <w:tcW w:w="0" w:type="auto"/>
            <w:vAlign w:val="center"/>
            <w:hideMark/>
          </w:tcPr>
          <w:p w:rsidR="0089799A" w:rsidRPr="006D41FB" w14:paraId="05453262" w14:textId="77777777">
            <w:pPr>
              <w:rPr>
                <w:color w:val="FF0000"/>
                <w:sz w:val="18"/>
                <w:szCs w:val="18"/>
              </w:rPr>
            </w:pPr>
            <w:r w:rsidRPr="006D41FB">
              <w:rPr>
                <w:color w:val="FF0000"/>
                <w:sz w:val="18"/>
                <w:szCs w:val="18"/>
              </w:rPr>
              <w:t>ACQUISIZIONE AREE O IMMOBILI</w:t>
            </w:r>
          </w:p>
        </w:tc>
        <w:tc>
          <w:tcPr>
            <w:tcW w:w="0" w:type="auto"/>
            <w:vAlign w:val="center"/>
            <w:hideMark/>
          </w:tcPr>
          <w:p w:rsidR="0089799A" w:rsidRPr="006D41FB" w14:paraId="4AAA9745" w14:textId="77777777">
            <w:pPr>
              <w:jc w:val="right"/>
              <w:rPr>
                <w:color w:val="FF0000"/>
                <w:sz w:val="18"/>
                <w:szCs w:val="18"/>
              </w:rPr>
            </w:pPr>
            <w:r w:rsidRPr="006D41FB">
              <w:rPr>
                <w:color w:val="FF0000"/>
                <w:sz w:val="18"/>
                <w:szCs w:val="18"/>
              </w:rPr>
              <w:t>21.080,00 €</w:t>
            </w:r>
          </w:p>
        </w:tc>
      </w:tr>
      <w:tr w14:paraId="41072EB9" w14:textId="77777777">
        <w:tblPrEx>
          <w:tblW w:w="9589" w:type="dxa"/>
          <w:tblLook w:val="04A0"/>
        </w:tblPrEx>
        <w:trPr>
          <w:trHeight w:val="236"/>
        </w:trPr>
        <w:tc>
          <w:tcPr>
            <w:tcW w:w="0" w:type="auto"/>
            <w:vAlign w:val="center"/>
            <w:hideMark/>
          </w:tcPr>
          <w:p w:rsidR="0089799A" w:rsidRPr="006D41FB" w14:paraId="1EAB72FF" w14:textId="77777777">
            <w:pPr>
              <w:rPr>
                <w:color w:val="FF0000"/>
                <w:sz w:val="18"/>
                <w:szCs w:val="18"/>
              </w:rPr>
            </w:pPr>
            <w:r w:rsidRPr="006D41FB">
              <w:rPr>
                <w:color w:val="FF0000"/>
                <w:sz w:val="18"/>
                <w:szCs w:val="18"/>
              </w:rPr>
              <w:t>ALTRO</w:t>
            </w:r>
          </w:p>
        </w:tc>
        <w:tc>
          <w:tcPr>
            <w:tcW w:w="0" w:type="auto"/>
            <w:vAlign w:val="center"/>
            <w:hideMark/>
          </w:tcPr>
          <w:p w:rsidR="0089799A" w:rsidRPr="006D41FB" w14:paraId="326753D0" w14:textId="77777777">
            <w:pPr>
              <w:jc w:val="right"/>
              <w:rPr>
                <w:color w:val="FF0000"/>
                <w:sz w:val="18"/>
                <w:szCs w:val="18"/>
              </w:rPr>
            </w:pPr>
            <w:r w:rsidRPr="006D41FB">
              <w:rPr>
                <w:color w:val="FF0000"/>
                <w:sz w:val="18"/>
                <w:szCs w:val="18"/>
              </w:rPr>
              <w:t>2.730.709,97 € </w:t>
            </w:r>
          </w:p>
        </w:tc>
      </w:tr>
      <w:tr w14:paraId="092447E7" w14:textId="77777777" w:rsidTr="00CE78B8">
        <w:tblPrEx>
          <w:tblW w:w="9589" w:type="dxa"/>
          <w:tblLook w:val="04A0"/>
        </w:tblPrEx>
        <w:trPr>
          <w:trHeight w:val="20"/>
        </w:trPr>
        <w:tc>
          <w:tcPr>
            <w:tcW w:w="0" w:type="auto"/>
            <w:vAlign w:val="center"/>
            <w:hideMark/>
          </w:tcPr>
          <w:p w:rsidR="0089799A" w:rsidRPr="006D41FB" w14:paraId="4B985915" w14:textId="77777777">
            <w:pPr>
              <w:rPr>
                <w:color w:val="FF0000"/>
                <w:sz w:val="18"/>
                <w:szCs w:val="18"/>
              </w:rPr>
            </w:pPr>
            <w:r w:rsidRPr="006D41FB">
              <w:rPr>
                <w:color w:val="FF0000"/>
                <w:sz w:val="18"/>
                <w:szCs w:val="18"/>
              </w:rPr>
              <w:t> </w:t>
            </w:r>
          </w:p>
        </w:tc>
        <w:tc>
          <w:tcPr>
            <w:tcW w:w="0" w:type="auto"/>
            <w:vAlign w:val="center"/>
            <w:hideMark/>
          </w:tcPr>
          <w:p w:rsidR="0089799A" w:rsidRPr="006D41FB" w14:paraId="2E9E475B" w14:textId="77777777">
            <w:pPr>
              <w:jc w:val="right"/>
              <w:rPr>
                <w:color w:val="FF0000"/>
                <w:sz w:val="18"/>
                <w:szCs w:val="18"/>
              </w:rPr>
            </w:pPr>
            <w:r w:rsidRPr="006D41FB">
              <w:rPr>
                <w:color w:val="FF0000"/>
                <w:sz w:val="18"/>
                <w:szCs w:val="18"/>
              </w:rPr>
              <w:t>16.107.788,13 € </w:t>
            </w:r>
          </w:p>
        </w:tc>
      </w:tr>
    </w:tbl>
    <w:p w:rsidR="00C90D43" w:rsidRPr="006D41FB" w:rsidP="00C90D43" w14:paraId="2693CA35" w14:textId="54737043">
      <w:pPr>
        <w:jc w:val="both"/>
        <w:rPr>
          <w:color w:val="FF0000"/>
        </w:rPr>
      </w:pPr>
      <w:r w:rsidRPr="006D41FB">
        <w:rPr>
          <w:b/>
          <w:bCs/>
          <w:color w:val="FF0000"/>
        </w:rPr>
        <w:t>Descrizione del progetto</w:t>
      </w:r>
      <w:r w:rsidRPr="006D41FB">
        <w:rPr>
          <w:color w:val="FF0000"/>
        </w:rPr>
        <w:t xml:space="preserve">: Il progetto si configura come un recupero e ampliamento di capacità di invaso (recupero della capacità del volume laterale – ampliamento con il volume a fiume) e contestualmente prevede anche un efficientamento di derivazioni idriche esistenti di primaria importanza. In particolare la riqualificazione dell’esistente traversa posta sul torrente Enza in località Cerezzola permette di assicurare il mantenimento ed il miglioramento in via principale dell’attuale derivazione irrigua da acque superficiali verso lo storico Canale ducale d’Enza posto a servizio dei territori di alta pianura del Consorzio di Bonifica Emilia Centrale e del Consorzio di Bonifica Parmense ed in via secondaria per l’idropotabile anche dell’esistente galleria filtrante in subalveo in gestione ad </w:t>
      </w:r>
      <w:r w:rsidRPr="006D41FB">
        <w:rPr>
          <w:color w:val="FF0000"/>
        </w:rPr>
        <w:t>Ireti</w:t>
      </w:r>
      <w:r w:rsidRPr="006D41FB">
        <w:rPr>
          <w:color w:val="FF0000"/>
        </w:rPr>
        <w:t xml:space="preserve"> Società del Gruppo Iren.</w:t>
      </w:r>
    </w:p>
    <w:p w:rsidR="00C90D43" w:rsidRPr="006D41FB" w:rsidP="00C90D43" w14:paraId="0EC10C94" w14:textId="2C3193B8">
      <w:pPr>
        <w:jc w:val="both"/>
        <w:rPr>
          <w:color w:val="FF0000"/>
        </w:rPr>
      </w:pPr>
    </w:p>
    <w:p w:rsidR="0089799A" w:rsidRPr="006D41FB" w:rsidP="00987C41" w14:paraId="6068BC9D" w14:textId="4F9ADDCD">
      <w:pPr>
        <w:spacing w:after="120"/>
        <w:jc w:val="both"/>
        <w:rPr>
          <w:b/>
          <w:color w:val="FF0000"/>
        </w:rPr>
      </w:pPr>
      <w:r w:rsidRPr="006D41FB">
        <w:rPr>
          <w:b/>
          <w:color w:val="FF0000"/>
        </w:rPr>
        <w:t>Le disposizioni di cui ai commi 3 e 4 sono finalizzate a reintegrare le risorse che risultano oggetto di riduzione o rimodulazione nell’ambito dei finanziamenti già assentiti.</w:t>
      </w:r>
    </w:p>
    <w:p w:rsidR="00C652D2" w:rsidRPr="006D41FB" w:rsidP="00C652D2" w14:paraId="520839AB" w14:textId="77777777">
      <w:pPr>
        <w:spacing w:before="120" w:after="120"/>
        <w:jc w:val="both"/>
        <w:rPr>
          <w:color w:val="FF0000"/>
        </w:rPr>
      </w:pPr>
      <w:r w:rsidRPr="006D41FB">
        <w:rPr>
          <w:color w:val="FF0000"/>
        </w:rPr>
        <w:t xml:space="preserve">Al </w:t>
      </w:r>
      <w:r w:rsidRPr="006D41FB">
        <w:rPr>
          <w:b/>
          <w:bCs/>
          <w:color w:val="FF0000"/>
          <w:u w:val="single"/>
        </w:rPr>
        <w:t>comma 5</w:t>
      </w:r>
      <w:r w:rsidRPr="006D41FB">
        <w:rPr>
          <w:color w:val="FF0000"/>
        </w:rPr>
        <w:t xml:space="preserve"> si prevede che gli interventi di cui al comma 4 sono contestualmente definanziati dall’Investimento 4.1 «Investimenti in infrastrutture idriche primarie per la sicurezza dell'approvvigionamento idrico» della Missione 2, Componente 4, del PNRR.</w:t>
      </w:r>
      <w:r w:rsidRPr="006D41FB">
        <w:rPr>
          <w:color w:val="FF0000"/>
        </w:rPr>
        <w:t xml:space="preserve"> </w:t>
      </w:r>
    </w:p>
    <w:p w:rsidR="00C652D2" w:rsidRPr="006D41FB" w:rsidP="00C652D2" w14:paraId="58B281D2" w14:textId="390F8C04">
      <w:pPr>
        <w:spacing w:before="120" w:after="120"/>
        <w:jc w:val="both"/>
        <w:rPr>
          <w:color w:val="FF0000"/>
        </w:rPr>
      </w:pPr>
      <w:r w:rsidRPr="006D41FB">
        <w:rPr>
          <w:color w:val="FF0000"/>
        </w:rPr>
        <w:t xml:space="preserve">Al </w:t>
      </w:r>
      <w:r w:rsidRPr="006D41FB">
        <w:rPr>
          <w:color w:val="FF0000"/>
          <w:u w:val="single"/>
        </w:rPr>
        <w:t>comma 6</w:t>
      </w:r>
      <w:r w:rsidRPr="006D41FB">
        <w:rPr>
          <w:color w:val="FF0000"/>
        </w:rPr>
        <w:t xml:space="preserve">, si prevede che entro il 30 aprile 2026 le risorse nella disponibilità </w:t>
      </w:r>
      <w:r w:rsidRPr="006D41FB" w:rsidR="008B1417">
        <w:rPr>
          <w:color w:val="FF0000"/>
        </w:rPr>
        <w:t>di</w:t>
      </w:r>
      <w:r w:rsidRPr="006D41FB">
        <w:rPr>
          <w:color w:val="FF0000"/>
        </w:rPr>
        <w:t xml:space="preserve"> INVITALIA, assegnate ai sensi dell'articolo 1, comma 613, della legge 11 dicembre 2016, n. 232, siano versate all'entrata del bilancio dello Stato per un importo pari a euro 39.848.621,45 per essere riassegnate allo Strumento finanziario di cui trattasi. Tali risorse concorreranno alla quota delle risorse dello Strumento ascrivibile </w:t>
      </w:r>
      <w:r w:rsidRPr="006D41FB">
        <w:rPr>
          <w:color w:val="FF0000"/>
          <w:u w:val="single"/>
        </w:rPr>
        <w:t>al comma 2, lettera b)</w:t>
      </w:r>
      <w:r w:rsidRPr="006D41FB">
        <w:rPr>
          <w:color w:val="FF0000"/>
        </w:rPr>
        <w:t xml:space="preserve">, e, pertanto, a mente del precedente comma 4, saranno prioritariamente destinate al finanziamento dei </w:t>
      </w:r>
      <w:r w:rsidRPr="006D41FB">
        <w:rPr>
          <w:color w:val="FF0000"/>
        </w:rPr>
        <w:t>predetti</w:t>
      </w:r>
      <w:r w:rsidRPr="006D41FB">
        <w:rPr>
          <w:color w:val="FF0000"/>
        </w:rPr>
        <w:t xml:space="preserve"> interventi di adeguamento e messa in sicurezza della cassa di laminazione del fiume Secchia e di recupero di bacini di ex cava in destra idraulica del F. Marecchia.</w:t>
      </w:r>
    </w:p>
    <w:p w:rsidR="001D151D" w:rsidRPr="006D41FB" w:rsidP="001D151D" w14:paraId="3D01ECB3" w14:textId="20332EE5">
      <w:pPr>
        <w:spacing w:after="120"/>
        <w:jc w:val="both"/>
        <w:rPr>
          <w:color w:val="FF0000"/>
        </w:rPr>
      </w:pPr>
      <w:r w:rsidRPr="006D41FB">
        <w:rPr>
          <w:color w:val="FF0000"/>
        </w:rPr>
        <w:t>Il</w:t>
      </w:r>
      <w:r w:rsidRPr="006D41FB">
        <w:rPr>
          <w:b/>
          <w:bCs/>
          <w:color w:val="FF0000"/>
        </w:rPr>
        <w:t xml:space="preserve"> </w:t>
      </w:r>
      <w:r w:rsidRPr="006D41FB">
        <w:rPr>
          <w:b/>
          <w:bCs/>
          <w:color w:val="FF0000"/>
          <w:u w:val="single"/>
        </w:rPr>
        <w:t>comma 7</w:t>
      </w:r>
      <w:r w:rsidRPr="006D41FB">
        <w:rPr>
          <w:b/>
          <w:bCs/>
          <w:color w:val="FF0000"/>
        </w:rPr>
        <w:t xml:space="preserve"> </w:t>
      </w:r>
      <w:r w:rsidRPr="006D41FB">
        <w:rPr>
          <w:color w:val="FF0000"/>
        </w:rPr>
        <w:t>specifica le finalità a regime dello Strumento finanziario di cui trattasi, prevedendo che le risorse ascrivibili al comma 2, lettera a), ovverosia quelle a valere su risorse PNRR, sono finalizzate al riconoscimento, anche a titolo di cofinanziamento, di contributi a fondo perduto, di contributi in conto interessi, ovvero mediante la partecipazione in fondi rotativi o altri strumenti finanziari destinati al cofinanziamento di interventi infrastrutturali nel settore idrico, purché ricompresi nel PNIISSI. Prevede inoltre l’estensione anche ai gestori del servizio idrico - accreditati all’anagrafica operatori di cui all’articolo 5 della delibera 347/2012/R/IDR dell’Autorità di Regolazione per Energia Reti e Ambiente (ARERA), ivi inclusi quelli operanti nei territori delle Province autonome di Trento e Bolzano, della possibilità di accedere ai contributi dello Strumento di cui al comma 1.</w:t>
      </w:r>
    </w:p>
    <w:p w:rsidR="00475F8B" w:rsidRPr="007F681B" w:rsidP="00475F8B" w14:paraId="0B9E4752" w14:textId="77777777">
      <w:pPr>
        <w:spacing w:before="120" w:after="120"/>
        <w:jc w:val="both"/>
      </w:pPr>
      <w:r w:rsidRPr="294F290F">
        <w:t xml:space="preserve">Il </w:t>
      </w:r>
      <w:r w:rsidRPr="5B95874A">
        <w:rPr>
          <w:b/>
          <w:u w:val="single"/>
        </w:rPr>
        <w:t xml:space="preserve">comma </w:t>
      </w:r>
      <w:r>
        <w:rPr>
          <w:b/>
          <w:u w:val="single"/>
        </w:rPr>
        <w:t>8</w:t>
      </w:r>
      <w:r w:rsidRPr="294F290F">
        <w:t xml:space="preserve"> stabilisce che</w:t>
      </w:r>
      <w:r>
        <w:t>,</w:t>
      </w:r>
      <w:r w:rsidRPr="294F290F">
        <w:t xml:space="preserve"> per l’attuazione delle attività </w:t>
      </w:r>
      <w:r>
        <w:t>di cui al presenta articolo,</w:t>
      </w:r>
      <w:r w:rsidRPr="294F290F">
        <w:t xml:space="preserve"> il</w:t>
      </w:r>
      <w:r>
        <w:t xml:space="preserve"> </w:t>
      </w:r>
      <w:r w:rsidRPr="004F5BCB">
        <w:t>Ministero delle infrastrutture e dei trasporti</w:t>
      </w:r>
      <w:r w:rsidRPr="294F290F">
        <w:t xml:space="preserve"> </w:t>
      </w:r>
      <w:r>
        <w:t xml:space="preserve">si avvale, </w:t>
      </w:r>
      <w:r w:rsidRPr="459AA315">
        <w:rPr>
          <w:color w:val="000000" w:themeColor="text1"/>
        </w:rPr>
        <w:t>mediante apposito atto convenzionale e in coerenza con le previsioni del PNRR, dell’Agenzia nazionale per l’attrazione degli investimenti e lo sviluppo d’impresa S.p.A. - INVITALIA S.p.A.</w:t>
      </w:r>
      <w:r>
        <w:t xml:space="preserve"> </w:t>
      </w:r>
      <w:r w:rsidRPr="007F681B">
        <w:t xml:space="preserve">Si prevede inoltre che, con la medesima convenzione sono definiti le modalità di accesso e i criteri di valutazione dei progetti di cui al comma 7, individuati tra gli interventi ricompresi nel Piano di cui all’articolo 1, comma 516, della legge 205 del 2017 e finanziati a valere sulle risorse di cui al comma 2, lettera </w:t>
      </w:r>
      <w:r w:rsidRPr="007F681B">
        <w:rPr>
          <w:i/>
          <w:iCs/>
        </w:rPr>
        <w:t>a</w:t>
      </w:r>
      <w:r w:rsidRPr="007F681B">
        <w:t>).</w:t>
      </w:r>
    </w:p>
    <w:p w:rsidR="00475F8B" w:rsidP="00475F8B" w14:paraId="5222C5DE" w14:textId="2A410D36">
      <w:pPr>
        <w:spacing w:before="120" w:after="120"/>
        <w:jc w:val="both"/>
      </w:pPr>
      <w:r w:rsidRPr="294F290F">
        <w:t xml:space="preserve">Il </w:t>
      </w:r>
      <w:r w:rsidRPr="5B95874A">
        <w:rPr>
          <w:b/>
          <w:u w:val="single"/>
        </w:rPr>
        <w:t xml:space="preserve">comma </w:t>
      </w:r>
      <w:r>
        <w:rPr>
          <w:b/>
          <w:u w:val="single"/>
        </w:rPr>
        <w:t>9</w:t>
      </w:r>
      <w:r w:rsidRPr="553B3C08">
        <w:rPr>
          <w:b/>
        </w:rPr>
        <w:t xml:space="preserve"> </w:t>
      </w:r>
      <w:r>
        <w:t>prevede</w:t>
      </w:r>
      <w:r w:rsidRPr="294F290F">
        <w:t xml:space="preserve"> che</w:t>
      </w:r>
      <w:r>
        <w:t xml:space="preserve">, </w:t>
      </w:r>
      <w:r w:rsidRPr="007F681B">
        <w:t>in relazione ai contributi da riconoscere a valere sulla quota dello Strumento finanziario di cui al comma 2, lettera a</w:t>
      </w:r>
      <w:r w:rsidRPr="007F681B" w:rsidR="00D351EC">
        <w:t xml:space="preserve">), </w:t>
      </w:r>
      <w:r w:rsidR="00D351EC">
        <w:t>INVITALIA</w:t>
      </w:r>
      <w:r>
        <w:t xml:space="preserve"> S.p.A.</w:t>
      </w:r>
      <w:r w:rsidRPr="294F290F">
        <w:t xml:space="preserve"> entro </w:t>
      </w:r>
      <w:r>
        <w:t xml:space="preserve">30 giorni dalla sottoscrizione della convenzione di cui al </w:t>
      </w:r>
      <w:r w:rsidRPr="007F681B">
        <w:t>comma 8</w:t>
      </w:r>
      <w:r>
        <w:t xml:space="preserve"> e, comunque</w:t>
      </w:r>
      <w:r w:rsidRPr="294F290F">
        <w:t xml:space="preserve">, entro </w:t>
      </w:r>
      <w:r>
        <w:t>90</w:t>
      </w:r>
      <w:r w:rsidRPr="294F290F">
        <w:t xml:space="preserve"> </w:t>
      </w:r>
      <w:r w:rsidRPr="00A602F6">
        <w:t>giorni dall’entrata in vigore del presente decreto,</w:t>
      </w:r>
      <w:r>
        <w:t xml:space="preserve"> definisce e rende pubblici</w:t>
      </w:r>
      <w:r w:rsidRPr="294F290F">
        <w:t>:</w:t>
      </w:r>
    </w:p>
    <w:p w:rsidR="00475F8B" w:rsidP="00475F8B" w14:paraId="1B0DAE84" w14:textId="77777777">
      <w:pPr>
        <w:spacing w:before="120" w:after="120"/>
        <w:jc w:val="both"/>
      </w:pPr>
      <w:r w:rsidRPr="294F290F">
        <w:t xml:space="preserve">a) </w:t>
      </w:r>
      <w:r>
        <w:t xml:space="preserve">i termini e </w:t>
      </w:r>
      <w:r w:rsidRPr="294F290F">
        <w:t xml:space="preserve">le modalità di presentazione delle proposte progettuali </w:t>
      </w:r>
      <w:r>
        <w:t>corredate</w:t>
      </w:r>
      <w:r w:rsidRPr="294F290F">
        <w:t xml:space="preserve"> dei relativi cronoprogrammi;</w:t>
      </w:r>
      <w:r>
        <w:br/>
      </w:r>
      <w:r w:rsidRPr="294F290F">
        <w:t>b) i limiti massimi dei contributi e le modalità di erogazione, monitoraggio</w:t>
      </w:r>
      <w:r>
        <w:t>,</w:t>
      </w:r>
      <w:r w:rsidRPr="294F290F">
        <w:t xml:space="preserve"> </w:t>
      </w:r>
      <w:r>
        <w:t>riprogrammazione</w:t>
      </w:r>
      <w:r w:rsidRPr="294F290F">
        <w:t xml:space="preserve"> e revoca</w:t>
      </w:r>
      <w:r>
        <w:t xml:space="preserve"> delle risorse</w:t>
      </w:r>
      <w:r w:rsidRPr="294F290F">
        <w:t>;</w:t>
      </w:r>
    </w:p>
    <w:p w:rsidR="00475F8B" w:rsidRPr="00774AEA" w:rsidP="00475F8B" w14:paraId="76ECC1C3" w14:textId="77777777">
      <w:pPr>
        <w:spacing w:after="120"/>
        <w:jc w:val="both"/>
      </w:pPr>
      <w:r w:rsidRPr="00774AEA">
        <w:t>c) le modalità di verifica e controllo degli interventi, anche ai fini dell’inserimento dei relativi dati nei sistemi di monitoraggio</w:t>
      </w:r>
      <w:r>
        <w:t xml:space="preserve"> </w:t>
      </w:r>
      <w:r w:rsidRPr="007F681B">
        <w:t xml:space="preserve">del Ministero dell’economia e delle finanze – Dipartimento </w:t>
      </w:r>
      <w:r w:rsidRPr="00630BA6">
        <w:t>della Ragioneria generale dello Stato</w:t>
      </w:r>
      <w:r w:rsidRPr="00774AEA">
        <w:t xml:space="preserve"> per la verifica dell'avvenuta realizzazione degli interventi ammessi a finanziamento;</w:t>
      </w:r>
    </w:p>
    <w:p w:rsidR="00475F8B" w:rsidP="00475F8B" w14:paraId="73D23E70" w14:textId="77777777">
      <w:pPr>
        <w:spacing w:before="120" w:after="120"/>
        <w:jc w:val="both"/>
      </w:pPr>
      <w:r w:rsidRPr="00774AEA">
        <w:t>d</w:t>
      </w:r>
      <w:r w:rsidRPr="294F290F">
        <w:t>) i criteri di valutazione delle proposte, coerenti con gli obiettivi del PNIISSI e con le finalità del PNRR, privilegiando la leva finanziaria pubblico-privata e i partenariati</w:t>
      </w:r>
      <w:r>
        <w:t>;</w:t>
      </w:r>
    </w:p>
    <w:p w:rsidR="00475F8B" w:rsidP="00475F8B" w14:paraId="4810EF07" w14:textId="77777777">
      <w:pPr>
        <w:spacing w:before="120" w:after="120"/>
        <w:jc w:val="both"/>
      </w:pPr>
      <w:r w:rsidRPr="294F290F">
        <w:t xml:space="preserve">Il </w:t>
      </w:r>
      <w:r w:rsidRPr="5B95874A">
        <w:rPr>
          <w:b/>
          <w:u w:val="single"/>
        </w:rPr>
        <w:t xml:space="preserve">comma </w:t>
      </w:r>
      <w:r>
        <w:rPr>
          <w:b/>
          <w:u w:val="single"/>
        </w:rPr>
        <w:t>10</w:t>
      </w:r>
      <w:r w:rsidRPr="00176E50">
        <w:rPr>
          <w:b/>
        </w:rPr>
        <w:t xml:space="preserve"> </w:t>
      </w:r>
      <w:r w:rsidRPr="294F290F">
        <w:t xml:space="preserve">affida </w:t>
      </w:r>
      <w:r>
        <w:t>ad INVITALIA S.p.A.</w:t>
      </w:r>
      <w:r w:rsidRPr="294F290F">
        <w:t xml:space="preserve"> il compito di esaminare le proposte presentate e predisporre un elenco delle iniziative ammissibili a finanziamento</w:t>
      </w:r>
      <w:r w:rsidRPr="6435D219">
        <w:rPr>
          <w:b/>
        </w:rPr>
        <w:t xml:space="preserve">. </w:t>
      </w:r>
      <w:r w:rsidRPr="294F290F">
        <w:t>Tale procedura assicura la trasparenza, l’uniformità dei criteri di valutazione e la tracciabilità delle decisioni, in coerenza con le linee guida del MEF e della Ragioneria generale dello Stato per la gestione dei fondi PNRR e PNC.</w:t>
      </w:r>
    </w:p>
    <w:p w:rsidR="00475F8B" w:rsidRPr="007F681B" w:rsidP="00475F8B" w14:paraId="4CAEB1D0" w14:textId="77777777">
      <w:pPr>
        <w:spacing w:before="120" w:after="120"/>
        <w:jc w:val="both"/>
      </w:pPr>
      <w:r w:rsidRPr="294F290F">
        <w:t xml:space="preserve">Il </w:t>
      </w:r>
      <w:r w:rsidRPr="048A82FA">
        <w:rPr>
          <w:b/>
          <w:u w:val="single"/>
        </w:rPr>
        <w:t xml:space="preserve">comma </w:t>
      </w:r>
      <w:r>
        <w:rPr>
          <w:b/>
          <w:u w:val="single"/>
        </w:rPr>
        <w:t>11</w:t>
      </w:r>
      <w:r w:rsidRPr="294F290F">
        <w:rPr>
          <w:b/>
          <w:bCs/>
        </w:rPr>
        <w:t xml:space="preserve"> </w:t>
      </w:r>
      <w:r w:rsidRPr="007F681B">
        <w:t xml:space="preserve">stabilisce che gli oneri di gestione dello Strumento da parte di INVITALIA sono posti, nel limite del 3 per cento, a carico delle risorse di cui al comma 2, lettera </w:t>
      </w:r>
      <w:r w:rsidRPr="007F681B">
        <w:rPr>
          <w:i/>
          <w:iCs/>
        </w:rPr>
        <w:t>a).</w:t>
      </w:r>
      <w:r w:rsidRPr="007F681B">
        <w:t xml:space="preserve"> Ciò consente di coprire i costi amministrativi, di assistenza tecnica e monitoraggio senza generare nuovi o maggiori oneri a carico del bilancio dello Stato.</w:t>
      </w:r>
    </w:p>
    <w:p w:rsidR="008058BC" w:rsidRPr="00987C41" w:rsidP="008058BC" w14:paraId="1E028F99" w14:textId="77777777">
      <w:pPr>
        <w:spacing w:after="120"/>
        <w:jc w:val="both"/>
      </w:pPr>
      <w:r>
        <w:t xml:space="preserve">Il </w:t>
      </w:r>
      <w:r w:rsidRPr="008E02B6">
        <w:rPr>
          <w:b/>
          <w:bCs/>
          <w:u w:val="single"/>
        </w:rPr>
        <w:t xml:space="preserve">comma </w:t>
      </w:r>
      <w:r>
        <w:rPr>
          <w:b/>
          <w:bCs/>
          <w:u w:val="single"/>
        </w:rPr>
        <w:t>12</w:t>
      </w:r>
      <w:r>
        <w:t xml:space="preserve"> interviene </w:t>
      </w:r>
      <w:r w:rsidRPr="007F681B">
        <w:t xml:space="preserve">sui termini della registrazione, da parte degli organi di controllo, della convenzione prevista al comma 8, prevedendone </w:t>
      </w:r>
      <w:r>
        <w:t xml:space="preserve">la riduzione di un terzo rispetto a quanto stabilito dall'articolo 3, comma 2, della legge 14 gennaio 1994, n. 20. La norma è volta ad accelerare il completamento del procedimento di perfezionamento della convenzione, riducendo i tempi necessari alla sua efficacia e assicurando una più tempestiva operatività </w:t>
      </w:r>
      <w:r w:rsidRPr="00C76CE2">
        <w:t>al fine di assicurare il conseguimento degli obiettivi del PNRR</w:t>
      </w:r>
      <w:r>
        <w:t xml:space="preserve"> e delle attività disciplinate dall'atto convenzionale. Sotto il profilo ordinamentale, l'intervento incide esclusivamente sulla scansione temporale dei controlli di legittimità-contabilità, senza modificare la ripartizione delle competenze tra amministrazioni né la natura degli atti sottoposti al controllo. </w:t>
      </w:r>
      <w:r w:rsidRPr="00F56F96">
        <w:rPr>
          <w:b/>
          <w:bCs/>
        </w:rPr>
        <w:t>La disposizione ha carattere procedimentale e, pertanto, non comporta nuovi o maggiori oneri a carico della finanza pubblica</w:t>
      </w:r>
      <w:r w:rsidRPr="00F56F96">
        <w:t>.</w:t>
      </w:r>
    </w:p>
    <w:p w:rsidR="5484FCD2" w:rsidRPr="00987C41" w:rsidP="00C652D2" w14:paraId="70533AF4" w14:textId="1B48AAAC">
      <w:pPr>
        <w:spacing w:after="120"/>
        <w:jc w:val="both"/>
      </w:pPr>
    </w:p>
    <w:p w:rsidR="009E0EEF" w:rsidRPr="00987C41" w:rsidP="00987C41" w14:paraId="7C2BF766" w14:textId="0C3C6A84">
      <w:pPr>
        <w:pStyle w:val="Heading3"/>
        <w:spacing w:before="0" w:after="120"/>
        <w:rPr>
          <w:rFonts w:eastAsia="Times New Roman" w:cs="Times New Roman"/>
          <w:color w:val="000000" w:themeColor="text1"/>
        </w:rPr>
      </w:pPr>
      <w:bookmarkStart w:id="73" w:name="_Toc220077569"/>
      <w:r w:rsidRPr="00987C41">
        <w:rPr>
          <w:rFonts w:eastAsia="Times New Roman" w:cs="Times New Roman"/>
          <w:color w:val="000000" w:themeColor="text1"/>
        </w:rPr>
        <w:t xml:space="preserve">ART. </w:t>
      </w:r>
      <w:r w:rsidRPr="00CE2D5C">
        <w:rPr>
          <w:rFonts w:eastAsia="Times New Roman" w:cs="Times New Roman"/>
          <w:color w:val="000000" w:themeColor="text1"/>
        </w:rPr>
        <w:t>2</w:t>
      </w:r>
      <w:r w:rsidR="00B87A48">
        <w:rPr>
          <w:rFonts w:eastAsia="Times New Roman" w:cs="Times New Roman"/>
          <w:color w:val="000000" w:themeColor="text1"/>
        </w:rPr>
        <w:t>6</w:t>
      </w:r>
      <w:r w:rsidRPr="00987C41">
        <w:rPr>
          <w:rFonts w:eastAsia="Times New Roman" w:cs="Times New Roman"/>
          <w:color w:val="000000" w:themeColor="text1"/>
        </w:rPr>
        <w:t xml:space="preserve">                                                                                                                                                (Disposizioni per l’attuazione </w:t>
      </w:r>
      <w:r w:rsidRPr="00064748" w:rsidR="00064748">
        <w:rPr>
          <w:rFonts w:eastAsia="Times New Roman" w:cs="Times New Roman"/>
          <w:color w:val="000000" w:themeColor="text1"/>
        </w:rPr>
        <w:t>dell’Investimento 9 «Misura rafforzata: Transizione 4.0» della Missione 1 - Componente 2, del PNRR, dell’Investimento 2.3 «Potenziamento ed estensione tematica dei centri di trasferimento tecnologico per segmenti di industria» della Missione 4, Componente 2 del PNRR, nonché per la realizzazione degli ulteriori investimenti di titolarità del Ministero delle imprese e del made in Italy</w:t>
      </w:r>
      <w:r w:rsidRPr="00987C41">
        <w:rPr>
          <w:rFonts w:eastAsia="Times New Roman" w:cs="Times New Roman"/>
          <w:color w:val="000000" w:themeColor="text1"/>
        </w:rPr>
        <w:t>)</w:t>
      </w:r>
      <w:bookmarkEnd w:id="73"/>
    </w:p>
    <w:p w:rsidR="00791A69" w:rsidRPr="00987C41" w:rsidP="00987C41" w14:paraId="5D45DC1C" w14:textId="77777777">
      <w:pPr>
        <w:spacing w:after="120"/>
        <w:jc w:val="both"/>
        <w:rPr>
          <w:rFonts w:eastAsiaTheme="majorEastAsia"/>
          <w:szCs w:val="28"/>
        </w:rPr>
      </w:pPr>
      <w:r w:rsidRPr="00987C41">
        <w:rPr>
          <w:rFonts w:eastAsiaTheme="majorEastAsia"/>
          <w:szCs w:val="28"/>
        </w:rPr>
        <w:t>L’articolo in esame reca disposizioni per l’attuazione delle misure di interesse del Ministero delle imprese e del made in Italy.</w:t>
      </w:r>
    </w:p>
    <w:p w:rsidR="00791A69" w:rsidRPr="00987C41" w:rsidP="00987C41" w14:paraId="5C1A15D5" w14:textId="6C939997">
      <w:pPr>
        <w:spacing w:after="120"/>
        <w:jc w:val="both"/>
        <w:rPr>
          <w:rFonts w:eastAsiaTheme="majorEastAsia"/>
          <w:szCs w:val="28"/>
        </w:rPr>
      </w:pPr>
      <w:r w:rsidRPr="00987C41">
        <w:rPr>
          <w:rFonts w:eastAsiaTheme="majorEastAsia"/>
          <w:szCs w:val="28"/>
        </w:rPr>
        <w:t xml:space="preserve">In particolare, il </w:t>
      </w:r>
      <w:r w:rsidRPr="00987C41">
        <w:rPr>
          <w:rFonts w:eastAsiaTheme="majorEastAsia"/>
          <w:b/>
          <w:szCs w:val="28"/>
          <w:u w:val="single"/>
        </w:rPr>
        <w:t>comma 1</w:t>
      </w:r>
      <w:r w:rsidRPr="00987C41">
        <w:rPr>
          <w:rFonts w:eastAsiaTheme="majorEastAsia"/>
          <w:szCs w:val="28"/>
        </w:rPr>
        <w:t xml:space="preserve"> prevede che, in relazione </w:t>
      </w:r>
      <w:r w:rsidRPr="00987C41" w:rsidR="006B46E1">
        <w:rPr>
          <w:rFonts w:eastAsiaTheme="majorEastAsia"/>
          <w:szCs w:val="28"/>
        </w:rPr>
        <w:t>all’Investimento</w:t>
      </w:r>
      <w:r w:rsidRPr="00987C41">
        <w:rPr>
          <w:rFonts w:eastAsiaTheme="majorEastAsia"/>
          <w:szCs w:val="28"/>
        </w:rPr>
        <w:t xml:space="preserve"> 9 </w:t>
      </w:r>
      <w:r w:rsidR="00696123">
        <w:t>«</w:t>
      </w:r>
      <w:r w:rsidRPr="00E52C0C" w:rsidR="00E52C0C">
        <w:rPr>
          <w:rFonts w:eastAsiaTheme="majorEastAsia"/>
          <w:szCs w:val="28"/>
        </w:rPr>
        <w:t>Misura rafforzata:</w:t>
      </w:r>
      <w:r w:rsidRPr="00987C41">
        <w:rPr>
          <w:rFonts w:eastAsiaTheme="majorEastAsia"/>
          <w:szCs w:val="28"/>
        </w:rPr>
        <w:t xml:space="preserve"> Transizione 4.0</w:t>
      </w:r>
      <w:r w:rsidR="009B7071">
        <w:t>»</w:t>
      </w:r>
      <w:r w:rsidRPr="00AF7D9B" w:rsidR="009B7071">
        <w:t xml:space="preserve"> </w:t>
      </w:r>
      <w:r w:rsidRPr="00987C41" w:rsidR="006B46E1">
        <w:rPr>
          <w:rFonts w:eastAsiaTheme="majorEastAsia"/>
          <w:szCs w:val="28"/>
        </w:rPr>
        <w:t xml:space="preserve"> della Missione 1, Componente 2, del PNRR, introdotto</w:t>
      </w:r>
      <w:r w:rsidRPr="00987C41">
        <w:rPr>
          <w:rFonts w:eastAsiaTheme="majorEastAsia"/>
          <w:szCs w:val="28"/>
        </w:rPr>
        <w:t xml:space="preserve"> nell’ambito della VI revisione del PNRR, il Ministero delle imprese e del made in Italy può avvalersi, ai fini della rendicontazione della </w:t>
      </w:r>
      <w:r w:rsidRPr="00987C41" w:rsidR="006B46E1">
        <w:rPr>
          <w:rFonts w:eastAsiaTheme="majorEastAsia"/>
          <w:szCs w:val="28"/>
        </w:rPr>
        <w:t>misura</w:t>
      </w:r>
      <w:r w:rsidRPr="00987C41">
        <w:rPr>
          <w:rFonts w:eastAsiaTheme="majorEastAsia"/>
          <w:szCs w:val="28"/>
        </w:rPr>
        <w:t>, della collaborazione dell’Agenzia delle entrate</w:t>
      </w:r>
      <w:r w:rsidR="009A4D0B">
        <w:t xml:space="preserve">, </w:t>
      </w:r>
      <w:r w:rsidRPr="00342E9E" w:rsidR="009A4D0B">
        <w:rPr>
          <w:rFonts w:eastAsiaTheme="majorEastAsia"/>
          <w:szCs w:val="28"/>
        </w:rPr>
        <w:t>nel rispetto degli obiettivi istituzionali e della capacità operativa di quest’ultima,</w:t>
      </w:r>
      <w:r w:rsidRPr="00AF7D9B" w:rsidR="009A4D0B">
        <w:t xml:space="preserve"> </w:t>
      </w:r>
      <w:r w:rsidRPr="00987C41">
        <w:rPr>
          <w:rFonts w:eastAsiaTheme="majorEastAsia"/>
          <w:szCs w:val="28"/>
        </w:rPr>
        <w:t xml:space="preserve"> e del Gestore dei servizi energetici (GSE), stabilendo in apposite convenzioni le specifiche modalità di avvalimento. </w:t>
      </w:r>
    </w:p>
    <w:p w:rsidR="00B933C7" w:rsidP="00987C41" w14:paraId="331F61C7" w14:textId="281B298B">
      <w:pPr>
        <w:spacing w:after="120"/>
        <w:jc w:val="both"/>
        <w:rPr>
          <w:rFonts w:eastAsiaTheme="majorEastAsia"/>
          <w:szCs w:val="28"/>
        </w:rPr>
      </w:pPr>
      <w:r w:rsidRPr="00987C41">
        <w:rPr>
          <w:rFonts w:eastAsiaTheme="majorEastAsia"/>
          <w:szCs w:val="28"/>
        </w:rPr>
        <w:t xml:space="preserve">Il </w:t>
      </w:r>
      <w:r w:rsidRPr="00987C41">
        <w:rPr>
          <w:rFonts w:eastAsiaTheme="majorEastAsia"/>
          <w:b/>
          <w:szCs w:val="28"/>
          <w:u w:val="single"/>
        </w:rPr>
        <w:t>comma 2</w:t>
      </w:r>
      <w:r w:rsidRPr="00987C41">
        <w:rPr>
          <w:rFonts w:eastAsiaTheme="majorEastAsia"/>
          <w:szCs w:val="28"/>
        </w:rPr>
        <w:t xml:space="preserve"> è volto a specificare che, in relazione all’investimento 2.3</w:t>
      </w:r>
      <w:r w:rsidRPr="00273F18" w:rsidR="00273F18">
        <w:rPr>
          <w:rFonts w:eastAsiaTheme="majorEastAsia"/>
          <w:szCs w:val="28"/>
        </w:rPr>
        <w:t xml:space="preserve"> «</w:t>
      </w:r>
      <w:r w:rsidRPr="00273F18">
        <w:rPr>
          <w:rFonts w:eastAsiaTheme="majorEastAsia"/>
          <w:szCs w:val="28"/>
        </w:rPr>
        <w:t>Potenziamento ed estensione tematica dei centri di trasferimento tecnologico per segmenti di industria</w:t>
      </w:r>
      <w:r w:rsidRPr="00273F18" w:rsidR="00273F18">
        <w:rPr>
          <w:rFonts w:eastAsiaTheme="majorEastAsia"/>
          <w:szCs w:val="28"/>
        </w:rPr>
        <w:t>»</w:t>
      </w:r>
      <w:r w:rsidRPr="00987C41">
        <w:rPr>
          <w:rFonts w:eastAsiaTheme="majorEastAsia"/>
          <w:szCs w:val="28"/>
        </w:rPr>
        <w:t xml:space="preserve"> della Missione 4, Componente 2</w:t>
      </w:r>
      <w:r w:rsidRPr="00273F18" w:rsidR="00273F18">
        <w:rPr>
          <w:rFonts w:eastAsiaTheme="majorEastAsia"/>
          <w:szCs w:val="28"/>
        </w:rPr>
        <w:t>,</w:t>
      </w:r>
      <w:r w:rsidRPr="00987C41">
        <w:rPr>
          <w:rFonts w:eastAsiaTheme="majorEastAsia"/>
          <w:szCs w:val="28"/>
        </w:rPr>
        <w:t xml:space="preserve"> del PNRR (M4C2-Investimento 2.3), il Ministero delle imprese e del made in Italy è autorizzato ad avvalersi, </w:t>
      </w:r>
      <w:r w:rsidRPr="00BF21FD" w:rsidR="00054D2A">
        <w:rPr>
          <w:rFonts w:eastAsiaTheme="majorEastAsia"/>
          <w:szCs w:val="28"/>
        </w:rPr>
        <w:t xml:space="preserve">nel limite di 7 milioni di euro, </w:t>
      </w:r>
      <w:r w:rsidRPr="00987C41">
        <w:rPr>
          <w:rFonts w:eastAsiaTheme="majorEastAsia"/>
          <w:szCs w:val="28"/>
        </w:rPr>
        <w:t xml:space="preserve">sulla base di apposite convenzioni, di enti </w:t>
      </w:r>
      <w:r w:rsidRPr="00987C41">
        <w:rPr>
          <w:rFonts w:eastAsiaTheme="majorEastAsia"/>
          <w:i/>
          <w:szCs w:val="28"/>
        </w:rPr>
        <w:t xml:space="preserve">in </w:t>
      </w:r>
      <w:r w:rsidRPr="00AE7680">
        <w:rPr>
          <w:rFonts w:eastAsiaTheme="majorEastAsia"/>
          <w:i/>
          <w:szCs w:val="28"/>
        </w:rPr>
        <w:t>house</w:t>
      </w:r>
      <w:r w:rsidRPr="00AE7680">
        <w:rPr>
          <w:rFonts w:eastAsiaTheme="majorEastAsia"/>
          <w:szCs w:val="28"/>
        </w:rPr>
        <w:t xml:space="preserve"> o di società o enti selezionati ai sensi della vigente normativa in materia di contratti pubblici. </w:t>
      </w:r>
      <w:r w:rsidRPr="00AE7680" w:rsidR="007965FD">
        <w:rPr>
          <w:rFonts w:eastAsiaTheme="majorEastAsia"/>
          <w:szCs w:val="28"/>
        </w:rPr>
        <w:t>Il comma in esame provvede altresì alla</w:t>
      </w:r>
      <w:r w:rsidRPr="00AE7680" w:rsidR="008D1CF5">
        <w:rPr>
          <w:rFonts w:eastAsiaTheme="majorEastAsia"/>
          <w:szCs w:val="28"/>
        </w:rPr>
        <w:t xml:space="preserve"> quantifica</w:t>
      </w:r>
      <w:r w:rsidRPr="00AE7680" w:rsidR="007965FD">
        <w:rPr>
          <w:rFonts w:eastAsiaTheme="majorEastAsia"/>
          <w:szCs w:val="28"/>
        </w:rPr>
        <w:t>zione</w:t>
      </w:r>
      <w:r w:rsidRPr="00AE7680" w:rsidR="00EF2769">
        <w:rPr>
          <w:rFonts w:eastAsiaTheme="majorEastAsia"/>
          <w:szCs w:val="28"/>
        </w:rPr>
        <w:t xml:space="preserve"> </w:t>
      </w:r>
      <w:r w:rsidRPr="00AE7680" w:rsidR="00054D2A">
        <w:rPr>
          <w:rFonts w:eastAsiaTheme="majorEastAsia"/>
          <w:szCs w:val="28"/>
        </w:rPr>
        <w:t>del relativo onere</w:t>
      </w:r>
      <w:r w:rsidRPr="00AE7680" w:rsidR="00EF2769">
        <w:rPr>
          <w:rFonts w:eastAsiaTheme="majorEastAsia"/>
          <w:szCs w:val="28"/>
        </w:rPr>
        <w:t>, pari a 7 milioni di euro per l’anno 2026,</w:t>
      </w:r>
      <w:r w:rsidRPr="00AE7680">
        <w:rPr>
          <w:rFonts w:eastAsiaTheme="majorEastAsia"/>
          <w:szCs w:val="28"/>
        </w:rPr>
        <w:t xml:space="preserve"> cui</w:t>
      </w:r>
      <w:r w:rsidRPr="00AE7680">
        <w:t xml:space="preserve"> si provvede a valere </w:t>
      </w:r>
      <w:r w:rsidRPr="00AE7680" w:rsidR="00EF2769">
        <w:rPr>
          <w:rFonts w:eastAsiaTheme="majorEastAsia"/>
          <w:szCs w:val="28"/>
        </w:rPr>
        <w:t xml:space="preserve">sulle risorse </w:t>
      </w:r>
      <w:r w:rsidRPr="00AE7680">
        <w:t xml:space="preserve">assegnate alle </w:t>
      </w:r>
      <w:r w:rsidRPr="00AE7680">
        <w:t>predette</w:t>
      </w:r>
      <w:r w:rsidRPr="00AE7680">
        <w:t xml:space="preserve"> misure dal fondo</w:t>
      </w:r>
      <w:r w:rsidRPr="00AE7680" w:rsidR="00EF2769">
        <w:rPr>
          <w:rFonts w:eastAsiaTheme="majorEastAsia"/>
          <w:szCs w:val="28"/>
        </w:rPr>
        <w:t xml:space="preserve"> </w:t>
      </w:r>
      <w:r w:rsidRPr="00AE7680" w:rsidR="00EF2769">
        <w:rPr>
          <w:rFonts w:eastAsiaTheme="majorEastAsia"/>
          <w:i/>
        </w:rPr>
        <w:t>Next Generation EU-Italia</w:t>
      </w:r>
      <w:r w:rsidRPr="00AE7680" w:rsidR="00EF2769">
        <w:rPr>
          <w:rFonts w:eastAsiaTheme="majorEastAsia"/>
          <w:szCs w:val="28"/>
        </w:rPr>
        <w:t>.</w:t>
      </w:r>
      <w:r w:rsidRPr="00987C41" w:rsidR="00EF2769">
        <w:rPr>
          <w:rFonts w:eastAsiaTheme="majorEastAsia"/>
          <w:szCs w:val="28"/>
        </w:rPr>
        <w:t xml:space="preserve"> </w:t>
      </w:r>
    </w:p>
    <w:p w:rsidR="00EF2769" w:rsidRPr="00987C41" w:rsidP="00987C41" w14:paraId="40FF1500" w14:textId="6331D03A">
      <w:pPr>
        <w:spacing w:after="120"/>
        <w:jc w:val="both"/>
        <w:rPr>
          <w:rFonts w:eastAsiaTheme="majorEastAsia"/>
          <w:color w:val="000000" w:themeColor="text1"/>
          <w:szCs w:val="28"/>
        </w:rPr>
      </w:pPr>
      <w:r w:rsidRPr="00987C41">
        <w:rPr>
          <w:rFonts w:eastAsiaTheme="majorEastAsia"/>
          <w:szCs w:val="28"/>
        </w:rPr>
        <w:t xml:space="preserve">Al riguardo, si precisa che </w:t>
      </w:r>
      <w:r w:rsidRPr="00987C41">
        <w:rPr>
          <w:rFonts w:eastAsiaTheme="majorEastAsia"/>
          <w:color w:val="000000" w:themeColor="text1"/>
          <w:szCs w:val="28"/>
        </w:rPr>
        <w:t>con riferimento alla misura M4C2, Investimento 2.3 afferente ai centri di trasferimento tecnologico, si provvede a valere nell’ambito delle stesse misure del PNRR interessate dalle attività oggetto dell’articolato. È stato infatti concordato con la Commissione europea un nuovo “</w:t>
      </w:r>
      <w:r w:rsidRPr="00987C41">
        <w:rPr>
          <w:rFonts w:eastAsiaTheme="majorEastAsia"/>
          <w:color w:val="000000" w:themeColor="text1"/>
          <w:szCs w:val="28"/>
        </w:rPr>
        <w:t>costing</w:t>
      </w:r>
      <w:r w:rsidRPr="00987C41">
        <w:rPr>
          <w:rFonts w:eastAsiaTheme="majorEastAsia"/>
          <w:color w:val="000000" w:themeColor="text1"/>
          <w:szCs w:val="28"/>
        </w:rPr>
        <w:t>” della misura</w:t>
      </w:r>
      <w:r w:rsidRPr="00987C41" w:rsidR="00941D74">
        <w:rPr>
          <w:rFonts w:eastAsiaTheme="majorEastAsia"/>
          <w:color w:val="000000" w:themeColor="text1"/>
          <w:szCs w:val="28"/>
        </w:rPr>
        <w:t>,</w:t>
      </w:r>
      <w:r w:rsidRPr="00987C41">
        <w:rPr>
          <w:rFonts w:eastAsiaTheme="majorEastAsia"/>
          <w:color w:val="000000" w:themeColor="text1"/>
          <w:szCs w:val="28"/>
        </w:rPr>
        <w:t xml:space="preserve"> che autorizza una percentuale (sino al 2%) di utilizzo delle risorse destinate alla stessa alle attività di controllo e verifica.</w:t>
      </w:r>
      <w:r w:rsidRPr="00987C41">
        <w:rPr>
          <w:color w:val="000000" w:themeColor="text1"/>
        </w:rPr>
        <w:t xml:space="preserve"> </w:t>
      </w:r>
      <w:r w:rsidRPr="00D0508A">
        <w:rPr>
          <w:color w:val="000000" w:themeColor="text1"/>
        </w:rPr>
        <w:t>Inoltre, c</w:t>
      </w:r>
      <w:r w:rsidRPr="00D0508A">
        <w:rPr>
          <w:rFonts w:eastAsiaTheme="majorEastAsia"/>
          <w:color w:val="000000" w:themeColor="text1"/>
          <w:szCs w:val="28"/>
        </w:rPr>
        <w:t xml:space="preserve">on riferimento alla quantificazione delle risorse </w:t>
      </w:r>
      <w:r w:rsidRPr="00D0508A" w:rsidR="00F978B7">
        <w:rPr>
          <w:rFonts w:eastAsiaTheme="majorEastAsia"/>
          <w:color w:val="000000" w:themeColor="text1"/>
          <w:szCs w:val="28"/>
        </w:rPr>
        <w:t xml:space="preserve">necessarie, </w:t>
      </w:r>
      <w:r w:rsidRPr="00D0508A">
        <w:rPr>
          <w:rFonts w:eastAsiaTheme="majorEastAsia"/>
          <w:color w:val="000000" w:themeColor="text1"/>
          <w:szCs w:val="28"/>
        </w:rPr>
        <w:t xml:space="preserve">le stesse sono state stimate come segue: </w:t>
      </w:r>
      <w:r w:rsidRPr="00D0508A" w:rsidR="00F978B7">
        <w:rPr>
          <w:rFonts w:eastAsiaTheme="majorEastAsia"/>
          <w:color w:val="000000" w:themeColor="text1"/>
          <w:szCs w:val="28"/>
        </w:rPr>
        <w:t xml:space="preserve">a) </w:t>
      </w:r>
      <w:r w:rsidRPr="00D0508A">
        <w:rPr>
          <w:rFonts w:eastAsiaTheme="majorEastAsia"/>
          <w:color w:val="000000" w:themeColor="text1"/>
          <w:szCs w:val="28"/>
        </w:rPr>
        <w:t>per il supporto alla gestione e all’attività di controllo, si stima un costo complessivamente  pari a 5,5 milioni di euro</w:t>
      </w:r>
      <w:r w:rsidRPr="00D0508A" w:rsidR="00103A12">
        <w:rPr>
          <w:rFonts w:eastAsiaTheme="majorEastAsia"/>
          <w:color w:val="000000" w:themeColor="text1"/>
          <w:szCs w:val="28"/>
        </w:rPr>
        <w:t>,</w:t>
      </w:r>
      <w:r w:rsidRPr="00D0508A">
        <w:rPr>
          <w:rFonts w:eastAsiaTheme="majorEastAsia"/>
          <w:color w:val="000000" w:themeColor="text1"/>
          <w:szCs w:val="28"/>
        </w:rPr>
        <w:t xml:space="preserve"> correlato all’impiego di personale con profili junior, middle e senior; </w:t>
      </w:r>
      <w:r w:rsidRPr="00D0508A" w:rsidR="00103A12">
        <w:rPr>
          <w:rFonts w:eastAsiaTheme="majorEastAsia"/>
          <w:color w:val="000000" w:themeColor="text1"/>
          <w:szCs w:val="28"/>
        </w:rPr>
        <w:t xml:space="preserve">b) </w:t>
      </w:r>
      <w:r w:rsidRPr="00D0508A">
        <w:rPr>
          <w:rFonts w:eastAsiaTheme="majorEastAsia"/>
          <w:color w:val="000000" w:themeColor="text1"/>
          <w:szCs w:val="28"/>
        </w:rPr>
        <w:t>per l’adozione di supporti tecnologici digitali per la gestione della domanda di accesso ai servizi di trasferimento tecnologico e per le fasi di controllo della misura, si stima un costo complessivo pari a 1,5 milioni di euro.</w:t>
      </w:r>
      <w:r w:rsidRPr="00987C41">
        <w:rPr>
          <w:rFonts w:eastAsiaTheme="majorEastAsia"/>
          <w:color w:val="000000" w:themeColor="text1"/>
          <w:szCs w:val="28"/>
        </w:rPr>
        <w:t xml:space="preserve"> </w:t>
      </w:r>
    </w:p>
    <w:p w:rsidR="00791A69" w:rsidRPr="00987C41" w:rsidP="00987C41" w14:paraId="5C42B2E0" w14:textId="79EA49EA">
      <w:pPr>
        <w:spacing w:after="120"/>
        <w:jc w:val="both"/>
        <w:rPr>
          <w:rFonts w:eastAsiaTheme="majorEastAsia"/>
          <w:b/>
        </w:rPr>
      </w:pPr>
      <w:r w:rsidRPr="54779AAF">
        <w:rPr>
          <w:rFonts w:eastAsiaTheme="majorEastAsia"/>
        </w:rPr>
        <w:t xml:space="preserve">Il </w:t>
      </w:r>
      <w:r w:rsidRPr="54779AAF">
        <w:rPr>
          <w:rFonts w:eastAsiaTheme="majorEastAsia"/>
          <w:b/>
          <w:u w:val="single"/>
        </w:rPr>
        <w:t>comma 3</w:t>
      </w:r>
      <w:r w:rsidRPr="54779AAF">
        <w:rPr>
          <w:rFonts w:eastAsiaTheme="majorEastAsia"/>
        </w:rPr>
        <w:t xml:space="preserve"> prevede che il Ministero delle imprese e del made in Italy pubblica, nel rispetto delle disposizioni di cui al Regolamento (UE) n. 2016/679, l’elenco dei beneficiari dei crediti di imposta afferenti agli investimenti finanziati con le risorse PNRR relative all’ “</w:t>
      </w:r>
      <w:r w:rsidRPr="54779AAF">
        <w:rPr>
          <w:rFonts w:eastAsiaTheme="majorEastAsia"/>
          <w:i/>
        </w:rPr>
        <w:t>investimento Transizione 4.0</w:t>
      </w:r>
      <w:r w:rsidRPr="54779AAF">
        <w:rPr>
          <w:rFonts w:eastAsiaTheme="majorEastAsia"/>
        </w:rPr>
        <w:t>”.</w:t>
      </w:r>
      <w:r w:rsidRPr="54779AAF" w:rsidR="004242B4">
        <w:rPr>
          <w:rFonts w:eastAsiaTheme="majorEastAsia"/>
        </w:rPr>
        <w:t xml:space="preserve"> </w:t>
      </w:r>
      <w:r w:rsidRPr="54779AAF" w:rsidR="004242B4">
        <w:rPr>
          <w:rFonts w:eastAsiaTheme="majorEastAsia"/>
          <w:b/>
        </w:rPr>
        <w:t>La disposizione ha carattere ordinamentale e, pertanto, non determina nuovi o maggiori oneri a carico della finanza pubblica.</w:t>
      </w:r>
    </w:p>
    <w:p w:rsidR="00033996" w:rsidRPr="00E564CE" w:rsidP="54779AAF" w14:paraId="763DA02E" w14:textId="6BD34FDA">
      <w:pPr>
        <w:spacing w:after="120"/>
        <w:jc w:val="both"/>
        <w:rPr>
          <w:b/>
          <w:color w:val="0070C0"/>
        </w:rPr>
      </w:pPr>
      <w:bookmarkStart w:id="74" w:name="_Hlk213854730"/>
      <w:r>
        <w:t xml:space="preserve">Il </w:t>
      </w:r>
      <w:r w:rsidRPr="54779AAF">
        <w:rPr>
          <w:rFonts w:eastAsiaTheme="majorEastAsia"/>
          <w:b/>
          <w:bCs/>
          <w:u w:val="single"/>
        </w:rPr>
        <w:t>comma 4</w:t>
      </w:r>
      <w:r w:rsidRPr="54779AAF">
        <w:rPr>
          <w:rFonts w:eastAsiaTheme="majorEastAsia"/>
          <w:b/>
          <w:bCs/>
        </w:rPr>
        <w:t xml:space="preserve"> </w:t>
      </w:r>
      <w:r w:rsidRPr="54779AAF" w:rsidR="001F2382">
        <w:rPr>
          <w:rFonts w:eastAsiaTheme="majorEastAsia"/>
        </w:rPr>
        <w:t>è volt</w:t>
      </w:r>
      <w:r w:rsidRPr="54779AAF" w:rsidR="00F93884">
        <w:rPr>
          <w:rFonts w:eastAsiaTheme="majorEastAsia"/>
        </w:rPr>
        <w:t>o</w:t>
      </w:r>
      <w:r w:rsidRPr="54779AAF" w:rsidR="001F2382">
        <w:rPr>
          <w:rFonts w:eastAsiaTheme="majorEastAsia"/>
        </w:rPr>
        <w:t xml:space="preserve"> a garantire la </w:t>
      </w:r>
      <w:r w:rsidRPr="54779AAF" w:rsidR="00F93884">
        <w:rPr>
          <w:rFonts w:eastAsiaTheme="majorEastAsia"/>
        </w:rPr>
        <w:t>continuità operativa dei progetti</w:t>
      </w:r>
      <w:r w:rsidRPr="54779AAF" w:rsidR="001F2382">
        <w:rPr>
          <w:rFonts w:eastAsiaTheme="majorEastAsia"/>
        </w:rPr>
        <w:t xml:space="preserve"> </w:t>
      </w:r>
      <w:r w:rsidR="0041175D">
        <w:rPr>
          <w:rFonts w:eastAsiaTheme="majorEastAsia"/>
        </w:rPr>
        <w:t>“</w:t>
      </w:r>
      <w:r w:rsidRPr="00034841" w:rsidR="001F2382">
        <w:rPr>
          <w:rFonts w:eastAsiaTheme="majorEastAsia"/>
        </w:rPr>
        <w:t xml:space="preserve">Testing and </w:t>
      </w:r>
      <w:r w:rsidRPr="00034841" w:rsidR="001F2382">
        <w:rPr>
          <w:rFonts w:eastAsiaTheme="majorEastAsia"/>
        </w:rPr>
        <w:t>experimentation</w:t>
      </w:r>
      <w:r w:rsidRPr="00034841" w:rsidR="001F2382">
        <w:rPr>
          <w:rFonts w:eastAsiaTheme="majorEastAsia"/>
        </w:rPr>
        <w:t xml:space="preserve"> facilities</w:t>
      </w:r>
      <w:r w:rsidR="0041175D">
        <w:rPr>
          <w:rFonts w:eastAsiaTheme="majorEastAsia"/>
        </w:rPr>
        <w:t>”</w:t>
      </w:r>
      <w:r w:rsidRPr="54779AAF" w:rsidR="00F93884">
        <w:rPr>
          <w:rFonts w:eastAsiaTheme="majorEastAsia"/>
        </w:rPr>
        <w:t xml:space="preserve"> </w:t>
      </w:r>
      <w:r w:rsidRPr="54779AAF" w:rsidR="001F2382">
        <w:rPr>
          <w:rFonts w:eastAsiaTheme="majorEastAsia"/>
        </w:rPr>
        <w:t>(TEF) </w:t>
      </w:r>
      <w:r w:rsidRPr="00034841" w:rsidR="00F20B68">
        <w:rPr>
          <w:rFonts w:eastAsiaTheme="majorEastAsia"/>
        </w:rPr>
        <w:t xml:space="preserve">denominati </w:t>
      </w:r>
      <w:r w:rsidRPr="54779AAF" w:rsidR="001F2382">
        <w:rPr>
          <w:rFonts w:eastAsiaTheme="majorEastAsia"/>
        </w:rPr>
        <w:t>AgriFoodTEF</w:t>
      </w:r>
      <w:r w:rsidRPr="54779AAF" w:rsidR="001F2382">
        <w:rPr>
          <w:rFonts w:eastAsiaTheme="majorEastAsia"/>
        </w:rPr>
        <w:t xml:space="preserve"> e AI-MATTERS. I </w:t>
      </w:r>
      <w:r w:rsidRPr="54779AAF" w:rsidR="00F93884">
        <w:rPr>
          <w:rFonts w:eastAsiaTheme="majorEastAsia"/>
        </w:rPr>
        <w:t xml:space="preserve">c.d. </w:t>
      </w:r>
      <w:r w:rsidRPr="54779AAF" w:rsidR="001F2382">
        <w:rPr>
          <w:rFonts w:eastAsiaTheme="majorEastAsia"/>
        </w:rPr>
        <w:t xml:space="preserve">progetti </w:t>
      </w:r>
      <w:r w:rsidR="0041175D">
        <w:rPr>
          <w:rFonts w:eastAsiaTheme="majorEastAsia"/>
        </w:rPr>
        <w:t>“</w:t>
      </w:r>
      <w:r w:rsidRPr="54779AAF" w:rsidR="001F2382">
        <w:rPr>
          <w:rFonts w:eastAsiaTheme="majorEastAsia"/>
        </w:rPr>
        <w:t>TEF</w:t>
      </w:r>
      <w:r w:rsidR="0041175D">
        <w:rPr>
          <w:rFonts w:eastAsiaTheme="majorEastAsia"/>
        </w:rPr>
        <w:t>”</w:t>
      </w:r>
      <w:r w:rsidRPr="54779AAF" w:rsidR="001F2382">
        <w:rPr>
          <w:rFonts w:eastAsiaTheme="majorEastAsia"/>
        </w:rPr>
        <w:t xml:space="preserve"> sono iniziative paneuropee transfrontaliere, parte di un network promosso e cofinanziato dalla Commissione </w:t>
      </w:r>
      <w:r w:rsidRPr="54779AAF" w:rsidR="00F93884">
        <w:rPr>
          <w:rFonts w:eastAsiaTheme="majorEastAsia"/>
        </w:rPr>
        <w:t>e</w:t>
      </w:r>
      <w:r w:rsidRPr="54779AAF" w:rsidR="001F2382">
        <w:rPr>
          <w:rFonts w:eastAsiaTheme="majorEastAsia"/>
        </w:rPr>
        <w:t xml:space="preserve">uropea nell'ambito del Digital Europe </w:t>
      </w:r>
      <w:r w:rsidRPr="54779AAF" w:rsidR="001F2382">
        <w:rPr>
          <w:rFonts w:eastAsiaTheme="majorEastAsia"/>
        </w:rPr>
        <w:t>Programme</w:t>
      </w:r>
      <w:r w:rsidRPr="54779AAF" w:rsidR="001F2382">
        <w:rPr>
          <w:rFonts w:eastAsiaTheme="majorEastAsia"/>
        </w:rPr>
        <w:t> (DEP)</w:t>
      </w:r>
      <w:r w:rsidRPr="54779AAF" w:rsidR="002244AE">
        <w:rPr>
          <w:rFonts w:eastAsiaTheme="majorEastAsia"/>
        </w:rPr>
        <w:t xml:space="preserve">. </w:t>
      </w:r>
      <w:r w:rsidRPr="00E564CE" w:rsidR="002244AE">
        <w:rPr>
          <w:rFonts w:eastAsiaTheme="majorEastAsia"/>
          <w:b/>
          <w:color w:val="0070C0"/>
        </w:rPr>
        <w:t xml:space="preserve">A tali fini, il comma in esame </w:t>
      </w:r>
      <w:r w:rsidRPr="00E564CE" w:rsidR="00324660">
        <w:rPr>
          <w:rFonts w:eastAsiaTheme="majorEastAsia"/>
          <w:b/>
          <w:color w:val="0070C0"/>
        </w:rPr>
        <w:t>p</w:t>
      </w:r>
      <w:r w:rsidRPr="00E564CE" w:rsidR="00F93884">
        <w:rPr>
          <w:rFonts w:eastAsiaTheme="majorEastAsia"/>
          <w:b/>
          <w:color w:val="0070C0"/>
        </w:rPr>
        <w:t>revede un’</w:t>
      </w:r>
      <w:r w:rsidRPr="00E564CE" w:rsidR="001F2382">
        <w:rPr>
          <w:rFonts w:eastAsiaTheme="majorEastAsia"/>
          <w:b/>
          <w:color w:val="0070C0"/>
        </w:rPr>
        <w:t>autorizza</w:t>
      </w:r>
      <w:r w:rsidRPr="00E564CE" w:rsidR="00F93884">
        <w:rPr>
          <w:rFonts w:eastAsiaTheme="majorEastAsia"/>
          <w:b/>
          <w:color w:val="0070C0"/>
        </w:rPr>
        <w:t>zione di</w:t>
      </w:r>
      <w:r w:rsidRPr="00E564CE" w:rsidR="001F2382">
        <w:rPr>
          <w:rFonts w:eastAsiaTheme="majorEastAsia"/>
          <w:b/>
          <w:color w:val="0070C0"/>
        </w:rPr>
        <w:t xml:space="preserve"> spesa </w:t>
      </w:r>
      <w:r w:rsidRPr="00E564CE" w:rsidR="00324660">
        <w:rPr>
          <w:rFonts w:eastAsiaTheme="majorEastAsia"/>
          <w:b/>
          <w:color w:val="0070C0"/>
        </w:rPr>
        <w:t>pari a</w:t>
      </w:r>
      <w:r w:rsidRPr="00E564CE" w:rsidR="00F93884">
        <w:rPr>
          <w:rFonts w:eastAsiaTheme="majorEastAsia"/>
          <w:b/>
          <w:color w:val="0070C0"/>
        </w:rPr>
        <w:t xml:space="preserve"> euro 6.324.762,50 per l</w:t>
      </w:r>
      <w:r w:rsidRPr="00E564CE" w:rsidR="00A4405C">
        <w:rPr>
          <w:rFonts w:eastAsiaTheme="majorEastAsia"/>
          <w:b/>
          <w:color w:val="0070C0"/>
        </w:rPr>
        <w:t>’</w:t>
      </w:r>
      <w:r w:rsidRPr="00E564CE" w:rsidR="00F93884">
        <w:rPr>
          <w:rFonts w:eastAsiaTheme="majorEastAsia"/>
          <w:b/>
          <w:color w:val="0070C0"/>
        </w:rPr>
        <w:t xml:space="preserve">anno 2026 </w:t>
      </w:r>
      <w:r w:rsidRPr="00E564CE" w:rsidR="006A24AE">
        <w:rPr>
          <w:rFonts w:eastAsiaTheme="majorEastAsia"/>
          <w:b/>
          <w:color w:val="0070C0"/>
        </w:rPr>
        <w:t xml:space="preserve">e </w:t>
      </w:r>
      <w:r w:rsidRPr="00E564CE">
        <w:rPr>
          <w:b/>
          <w:color w:val="0070C0"/>
        </w:rPr>
        <w:t>individua</w:t>
      </w:r>
      <w:r w:rsidRPr="00E564CE" w:rsidR="006A24AE">
        <w:rPr>
          <w:b/>
          <w:color w:val="0070C0"/>
        </w:rPr>
        <w:t xml:space="preserve"> la copertura dei relativi oneri</w:t>
      </w:r>
      <w:r w:rsidRPr="00E564CE" w:rsidR="001F2382">
        <w:rPr>
          <w:b/>
          <w:color w:val="0070C0"/>
        </w:rPr>
        <w:t>.</w:t>
      </w:r>
      <w:r w:rsidRPr="00E564CE" w:rsidR="00E21998">
        <w:rPr>
          <w:b/>
          <w:color w:val="0070C0"/>
        </w:rPr>
        <w:t xml:space="preserve"> In particolare</w:t>
      </w:r>
      <w:r w:rsidRPr="00E564CE" w:rsidR="0017461E">
        <w:rPr>
          <w:b/>
          <w:color w:val="0070C0"/>
        </w:rPr>
        <w:t xml:space="preserve">, si </w:t>
      </w:r>
      <w:r w:rsidRPr="00E564CE">
        <w:rPr>
          <w:b/>
          <w:color w:val="0070C0"/>
        </w:rPr>
        <w:t>prevede che agli oneri derivanti dal comma in esame si provvede mediante corrispondente riduzione, per l’anno 2026, del fondo di cui all’articolo 22 del decreto-legge 1° marzo 2022, n. 17, convertito, con modificazioni, dalla legge 27 aprile 2022, n. 34.</w:t>
      </w:r>
    </w:p>
    <w:bookmarkEnd w:id="74"/>
    <w:p w:rsidR="001F2382" w:rsidRPr="00987C41" w:rsidP="00987C41" w14:paraId="2F8B000E" w14:textId="6F885BEE">
      <w:pPr>
        <w:spacing w:after="120"/>
        <w:jc w:val="both"/>
        <w:rPr>
          <w:rFonts w:eastAsiaTheme="majorEastAsia"/>
          <w:szCs w:val="28"/>
        </w:rPr>
      </w:pPr>
      <w:r w:rsidRPr="00987C41">
        <w:rPr>
          <w:rFonts w:eastAsiaTheme="majorEastAsia"/>
          <w:szCs w:val="28"/>
        </w:rPr>
        <w:t>L'onere finanziario complessiv</w:t>
      </w:r>
      <w:r w:rsidRPr="00987C41" w:rsidR="003B5D49">
        <w:rPr>
          <w:rFonts w:eastAsiaTheme="majorEastAsia"/>
          <w:szCs w:val="28"/>
        </w:rPr>
        <w:t>amente derivante dalla disposizione in esame</w:t>
      </w:r>
      <w:r w:rsidRPr="00987C41">
        <w:rPr>
          <w:rFonts w:eastAsiaTheme="majorEastAsia"/>
          <w:szCs w:val="28"/>
        </w:rPr>
        <w:t xml:space="preserve"> è</w:t>
      </w:r>
      <w:r w:rsidR="00267FEE">
        <w:rPr>
          <w:rFonts w:eastAsiaTheme="majorEastAsia"/>
          <w:szCs w:val="28"/>
        </w:rPr>
        <w:t>, dunque,</w:t>
      </w:r>
      <w:r w:rsidRPr="00987C41">
        <w:rPr>
          <w:rFonts w:eastAsiaTheme="majorEastAsia"/>
          <w:szCs w:val="28"/>
        </w:rPr>
        <w:t xml:space="preserve"> pari a</w:t>
      </w:r>
      <w:bookmarkStart w:id="75" w:name="_Hlk212618318"/>
      <w:r w:rsidR="0037208F">
        <w:rPr>
          <w:rFonts w:eastAsiaTheme="majorEastAsia"/>
          <w:szCs w:val="28"/>
        </w:rPr>
        <w:t xml:space="preserve"> </w:t>
      </w:r>
      <w:r w:rsidRPr="00987C41" w:rsidR="003B5D49">
        <w:rPr>
          <w:rFonts w:eastAsiaTheme="majorEastAsia"/>
          <w:szCs w:val="28"/>
        </w:rPr>
        <w:t>euro</w:t>
      </w:r>
      <w:bookmarkEnd w:id="75"/>
      <w:r w:rsidRPr="002A65A0">
        <w:rPr>
          <w:rFonts w:eastAsiaTheme="majorEastAsia"/>
          <w:b/>
          <w:szCs w:val="28"/>
        </w:rPr>
        <w:t xml:space="preserve"> </w:t>
      </w:r>
      <w:r w:rsidRPr="00D63C13" w:rsidR="002A65A0">
        <w:rPr>
          <w:rFonts w:eastAsiaTheme="majorEastAsia"/>
          <w:szCs w:val="28"/>
        </w:rPr>
        <w:t>6.324.762</w:t>
      </w:r>
      <w:r w:rsidR="00915EE0">
        <w:rPr>
          <w:rFonts w:eastAsiaTheme="majorEastAsia"/>
          <w:szCs w:val="28"/>
        </w:rPr>
        <w:t>,</w:t>
      </w:r>
      <w:r w:rsidRPr="00D63C13" w:rsidR="002A65A0">
        <w:rPr>
          <w:rFonts w:eastAsiaTheme="majorEastAsia"/>
          <w:szCs w:val="28"/>
        </w:rPr>
        <w:t xml:space="preserve">50 per l’anno </w:t>
      </w:r>
      <w:r w:rsidRPr="00D63C13" w:rsidR="00D351EC">
        <w:rPr>
          <w:rFonts w:eastAsiaTheme="majorEastAsia"/>
          <w:szCs w:val="28"/>
        </w:rPr>
        <w:t xml:space="preserve">2026 </w:t>
      </w:r>
      <w:r w:rsidRPr="00987C41" w:rsidR="00D351EC">
        <w:rPr>
          <w:rFonts w:eastAsiaTheme="majorEastAsia"/>
          <w:szCs w:val="28"/>
        </w:rPr>
        <w:t>ripartito</w:t>
      </w:r>
      <w:r w:rsidRPr="00987C41">
        <w:rPr>
          <w:rFonts w:eastAsiaTheme="majorEastAsia"/>
          <w:szCs w:val="28"/>
        </w:rPr>
        <w:t>, sulla base delle più recenti stime di fabbisogno condivise dai soggetti attuatori, come segue:</w:t>
      </w:r>
    </w:p>
    <w:p w:rsidR="001F2382" w:rsidRPr="00987C41" w:rsidP="00987C41" w14:paraId="028DD901" w14:textId="77777777">
      <w:pPr>
        <w:spacing w:after="120"/>
        <w:ind w:firstLine="1134"/>
        <w:jc w:val="both"/>
        <w:rPr>
          <w:iCs/>
          <w:sz w:val="22"/>
          <w:szCs w:val="22"/>
        </w:rPr>
      </w:pPr>
    </w:p>
    <w:tbl>
      <w:tblPr>
        <w:tblStyle w:val="Grigliatabella12"/>
        <w:tblW w:w="4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9"/>
        <w:gridCol w:w="1822"/>
      </w:tblGrid>
      <w:tr w14:paraId="277F5518" w14:textId="77777777" w:rsidTr="002A65A0">
        <w:tblPrEx>
          <w:tblW w:w="4671" w:type="dxa"/>
          <w:tblLook w:val="04A0"/>
        </w:tblPrEx>
        <w:trPr>
          <w:trHeight w:val="342"/>
        </w:trPr>
        <w:tc>
          <w:tcPr>
            <w:tcW w:w="0" w:type="auto"/>
            <w:shd w:val="clear" w:color="auto" w:fill="E8E8E8"/>
            <w:hideMark/>
          </w:tcPr>
          <w:p w:rsidR="001F2382" w:rsidRPr="00987C41" w:rsidP="00987C41" w14:paraId="16CAAC85" w14:textId="77777777">
            <w:pPr>
              <w:spacing w:after="120"/>
              <w:rPr>
                <w:b/>
                <w:bCs/>
              </w:rPr>
            </w:pPr>
            <w:r w:rsidRPr="00987C41">
              <w:rPr>
                <w:b/>
                <w:bCs/>
              </w:rPr>
              <w:t>Progetto</w:t>
            </w:r>
          </w:p>
        </w:tc>
        <w:tc>
          <w:tcPr>
            <w:tcW w:w="0" w:type="auto"/>
            <w:shd w:val="clear" w:color="auto" w:fill="E8E8E8"/>
            <w:hideMark/>
          </w:tcPr>
          <w:p w:rsidR="001F2382" w:rsidRPr="00987C41" w:rsidP="00987C41" w14:paraId="784923C9" w14:textId="77777777">
            <w:pPr>
              <w:spacing w:after="120"/>
              <w:rPr>
                <w:b/>
                <w:bCs/>
              </w:rPr>
            </w:pPr>
            <w:r w:rsidRPr="00987C41">
              <w:rPr>
                <w:b/>
                <w:bCs/>
              </w:rPr>
              <w:t>Fabbisogno 2026</w:t>
            </w:r>
          </w:p>
        </w:tc>
      </w:tr>
      <w:tr w14:paraId="51A5B877" w14:textId="77777777" w:rsidTr="002A65A0">
        <w:tblPrEx>
          <w:tblW w:w="4671" w:type="dxa"/>
          <w:tblLook w:val="04A0"/>
        </w:tblPrEx>
        <w:trPr>
          <w:trHeight w:val="322"/>
        </w:trPr>
        <w:tc>
          <w:tcPr>
            <w:tcW w:w="0" w:type="auto"/>
            <w:hideMark/>
          </w:tcPr>
          <w:p w:rsidR="001F2382" w:rsidRPr="00987C41" w:rsidP="00987C41" w14:paraId="5AF03416" w14:textId="77777777">
            <w:pPr>
              <w:spacing w:after="120"/>
            </w:pPr>
            <w:r w:rsidRPr="00987C41">
              <w:rPr>
                <w:b/>
                <w:bCs/>
              </w:rPr>
              <w:t>AgriFoodTEF</w:t>
            </w:r>
          </w:p>
        </w:tc>
        <w:tc>
          <w:tcPr>
            <w:tcW w:w="0" w:type="auto"/>
            <w:hideMark/>
          </w:tcPr>
          <w:p w:rsidR="001F2382" w:rsidRPr="00987C41" w:rsidP="00987C41" w14:paraId="4C0B1CF0" w14:textId="77777777">
            <w:pPr>
              <w:spacing w:after="120"/>
            </w:pPr>
            <w:r w:rsidRPr="00987C41">
              <w:t>€ 3.703.776,50</w:t>
            </w:r>
          </w:p>
        </w:tc>
      </w:tr>
      <w:tr w14:paraId="0BDD91D5" w14:textId="77777777" w:rsidTr="002A65A0">
        <w:tblPrEx>
          <w:tblW w:w="4671" w:type="dxa"/>
          <w:tblLook w:val="04A0"/>
        </w:tblPrEx>
        <w:trPr>
          <w:trHeight w:val="342"/>
        </w:trPr>
        <w:tc>
          <w:tcPr>
            <w:tcW w:w="0" w:type="auto"/>
            <w:hideMark/>
          </w:tcPr>
          <w:p w:rsidR="001F2382" w:rsidRPr="00987C41" w:rsidP="00987C41" w14:paraId="5DA28FAF" w14:textId="77777777">
            <w:pPr>
              <w:spacing w:after="120"/>
            </w:pPr>
            <w:r w:rsidRPr="00987C41">
              <w:rPr>
                <w:b/>
                <w:bCs/>
              </w:rPr>
              <w:t>AI-MATTERS</w:t>
            </w:r>
            <w:r w:rsidRPr="00987C41">
              <w:t> (stima)</w:t>
            </w:r>
          </w:p>
        </w:tc>
        <w:tc>
          <w:tcPr>
            <w:tcW w:w="0" w:type="auto"/>
            <w:hideMark/>
          </w:tcPr>
          <w:p w:rsidR="001F2382" w:rsidRPr="00987C41" w:rsidP="00987C41" w14:paraId="406F2057" w14:textId="77777777">
            <w:pPr>
              <w:spacing w:after="120"/>
            </w:pPr>
            <w:r w:rsidRPr="00987C41">
              <w:t>€ 2.620.986,00</w:t>
            </w:r>
          </w:p>
        </w:tc>
      </w:tr>
      <w:tr w14:paraId="1292196C" w14:textId="77777777" w:rsidTr="002A65A0">
        <w:tblPrEx>
          <w:tblW w:w="4671" w:type="dxa"/>
          <w:tblLook w:val="04A0"/>
        </w:tblPrEx>
        <w:trPr>
          <w:trHeight w:val="322"/>
        </w:trPr>
        <w:tc>
          <w:tcPr>
            <w:tcW w:w="0" w:type="auto"/>
            <w:hideMark/>
          </w:tcPr>
          <w:p w:rsidR="001F2382" w:rsidRPr="00987C41" w:rsidP="00987C41" w14:paraId="4E305DE9" w14:textId="77777777">
            <w:pPr>
              <w:spacing w:after="120"/>
            </w:pPr>
            <w:r w:rsidRPr="00987C41">
              <w:rPr>
                <w:b/>
                <w:bCs/>
              </w:rPr>
              <w:t>TOTALE COMPLESSIVO</w:t>
            </w:r>
          </w:p>
        </w:tc>
        <w:tc>
          <w:tcPr>
            <w:tcW w:w="0" w:type="auto"/>
            <w:hideMark/>
          </w:tcPr>
          <w:p w:rsidR="001F2382" w:rsidRPr="00987C41" w:rsidP="00987C41" w14:paraId="308FA310" w14:textId="77777777">
            <w:pPr>
              <w:spacing w:after="120"/>
            </w:pPr>
            <w:r w:rsidRPr="00987C41">
              <w:rPr>
                <w:b/>
                <w:bCs/>
              </w:rPr>
              <w:t>€ 6.324.762,50</w:t>
            </w:r>
          </w:p>
        </w:tc>
      </w:tr>
    </w:tbl>
    <w:p w:rsidR="001F2382" w:rsidRPr="00987C41" w:rsidP="00987C41" w14:paraId="09E5FF35" w14:textId="77777777">
      <w:pPr>
        <w:spacing w:after="120"/>
        <w:jc w:val="both"/>
        <w:rPr>
          <w:sz w:val="22"/>
          <w:szCs w:val="22"/>
        </w:rPr>
      </w:pPr>
    </w:p>
    <w:p w:rsidR="002A65A0" w:rsidRPr="00E564CE" w:rsidP="002A65A0" w14:paraId="531AC723" w14:textId="3D777B90">
      <w:pPr>
        <w:spacing w:after="120"/>
        <w:jc w:val="both"/>
        <w:rPr>
          <w:rFonts w:eastAsiaTheme="majorEastAsia"/>
          <w:b/>
          <w:color w:val="0070C0"/>
        </w:rPr>
      </w:pPr>
      <w:r w:rsidRPr="00E564CE">
        <w:rPr>
          <w:rFonts w:eastAsiaTheme="majorEastAsia"/>
          <w:b/>
          <w:color w:val="0070C0"/>
        </w:rPr>
        <w:t xml:space="preserve">Il finanziamento della misura è garantito </w:t>
      </w:r>
      <w:r w:rsidRPr="00E564CE" w:rsidR="000420C4">
        <w:rPr>
          <w:rFonts w:eastAsiaTheme="majorEastAsia"/>
          <w:b/>
          <w:color w:val="0070C0"/>
        </w:rPr>
        <w:t>dal</w:t>
      </w:r>
      <w:r w:rsidRPr="00E564CE" w:rsidR="00C80E79">
        <w:rPr>
          <w:rFonts w:eastAsiaTheme="majorEastAsia"/>
          <w:b/>
          <w:color w:val="0070C0"/>
        </w:rPr>
        <w:t>la rimodulazione finanziaria del</w:t>
      </w:r>
      <w:r w:rsidRPr="00E564CE">
        <w:rPr>
          <w:b/>
          <w:color w:val="0070C0"/>
        </w:rPr>
        <w:t xml:space="preserve"> capitolo 7356 – 1 “Fondo da ripartire per la transizione verde, la ricerca, gli investimenti del settore automotive e per il riconoscimento di incentivi all'acquisto di veicoli non inquinanti</w:t>
      </w:r>
      <w:r w:rsidRPr="00E564CE">
        <w:rPr>
          <w:rFonts w:eastAsiaTheme="majorEastAsia"/>
          <w:b/>
          <w:color w:val="0070C0"/>
        </w:rPr>
        <w:t>”</w:t>
      </w:r>
      <w:r w:rsidRPr="00E564CE" w:rsidR="000420C4">
        <w:rPr>
          <w:rFonts w:eastAsiaTheme="majorEastAsia"/>
          <w:b/>
          <w:color w:val="0070C0"/>
        </w:rPr>
        <w:t>, n</w:t>
      </w:r>
      <w:r w:rsidRPr="00E564CE">
        <w:rPr>
          <w:rFonts w:eastAsiaTheme="majorEastAsia"/>
          <w:b/>
          <w:color w:val="0070C0"/>
        </w:rPr>
        <w:t>ello stato di previsione del</w:t>
      </w:r>
      <w:r w:rsidRPr="00E564CE" w:rsidR="003B5D49">
        <w:rPr>
          <w:b/>
          <w:color w:val="0070C0"/>
        </w:rPr>
        <w:t xml:space="preserve"> </w:t>
      </w:r>
      <w:r w:rsidRPr="00E564CE" w:rsidR="003B5D49">
        <w:rPr>
          <w:rFonts w:eastAsiaTheme="majorEastAsia"/>
          <w:b/>
          <w:color w:val="0070C0"/>
        </w:rPr>
        <w:t xml:space="preserve">Ministero delle imprese e del made in </w:t>
      </w:r>
      <w:r w:rsidRPr="00E564CE" w:rsidR="001D569D">
        <w:rPr>
          <w:rFonts w:eastAsiaTheme="majorEastAsia"/>
          <w:b/>
          <w:color w:val="0070C0"/>
        </w:rPr>
        <w:t>Italy.</w:t>
      </w:r>
      <w:r w:rsidRPr="00E564CE">
        <w:rPr>
          <w:rFonts w:eastAsiaTheme="majorEastAsia"/>
          <w:b/>
          <w:color w:val="0070C0"/>
        </w:rPr>
        <w:t xml:space="preserve"> </w:t>
      </w:r>
    </w:p>
    <w:p w:rsidR="001F2382" w:rsidRPr="00987C41" w:rsidP="002A65A0" w14:paraId="3451E52F" w14:textId="28EDF751">
      <w:pPr>
        <w:spacing w:after="120"/>
        <w:jc w:val="both"/>
        <w:rPr>
          <w:rFonts w:eastAsiaTheme="majorEastAsia"/>
          <w:szCs w:val="28"/>
        </w:rPr>
      </w:pPr>
      <w:r w:rsidRPr="00987C41">
        <w:rPr>
          <w:rFonts w:eastAsiaTheme="majorEastAsia"/>
          <w:szCs w:val="28"/>
        </w:rPr>
        <w:t>Di seguito si riporta l’attuale dotazione finanziaria</w:t>
      </w:r>
      <w:r w:rsidRPr="00987C41" w:rsidR="005310C0">
        <w:rPr>
          <w:rFonts w:eastAsiaTheme="majorEastAsia"/>
          <w:szCs w:val="28"/>
        </w:rPr>
        <w:t xml:space="preserve"> del fondo </w:t>
      </w:r>
      <w:r w:rsidRPr="00987C41" w:rsidR="005310C0">
        <w:rPr>
          <w:rFonts w:eastAsiaTheme="majorEastAsia"/>
          <w:i/>
          <w:iCs/>
          <w:szCs w:val="28"/>
        </w:rPr>
        <w:t>de quo</w:t>
      </w:r>
      <w:r w:rsidRPr="00987C41">
        <w:rPr>
          <w:rFonts w:eastAsiaTheme="majorEastAsia"/>
          <w:szCs w:val="28"/>
        </w:rPr>
        <w:t xml:space="preserve">, </w:t>
      </w:r>
      <w:r w:rsidRPr="00987C41" w:rsidR="005310C0">
        <w:rPr>
          <w:rFonts w:eastAsiaTheme="majorEastAsia"/>
          <w:szCs w:val="28"/>
        </w:rPr>
        <w:t>con</w:t>
      </w:r>
      <w:r w:rsidRPr="00987C41">
        <w:rPr>
          <w:rFonts w:eastAsiaTheme="majorEastAsia"/>
          <w:szCs w:val="28"/>
        </w:rPr>
        <w:t xml:space="preserve"> le occorrenti disponibilità, sul</w:t>
      </w:r>
      <w:r w:rsidRPr="00987C41" w:rsidR="005310C0">
        <w:rPr>
          <w:rFonts w:eastAsiaTheme="majorEastAsia"/>
          <w:szCs w:val="28"/>
        </w:rPr>
        <w:t xml:space="preserve">le </w:t>
      </w:r>
      <w:r w:rsidRPr="00987C41">
        <w:rPr>
          <w:rFonts w:eastAsiaTheme="majorEastAsia"/>
          <w:szCs w:val="28"/>
        </w:rPr>
        <w:t>qual</w:t>
      </w:r>
      <w:r w:rsidRPr="00987C41" w:rsidR="005310C0">
        <w:rPr>
          <w:rFonts w:eastAsiaTheme="majorEastAsia"/>
          <w:szCs w:val="28"/>
        </w:rPr>
        <w:t>i</w:t>
      </w:r>
      <w:r w:rsidRPr="00987C41">
        <w:rPr>
          <w:rFonts w:eastAsiaTheme="majorEastAsia"/>
          <w:szCs w:val="28"/>
        </w:rPr>
        <w:t xml:space="preserve"> andranno a gravare </w:t>
      </w:r>
      <w:r w:rsidRPr="00987C41" w:rsidR="00B67AE9">
        <w:rPr>
          <w:rFonts w:eastAsiaTheme="majorEastAsia"/>
          <w:szCs w:val="28"/>
        </w:rPr>
        <w:t>gli oneri</w:t>
      </w:r>
      <w:r w:rsidRPr="00987C41">
        <w:rPr>
          <w:rFonts w:eastAsiaTheme="majorEastAsia"/>
          <w:szCs w:val="28"/>
        </w:rPr>
        <w:t xml:space="preserve"> </w:t>
      </w:r>
      <w:r w:rsidRPr="00987C41" w:rsidR="00EC1010">
        <w:rPr>
          <w:rFonts w:eastAsiaTheme="majorEastAsia"/>
          <w:szCs w:val="28"/>
        </w:rPr>
        <w:t>derivanti dalla norma in esame,</w:t>
      </w:r>
      <w:r w:rsidRPr="00987C41">
        <w:rPr>
          <w:rFonts w:eastAsiaTheme="majorEastAsia"/>
          <w:szCs w:val="28"/>
        </w:rPr>
        <w:t xml:space="preserve"> pari a </w:t>
      </w:r>
      <w:r w:rsidRPr="00987C41" w:rsidR="001424CE">
        <w:rPr>
          <w:rFonts w:eastAsiaTheme="majorEastAsia"/>
          <w:szCs w:val="28"/>
        </w:rPr>
        <w:t xml:space="preserve">euro </w:t>
      </w:r>
      <w:r w:rsidRPr="00987C41">
        <w:rPr>
          <w:rFonts w:eastAsiaTheme="majorEastAsia"/>
          <w:b/>
          <w:szCs w:val="28"/>
        </w:rPr>
        <w:t>6.324.762,50</w:t>
      </w:r>
      <w:r w:rsidRPr="00987C41">
        <w:rPr>
          <w:rFonts w:eastAsiaTheme="majorEastAsia"/>
          <w:szCs w:val="28"/>
        </w:rPr>
        <w:t xml:space="preserve"> per l’anno 2026</w:t>
      </w:r>
      <w:r w:rsidR="00C32EBA">
        <w:rPr>
          <w:rFonts w:eastAsiaTheme="majorEastAsia"/>
          <w:szCs w:val="28"/>
        </w:rPr>
        <w:t>.</w:t>
      </w:r>
      <w:r w:rsidRPr="00987C41">
        <w:rPr>
          <w:rFonts w:eastAsiaTheme="majorEastAsia"/>
          <w:szCs w:val="28"/>
        </w:rPr>
        <w:t xml:space="preserve"> </w:t>
      </w:r>
    </w:p>
    <w:p w:rsidR="007E3B1F" w:rsidRPr="00987C41" w:rsidP="00987C41" w14:paraId="6F4FD374" w14:textId="77777777">
      <w:pPr>
        <w:spacing w:after="120"/>
        <w:jc w:val="both"/>
        <w:rPr>
          <w:rFonts w:eastAsiaTheme="majorEastAsia"/>
        </w:rPr>
      </w:pPr>
      <w:r w:rsidRPr="00987C41">
        <w:rPr>
          <w:rFonts w:eastAsiaTheme="majorEastAsia"/>
        </w:rPr>
        <w:t xml:space="preserve"> </w:t>
      </w:r>
    </w:p>
    <w:tbl>
      <w:tblPr>
        <w:tblStyle w:val="Grigliatabella5"/>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9"/>
        <w:gridCol w:w="1846"/>
        <w:gridCol w:w="1836"/>
        <w:gridCol w:w="2109"/>
      </w:tblGrid>
      <w:tr w14:paraId="7D6EF896" w14:textId="77777777" w:rsidTr="00171044">
        <w:tblPrEx>
          <w:tblW w:w="0" w:type="auto"/>
          <w:tblInd w:w="990" w:type="dxa"/>
          <w:tblLook w:val="04A0"/>
        </w:tblPrEx>
        <w:tc>
          <w:tcPr>
            <w:tcW w:w="1859" w:type="dxa"/>
          </w:tcPr>
          <w:p w:rsidR="007E3B1F" w:rsidRPr="00987C41" w:rsidP="00987C41" w14:paraId="646FFFC0" w14:textId="065774AC">
            <w:pPr>
              <w:spacing w:after="120"/>
              <w:jc w:val="both"/>
              <w:rPr>
                <w:sz w:val="22"/>
                <w:szCs w:val="22"/>
              </w:rPr>
            </w:pPr>
            <w:r w:rsidRPr="00987C41">
              <w:rPr>
                <w:b/>
                <w:bCs/>
                <w:sz w:val="22"/>
                <w:szCs w:val="22"/>
              </w:rPr>
              <w:t xml:space="preserve">Capitolo </w:t>
            </w:r>
            <w:r w:rsidRPr="00987C41" w:rsidR="007178BE">
              <w:rPr>
                <w:b/>
                <w:bCs/>
                <w:sz w:val="22"/>
                <w:szCs w:val="22"/>
              </w:rPr>
              <w:t>–</w:t>
            </w:r>
            <w:r w:rsidRPr="00987C41">
              <w:rPr>
                <w:b/>
                <w:bCs/>
                <w:sz w:val="22"/>
                <w:szCs w:val="22"/>
              </w:rPr>
              <w:t xml:space="preserve"> PG</w:t>
            </w:r>
          </w:p>
        </w:tc>
        <w:tc>
          <w:tcPr>
            <w:tcW w:w="1846" w:type="dxa"/>
          </w:tcPr>
          <w:p w:rsidR="007E3B1F" w:rsidRPr="00987C41" w:rsidP="00987C41" w14:paraId="37B35745" w14:textId="77777777">
            <w:pPr>
              <w:spacing w:after="120"/>
              <w:jc w:val="both"/>
              <w:rPr>
                <w:sz w:val="22"/>
                <w:szCs w:val="22"/>
              </w:rPr>
            </w:pPr>
            <w:r w:rsidRPr="00987C41">
              <w:rPr>
                <w:b/>
                <w:bCs/>
                <w:sz w:val="22"/>
                <w:szCs w:val="22"/>
              </w:rPr>
              <w:t>Esercizio</w:t>
            </w:r>
          </w:p>
        </w:tc>
        <w:tc>
          <w:tcPr>
            <w:tcW w:w="1836" w:type="dxa"/>
          </w:tcPr>
          <w:p w:rsidR="007E3B1F" w:rsidRPr="00987C41" w:rsidP="00987C41" w14:paraId="7627C8D5" w14:textId="77777777">
            <w:pPr>
              <w:spacing w:after="120"/>
              <w:jc w:val="center"/>
              <w:rPr>
                <w:sz w:val="22"/>
                <w:szCs w:val="22"/>
              </w:rPr>
            </w:pPr>
            <w:r w:rsidRPr="00987C41">
              <w:rPr>
                <w:b/>
                <w:bCs/>
                <w:sz w:val="22"/>
                <w:szCs w:val="22"/>
              </w:rPr>
              <w:t>COMPETENZA</w:t>
            </w:r>
          </w:p>
        </w:tc>
        <w:tc>
          <w:tcPr>
            <w:tcW w:w="2109" w:type="dxa"/>
          </w:tcPr>
          <w:p w:rsidR="007E3B1F" w:rsidRPr="00987C41" w:rsidP="00987C41" w14:paraId="6F507A41" w14:textId="77777777">
            <w:pPr>
              <w:spacing w:after="120"/>
              <w:jc w:val="center"/>
              <w:rPr>
                <w:sz w:val="22"/>
                <w:szCs w:val="22"/>
              </w:rPr>
            </w:pPr>
            <w:r w:rsidRPr="00987C41">
              <w:rPr>
                <w:b/>
                <w:bCs/>
                <w:sz w:val="22"/>
                <w:szCs w:val="22"/>
              </w:rPr>
              <w:t>CASSA</w:t>
            </w:r>
          </w:p>
        </w:tc>
      </w:tr>
      <w:tr w14:paraId="3000CE0D" w14:textId="77777777" w:rsidTr="00987C41">
        <w:tblPrEx>
          <w:tblW w:w="0" w:type="auto"/>
          <w:tblInd w:w="990" w:type="dxa"/>
          <w:tblLook w:val="04A0"/>
        </w:tblPrEx>
        <w:trPr>
          <w:trHeight w:val="234"/>
        </w:trPr>
        <w:tc>
          <w:tcPr>
            <w:tcW w:w="1859" w:type="dxa"/>
          </w:tcPr>
          <w:p w:rsidR="007E3B1F" w:rsidRPr="00987C41" w:rsidP="00987C41" w14:paraId="25437EC4" w14:textId="47D11C9F">
            <w:pPr>
              <w:spacing w:after="120"/>
              <w:jc w:val="both"/>
              <w:rPr>
                <w:sz w:val="22"/>
                <w:szCs w:val="22"/>
              </w:rPr>
            </w:pPr>
            <w:r w:rsidRPr="00987C41">
              <w:rPr>
                <w:b/>
                <w:bCs/>
                <w:sz w:val="22"/>
                <w:szCs w:val="22"/>
              </w:rPr>
              <w:t xml:space="preserve">7356 </w:t>
            </w:r>
            <w:r w:rsidRPr="00987C41" w:rsidR="007178BE">
              <w:rPr>
                <w:b/>
                <w:bCs/>
                <w:sz w:val="22"/>
                <w:szCs w:val="22"/>
              </w:rPr>
              <w:t>–</w:t>
            </w:r>
            <w:r w:rsidRPr="00987C41">
              <w:rPr>
                <w:b/>
                <w:bCs/>
                <w:sz w:val="22"/>
                <w:szCs w:val="22"/>
              </w:rPr>
              <w:t xml:space="preserve"> 1</w:t>
            </w:r>
          </w:p>
        </w:tc>
        <w:tc>
          <w:tcPr>
            <w:tcW w:w="1846" w:type="dxa"/>
          </w:tcPr>
          <w:p w:rsidR="007E3B1F" w:rsidRPr="00987C41" w:rsidP="00987C41" w14:paraId="2962EAD0" w14:textId="77777777">
            <w:pPr>
              <w:spacing w:after="120"/>
              <w:jc w:val="center"/>
              <w:rPr>
                <w:sz w:val="22"/>
                <w:szCs w:val="22"/>
              </w:rPr>
            </w:pPr>
            <w:r w:rsidRPr="00987C41">
              <w:rPr>
                <w:sz w:val="22"/>
                <w:szCs w:val="22"/>
              </w:rPr>
              <w:t>2026</w:t>
            </w:r>
          </w:p>
        </w:tc>
        <w:tc>
          <w:tcPr>
            <w:tcW w:w="1836" w:type="dxa"/>
          </w:tcPr>
          <w:p w:rsidR="007E3B1F" w:rsidRPr="00987C41" w:rsidP="00987C41" w14:paraId="52D6FD96" w14:textId="13145E81">
            <w:pPr>
              <w:spacing w:after="120"/>
              <w:jc w:val="right"/>
              <w:rPr>
                <w:sz w:val="22"/>
                <w:szCs w:val="22"/>
              </w:rPr>
            </w:pPr>
            <w:r w:rsidRPr="00987C41">
              <w:rPr>
                <w:sz w:val="22"/>
                <w:szCs w:val="22"/>
              </w:rPr>
              <w:t>400.000.000,00</w:t>
            </w:r>
          </w:p>
        </w:tc>
        <w:tc>
          <w:tcPr>
            <w:tcW w:w="2109" w:type="dxa"/>
          </w:tcPr>
          <w:p w:rsidR="007E3B1F" w:rsidRPr="00987C41" w:rsidP="00987C41" w14:paraId="3BF13812" w14:textId="0F7A450C">
            <w:pPr>
              <w:spacing w:after="120"/>
              <w:jc w:val="right"/>
              <w:rPr>
                <w:sz w:val="22"/>
                <w:szCs w:val="22"/>
              </w:rPr>
            </w:pPr>
            <w:r w:rsidRPr="00987C41">
              <w:rPr>
                <w:sz w:val="22"/>
                <w:szCs w:val="22"/>
              </w:rPr>
              <w:t>400.000.000,00</w:t>
            </w:r>
          </w:p>
        </w:tc>
      </w:tr>
      <w:bookmarkEnd w:id="66"/>
    </w:tbl>
    <w:p w:rsidR="00C32EBA" w:rsidP="00C32EBA" w14:paraId="0C0274A0" w14:textId="77777777">
      <w:pPr>
        <w:rPr>
          <w:rFonts w:eastAsiaTheme="majorEastAsia"/>
        </w:rPr>
      </w:pPr>
    </w:p>
    <w:p w:rsidR="00B87A48" w:rsidRPr="00C32EBA" w:rsidP="00C32EBA" w14:paraId="3F72E6EA" w14:textId="77777777">
      <w:pPr>
        <w:rPr>
          <w:rFonts w:eastAsiaTheme="majorEastAsia"/>
        </w:rPr>
      </w:pPr>
    </w:p>
    <w:p w:rsidR="00E136BB" w:rsidRPr="003E4D8A" w:rsidP="00987C41" w14:paraId="12017B80" w14:textId="16F972D0">
      <w:pPr>
        <w:pStyle w:val="Heading3"/>
        <w:spacing w:before="0" w:after="120"/>
        <w:rPr>
          <w:rFonts w:eastAsia="Times New Roman"/>
          <w:color w:val="000000" w:themeColor="text1"/>
        </w:rPr>
      </w:pPr>
      <w:bookmarkStart w:id="76" w:name="_Toc220077570"/>
      <w:r w:rsidRPr="00FC0121">
        <w:rPr>
          <w:rFonts w:eastAsia="Times New Roman"/>
          <w:color w:val="000000" w:themeColor="text1"/>
        </w:rPr>
        <w:t xml:space="preserve">ART. </w:t>
      </w:r>
      <w:r w:rsidR="00DB618A">
        <w:rPr>
          <w:rFonts w:eastAsia="Times New Roman"/>
          <w:color w:val="000000" w:themeColor="text1"/>
        </w:rPr>
        <w:t>2</w:t>
      </w:r>
      <w:r w:rsidR="00B87A48">
        <w:rPr>
          <w:rFonts w:eastAsia="Times New Roman"/>
          <w:color w:val="000000" w:themeColor="text1"/>
        </w:rPr>
        <w:t>7</w:t>
      </w:r>
      <w:r w:rsidR="003E4D8A">
        <w:rPr>
          <w:rFonts w:eastAsia="Times New Roman"/>
          <w:color w:val="000000" w:themeColor="text1"/>
        </w:rPr>
        <w:t xml:space="preserve">                                                                                                                                            </w:t>
      </w:r>
      <w:r w:rsidR="003E4D8A">
        <w:rPr>
          <w:rFonts w:eastAsia="Times New Roman"/>
          <w:color w:val="000000" w:themeColor="text1"/>
        </w:rPr>
        <w:t xml:space="preserve">   </w:t>
      </w:r>
      <w:r w:rsidRPr="00FC0121">
        <w:rPr>
          <w:rFonts w:eastAsia="Times New Roman"/>
          <w:color w:val="000000" w:themeColor="text1"/>
        </w:rPr>
        <w:t>(</w:t>
      </w:r>
      <w:r w:rsidRPr="00FC0121">
        <w:rPr>
          <w:rFonts w:eastAsia="Times New Roman"/>
          <w:color w:val="000000" w:themeColor="text1"/>
        </w:rPr>
        <w:t xml:space="preserve">Misure urgenti in materia di </w:t>
      </w:r>
      <w:r w:rsidR="007447A0">
        <w:rPr>
          <w:rFonts w:eastAsia="Times New Roman"/>
          <w:color w:val="000000" w:themeColor="text1"/>
        </w:rPr>
        <w:t xml:space="preserve">mercato e </w:t>
      </w:r>
      <w:r w:rsidR="00CA0CE1">
        <w:rPr>
          <w:rFonts w:eastAsia="Times New Roman"/>
          <w:color w:val="000000" w:themeColor="text1"/>
        </w:rPr>
        <w:t xml:space="preserve">di </w:t>
      </w:r>
      <w:r w:rsidR="007447A0">
        <w:rPr>
          <w:rFonts w:eastAsia="Times New Roman"/>
          <w:color w:val="000000" w:themeColor="text1"/>
        </w:rPr>
        <w:t>concorrenza</w:t>
      </w:r>
      <w:r w:rsidR="00CA0CE1">
        <w:rPr>
          <w:rFonts w:eastAsia="Times New Roman"/>
          <w:color w:val="000000" w:themeColor="text1"/>
        </w:rPr>
        <w:t xml:space="preserve"> </w:t>
      </w:r>
      <w:r w:rsidRPr="00CA0CE1" w:rsidR="00CA0CE1">
        <w:rPr>
          <w:rFonts w:eastAsia="Times New Roman"/>
          <w:color w:val="000000" w:themeColor="text1"/>
        </w:rPr>
        <w:t>in attuazione della Riforma 2 «Leggi annuali sulla concorrenza» della Missione 1 - Componente 2 del PNRR</w:t>
      </w:r>
      <w:r w:rsidRPr="00FC0121">
        <w:rPr>
          <w:rFonts w:eastAsia="Times New Roman"/>
          <w:color w:val="000000" w:themeColor="text1"/>
        </w:rPr>
        <w:t>)</w:t>
      </w:r>
      <w:bookmarkEnd w:id="76"/>
    </w:p>
    <w:p w:rsidR="00895215" w:rsidP="00212565" w14:paraId="02CC37EF" w14:textId="2D1D7D8B">
      <w:pPr>
        <w:autoSpaceDE w:val="0"/>
        <w:autoSpaceDN w:val="0"/>
        <w:adjustRightInd w:val="0"/>
        <w:spacing w:after="120"/>
        <w:jc w:val="both"/>
        <w:rPr>
          <w:rFonts w:eastAsiaTheme="majorEastAsia"/>
          <w:szCs w:val="28"/>
        </w:rPr>
      </w:pPr>
      <w:r w:rsidRPr="00212565">
        <w:rPr>
          <w:rFonts w:eastAsiaTheme="majorEastAsia"/>
          <w:szCs w:val="28"/>
        </w:rPr>
        <w:t xml:space="preserve">Il </w:t>
      </w:r>
      <w:r w:rsidRPr="00212565">
        <w:rPr>
          <w:rFonts w:eastAsiaTheme="majorEastAsia"/>
          <w:b/>
          <w:szCs w:val="28"/>
          <w:u w:val="single"/>
        </w:rPr>
        <w:t>comma 1</w:t>
      </w:r>
      <w:r w:rsidRPr="00212565" w:rsidR="004C2A84">
        <w:rPr>
          <w:rFonts w:eastAsiaTheme="majorEastAsia"/>
          <w:szCs w:val="28"/>
        </w:rPr>
        <w:t xml:space="preserve"> </w:t>
      </w:r>
      <w:r w:rsidRPr="00212565" w:rsidR="00D9043F">
        <w:rPr>
          <w:rFonts w:eastAsiaTheme="majorEastAsia"/>
          <w:szCs w:val="28"/>
        </w:rPr>
        <w:t xml:space="preserve">interviene </w:t>
      </w:r>
      <w:r w:rsidRPr="00212565" w:rsidR="00E8726B">
        <w:rPr>
          <w:rFonts w:eastAsiaTheme="majorEastAsia"/>
          <w:szCs w:val="28"/>
        </w:rPr>
        <w:t>sul decreto legislativo 23 dicembre 2022, n. 201</w:t>
      </w:r>
      <w:r w:rsidR="00C06D3A">
        <w:rPr>
          <w:rFonts w:eastAsiaTheme="majorEastAsia"/>
          <w:szCs w:val="28"/>
        </w:rPr>
        <w:t>, recante “</w:t>
      </w:r>
      <w:r w:rsidRPr="00C06D3A" w:rsidR="00C06D3A">
        <w:rPr>
          <w:rFonts w:eastAsiaTheme="majorEastAsia"/>
          <w:i/>
          <w:iCs/>
          <w:szCs w:val="28"/>
        </w:rPr>
        <w:t>Riordino della disciplina dei servizi pubblici locali di rilevanza economica</w:t>
      </w:r>
      <w:r w:rsidR="00C06D3A">
        <w:rPr>
          <w:rFonts w:eastAsiaTheme="majorEastAsia"/>
          <w:szCs w:val="28"/>
        </w:rPr>
        <w:t>”</w:t>
      </w:r>
      <w:r w:rsidRPr="00212565" w:rsidR="005903B9">
        <w:rPr>
          <w:rFonts w:eastAsiaTheme="majorEastAsia"/>
          <w:szCs w:val="28"/>
        </w:rPr>
        <w:t xml:space="preserve">. </w:t>
      </w:r>
    </w:p>
    <w:p w:rsidR="00112032" w:rsidRPr="00320854" w:rsidP="00320854" w14:paraId="78DFFCEC" w14:textId="10E2C125">
      <w:pPr>
        <w:jc w:val="both"/>
        <w:rPr>
          <w:rFonts w:eastAsiaTheme="majorEastAsia"/>
        </w:rPr>
      </w:pPr>
      <w:r w:rsidRPr="00212565">
        <w:rPr>
          <w:rFonts w:eastAsiaTheme="majorEastAsia"/>
          <w:szCs w:val="28"/>
        </w:rPr>
        <w:t>In particolare</w:t>
      </w:r>
      <w:r w:rsidRPr="00212565" w:rsidR="00D9043F">
        <w:rPr>
          <w:rFonts w:eastAsiaTheme="majorEastAsia"/>
          <w:szCs w:val="28"/>
        </w:rPr>
        <w:t>,</w:t>
      </w:r>
      <w:r w:rsidRPr="00212565">
        <w:rPr>
          <w:rFonts w:eastAsiaTheme="majorEastAsia"/>
          <w:szCs w:val="28"/>
        </w:rPr>
        <w:t xml:space="preserve"> </w:t>
      </w:r>
      <w:r w:rsidRPr="00212565">
        <w:rPr>
          <w:rFonts w:eastAsiaTheme="majorEastAsia"/>
          <w:b/>
          <w:szCs w:val="28"/>
          <w:u w:val="single"/>
        </w:rPr>
        <w:t xml:space="preserve">la </w:t>
      </w:r>
      <w:r w:rsidRPr="00212565" w:rsidR="004C2A84">
        <w:rPr>
          <w:rFonts w:eastAsiaTheme="majorEastAsia"/>
          <w:b/>
          <w:szCs w:val="28"/>
          <w:u w:val="single"/>
        </w:rPr>
        <w:t>lett</w:t>
      </w:r>
      <w:r w:rsidR="00895215">
        <w:rPr>
          <w:rFonts w:eastAsiaTheme="majorEastAsia"/>
          <w:b/>
          <w:szCs w:val="28"/>
          <w:u w:val="single"/>
        </w:rPr>
        <w:t>era</w:t>
      </w:r>
      <w:r w:rsidRPr="00212565" w:rsidR="004C2A84">
        <w:rPr>
          <w:rFonts w:eastAsiaTheme="majorEastAsia"/>
          <w:b/>
          <w:szCs w:val="28"/>
          <w:u w:val="single"/>
        </w:rPr>
        <w:t xml:space="preserve"> a</w:t>
      </w:r>
      <w:r w:rsidRPr="00212565" w:rsidR="004C2A84">
        <w:rPr>
          <w:rFonts w:eastAsiaTheme="majorEastAsia"/>
          <w:b/>
          <w:bCs/>
          <w:szCs w:val="28"/>
          <w:u w:val="single"/>
        </w:rPr>
        <w:t>)</w:t>
      </w:r>
      <w:r w:rsidRPr="00320854" w:rsidR="00895215">
        <w:rPr>
          <w:rFonts w:eastAsiaTheme="majorEastAsia"/>
          <w:szCs w:val="28"/>
        </w:rPr>
        <w:t>,</w:t>
      </w:r>
      <w:r w:rsidRPr="00320854" w:rsidR="007D0E21">
        <w:rPr>
          <w:rFonts w:eastAsiaTheme="majorEastAsia"/>
          <w:szCs w:val="28"/>
        </w:rPr>
        <w:t xml:space="preserve"> </w:t>
      </w:r>
      <w:r w:rsidRPr="00320854" w:rsidR="00584ADD">
        <w:rPr>
          <w:rFonts w:eastAsiaTheme="majorEastAsia"/>
          <w:szCs w:val="28"/>
        </w:rPr>
        <w:t xml:space="preserve">interviene sull’articolo 30 del d.lgs. </w:t>
      </w:r>
      <w:r w:rsidRPr="00320854" w:rsidR="006A263A">
        <w:rPr>
          <w:rFonts w:eastAsiaTheme="majorEastAsia"/>
          <w:szCs w:val="28"/>
        </w:rPr>
        <w:t>n.</w:t>
      </w:r>
      <w:r w:rsidRPr="00320854" w:rsidR="00584ADD">
        <w:rPr>
          <w:rFonts w:eastAsiaTheme="majorEastAsia"/>
          <w:szCs w:val="28"/>
        </w:rPr>
        <w:t xml:space="preserve"> 201 del 2022, in materia di, </w:t>
      </w:r>
      <w:r w:rsidR="00320854">
        <w:rPr>
          <w:rFonts w:eastAsiaTheme="majorEastAsia"/>
          <w:szCs w:val="28"/>
        </w:rPr>
        <w:t>“</w:t>
      </w:r>
      <w:r w:rsidRPr="00320854" w:rsidR="00320854">
        <w:rPr>
          <w:i/>
          <w:iCs/>
        </w:rPr>
        <w:t>Verifiche periodiche sulla situazione gestionale dei servizi pubblici locali</w:t>
      </w:r>
      <w:r w:rsidR="00320854">
        <w:t>”</w:t>
      </w:r>
      <w:r w:rsidRPr="00320854" w:rsidR="00320854">
        <w:t xml:space="preserve">, </w:t>
      </w:r>
      <w:r w:rsidRPr="00320854" w:rsidR="00584ADD">
        <w:rPr>
          <w:rFonts w:eastAsiaTheme="majorEastAsia"/>
          <w:szCs w:val="28"/>
        </w:rPr>
        <w:t>prevedendo</w:t>
      </w:r>
      <w:r w:rsidRPr="00320854">
        <w:rPr>
          <w:rFonts w:eastAsiaTheme="majorEastAsia"/>
          <w:szCs w:val="28"/>
        </w:rPr>
        <w:t>:</w:t>
      </w:r>
    </w:p>
    <w:p w:rsidR="00875271" w:rsidRPr="00320854" w:rsidP="00320854" w14:paraId="52B61341" w14:textId="77777777">
      <w:pPr>
        <w:jc w:val="both"/>
      </w:pPr>
    </w:p>
    <w:p w:rsidR="00875271" w:rsidP="00212565" w14:paraId="13526CE5" w14:textId="77777777">
      <w:pPr>
        <w:pStyle w:val="ListParagraph"/>
        <w:numPr>
          <w:ilvl w:val="0"/>
          <w:numId w:val="14"/>
        </w:numPr>
        <w:autoSpaceDE w:val="0"/>
        <w:autoSpaceDN w:val="0"/>
        <w:adjustRightInd w:val="0"/>
        <w:spacing w:after="120"/>
        <w:jc w:val="both"/>
        <w:rPr>
          <w:rFonts w:eastAsiaTheme="majorEastAsia"/>
          <w:szCs w:val="28"/>
        </w:rPr>
      </w:pPr>
      <w:r>
        <w:rPr>
          <w:rFonts w:eastAsiaTheme="majorEastAsia"/>
          <w:b/>
          <w:bCs/>
          <w:szCs w:val="28"/>
          <w:u w:val="single"/>
        </w:rPr>
        <w:t>al n.</w:t>
      </w:r>
      <w:r w:rsidRPr="00212565" w:rsidR="007D0E21">
        <w:rPr>
          <w:rFonts w:eastAsiaTheme="majorEastAsia"/>
          <w:b/>
          <w:bCs/>
          <w:szCs w:val="28"/>
          <w:u w:val="single"/>
        </w:rPr>
        <w:t xml:space="preserve"> 1</w:t>
      </w:r>
      <w:r w:rsidRPr="00CD72F3" w:rsidR="00CD72F3">
        <w:rPr>
          <w:rFonts w:eastAsiaTheme="majorEastAsia"/>
          <w:b/>
          <w:bCs/>
          <w:szCs w:val="28"/>
        </w:rPr>
        <w:t>)</w:t>
      </w:r>
      <w:r w:rsidRPr="00875271" w:rsidR="00CD72F3">
        <w:rPr>
          <w:rFonts w:eastAsiaTheme="majorEastAsia"/>
          <w:szCs w:val="28"/>
        </w:rPr>
        <w:t>,</w:t>
      </w:r>
      <w:r w:rsidRPr="00212565" w:rsidR="004C2A84">
        <w:rPr>
          <w:rFonts w:eastAsiaTheme="majorEastAsia"/>
          <w:szCs w:val="28"/>
        </w:rPr>
        <w:t xml:space="preserve"> che l’Autorità garante della concorrenza e del mercato, nello svolgimento delle attività di monitoraggio cui è preposta in tema di efficienza dei servizi pubblici locali, sia tenuta a sentire anche le altre competenti Autorità di regolazione di settore per le attività di vigilanza nei servizi a rete (i.e. ARERA, ART). Si tratta di un’attività di collaborazione istituzionale che viene ordinariamente effettuata nell’ambito dei compiti di monitoraggio cui le stesse sono preposte</w:t>
      </w:r>
      <w:r w:rsidRPr="00212565" w:rsidR="007D0E21">
        <w:rPr>
          <w:rFonts w:eastAsiaTheme="majorEastAsia"/>
          <w:szCs w:val="28"/>
        </w:rPr>
        <w:t xml:space="preserve"> e pertanto dalla disposizione non discendono nuovi e maggiori oneri a carico della finanza pubblica</w:t>
      </w:r>
      <w:r w:rsidRPr="00875271">
        <w:rPr>
          <w:rFonts w:eastAsiaTheme="majorEastAsia"/>
          <w:szCs w:val="28"/>
        </w:rPr>
        <w:t>;</w:t>
      </w:r>
    </w:p>
    <w:p w:rsidR="00567D22" w:rsidRPr="00212565" w:rsidP="00212565" w14:paraId="5C246694" w14:textId="4570AA95">
      <w:pPr>
        <w:pStyle w:val="ListParagraph"/>
        <w:numPr>
          <w:ilvl w:val="0"/>
          <w:numId w:val="14"/>
        </w:numPr>
        <w:autoSpaceDE w:val="0"/>
        <w:autoSpaceDN w:val="0"/>
        <w:adjustRightInd w:val="0"/>
        <w:spacing w:after="120"/>
        <w:jc w:val="both"/>
        <w:rPr>
          <w:rFonts w:eastAsiaTheme="majorEastAsia"/>
          <w:szCs w:val="28"/>
        </w:rPr>
      </w:pPr>
      <w:r w:rsidRPr="0041770A">
        <w:rPr>
          <w:rFonts w:eastAsiaTheme="majorEastAsia"/>
          <w:b/>
          <w:bCs/>
          <w:szCs w:val="28"/>
        </w:rPr>
        <w:t>al n.</w:t>
      </w:r>
      <w:r w:rsidRPr="0041770A" w:rsidR="007D0E21">
        <w:rPr>
          <w:rFonts w:eastAsiaTheme="majorEastAsia"/>
          <w:b/>
          <w:szCs w:val="28"/>
        </w:rPr>
        <w:t xml:space="preserve"> 2</w:t>
      </w:r>
      <w:r w:rsidRPr="0041770A">
        <w:rPr>
          <w:rFonts w:eastAsiaTheme="majorEastAsia"/>
          <w:b/>
          <w:bCs/>
          <w:szCs w:val="28"/>
        </w:rPr>
        <w:t>),</w:t>
      </w:r>
      <w:r w:rsidRPr="00212565" w:rsidR="00B73240">
        <w:rPr>
          <w:rFonts w:eastAsiaTheme="majorEastAsia"/>
          <w:szCs w:val="28"/>
        </w:rPr>
        <w:t xml:space="preserve"> che è sufficiente il verificarsi di una sola delle condizioni indicate affinché l’andamento della gestione del servizio di trasporto pubblico locale e regionale sia considerata dall’ente locale insoddisfacente.</w:t>
      </w:r>
      <w:r w:rsidRPr="00212565" w:rsidR="003570CB">
        <w:rPr>
          <w:rFonts w:eastAsiaTheme="majorEastAsia"/>
          <w:szCs w:val="28"/>
        </w:rPr>
        <w:t xml:space="preserve"> </w:t>
      </w:r>
      <w:r w:rsidRPr="00212565">
        <w:rPr>
          <w:rFonts w:eastAsiaTheme="majorEastAsia"/>
          <w:b/>
          <w:bCs/>
          <w:szCs w:val="28"/>
        </w:rPr>
        <w:t>La disposizione ha carattere ordinamentale e pertanto è priva di effetti per la finanza pubblica</w:t>
      </w:r>
      <w:r w:rsidR="0041770A">
        <w:rPr>
          <w:rFonts w:eastAsiaTheme="majorEastAsia"/>
          <w:szCs w:val="28"/>
        </w:rPr>
        <w:t>;</w:t>
      </w:r>
    </w:p>
    <w:p w:rsidR="0041770A" w:rsidRPr="0041770A" w:rsidP="001A3354" w14:paraId="2439EE89" w14:textId="77777777">
      <w:pPr>
        <w:pStyle w:val="ListParagraph"/>
        <w:numPr>
          <w:ilvl w:val="0"/>
          <w:numId w:val="14"/>
        </w:numPr>
        <w:autoSpaceDE w:val="0"/>
        <w:autoSpaceDN w:val="0"/>
        <w:adjustRightInd w:val="0"/>
        <w:spacing w:after="120"/>
        <w:jc w:val="both"/>
        <w:rPr>
          <w:rFonts w:eastAsiaTheme="majorEastAsia"/>
          <w:szCs w:val="28"/>
        </w:rPr>
      </w:pPr>
      <w:r w:rsidRPr="0041770A">
        <w:rPr>
          <w:rFonts w:eastAsiaTheme="majorEastAsia"/>
          <w:b/>
          <w:bCs/>
          <w:szCs w:val="28"/>
        </w:rPr>
        <w:t>al n.</w:t>
      </w:r>
      <w:r w:rsidRPr="0041770A" w:rsidR="00567D22">
        <w:rPr>
          <w:rFonts w:eastAsiaTheme="majorEastAsia"/>
          <w:b/>
          <w:bCs/>
          <w:szCs w:val="28"/>
        </w:rPr>
        <w:t xml:space="preserve"> 3</w:t>
      </w:r>
      <w:r>
        <w:rPr>
          <w:rFonts w:eastAsiaTheme="majorEastAsia"/>
          <w:szCs w:val="28"/>
        </w:rPr>
        <w:t>)</w:t>
      </w:r>
      <w:r w:rsidRPr="0041770A" w:rsidR="003570CB">
        <w:rPr>
          <w:rFonts w:eastAsiaTheme="majorEastAsia"/>
          <w:szCs w:val="28"/>
        </w:rPr>
        <w:t xml:space="preserve"> </w:t>
      </w:r>
      <w:r>
        <w:rPr>
          <w:rFonts w:eastAsiaTheme="majorEastAsia"/>
          <w:szCs w:val="28"/>
        </w:rPr>
        <w:t xml:space="preserve">si </w:t>
      </w:r>
      <w:r w:rsidRPr="0041770A" w:rsidR="003570CB">
        <w:rPr>
          <w:rFonts w:eastAsiaTheme="majorEastAsia"/>
          <w:szCs w:val="28"/>
        </w:rPr>
        <w:t>introduce</w:t>
      </w:r>
      <w:r>
        <w:rPr>
          <w:rFonts w:eastAsiaTheme="majorEastAsia"/>
          <w:szCs w:val="28"/>
        </w:rPr>
        <w:t>, poi,</w:t>
      </w:r>
      <w:r w:rsidRPr="0041770A" w:rsidR="003570CB">
        <w:rPr>
          <w:rFonts w:eastAsiaTheme="majorEastAsia"/>
          <w:szCs w:val="28"/>
        </w:rPr>
        <w:t xml:space="preserve"> una ulteriore fattispecie di risoluzione in capo all’ente locale del contratto di affidamento del servizio. Ciò dovrà avvenire non solo in caso di mancata attuazione del Piano di risanamento da parte del gestore, ma anche quanto il gestore non lo adotti entro il termine massimo di tre mesi o il </w:t>
      </w:r>
      <w:r w:rsidRPr="0041770A" w:rsidR="003570CB">
        <w:rPr>
          <w:rFonts w:eastAsiaTheme="majorEastAsia"/>
          <w:szCs w:val="28"/>
        </w:rPr>
        <w:t>predetto</w:t>
      </w:r>
      <w:r w:rsidRPr="0041770A" w:rsidR="003570CB">
        <w:rPr>
          <w:rFonts w:eastAsiaTheme="majorEastAsia"/>
          <w:szCs w:val="28"/>
        </w:rPr>
        <w:t xml:space="preserve"> Piano sia valutato come del tutto insufficiente.</w:t>
      </w:r>
      <w:r w:rsidRPr="0041770A" w:rsidR="00F03F63">
        <w:rPr>
          <w:rFonts w:eastAsiaTheme="majorEastAsia"/>
          <w:szCs w:val="28"/>
        </w:rPr>
        <w:t xml:space="preserve"> </w:t>
      </w:r>
      <w:r w:rsidRPr="0041770A" w:rsidR="00F03F63">
        <w:rPr>
          <w:rFonts w:eastAsiaTheme="majorEastAsia"/>
          <w:b/>
          <w:bCs/>
          <w:szCs w:val="28"/>
        </w:rPr>
        <w:t xml:space="preserve">La disposizione ha carattere ordinamentale </w:t>
      </w:r>
      <w:r w:rsidRPr="0041770A" w:rsidR="003570CB">
        <w:rPr>
          <w:rFonts w:eastAsiaTheme="majorEastAsia"/>
          <w:b/>
          <w:bCs/>
          <w:szCs w:val="28"/>
        </w:rPr>
        <w:t>e non comporta nuovi o maggiori oneri a carico delle amministrazioni coinvolte, considerato che, in generale, tutte le attività di monitoraggio e controllo sull’andamento gestionale del TPL sono già attribuite agli enti locali dalla legislazione vigente.</w:t>
      </w:r>
    </w:p>
    <w:p w:rsidR="004C2A84" w:rsidRPr="004C2A84" w:rsidP="001A3354" w14:paraId="59B07D77" w14:textId="1E9930B9">
      <w:pPr>
        <w:autoSpaceDE w:val="0"/>
        <w:autoSpaceDN w:val="0"/>
        <w:adjustRightInd w:val="0"/>
        <w:spacing w:after="120"/>
        <w:jc w:val="both"/>
        <w:rPr>
          <w:rFonts w:eastAsiaTheme="majorEastAsia"/>
          <w:szCs w:val="28"/>
        </w:rPr>
      </w:pPr>
      <w:r>
        <w:rPr>
          <w:rFonts w:eastAsiaTheme="majorEastAsia"/>
        </w:rPr>
        <w:t xml:space="preserve">Il </w:t>
      </w:r>
      <w:r w:rsidRPr="0041770A">
        <w:rPr>
          <w:rFonts w:eastAsiaTheme="majorEastAsia"/>
          <w:b/>
          <w:bCs/>
          <w:u w:val="single"/>
        </w:rPr>
        <w:t>comma 1,</w:t>
      </w:r>
      <w:r w:rsidRPr="0041770A">
        <w:rPr>
          <w:rFonts w:eastAsiaTheme="majorEastAsia"/>
          <w:u w:val="single"/>
        </w:rPr>
        <w:t xml:space="preserve"> </w:t>
      </w:r>
      <w:r w:rsidRPr="0041770A">
        <w:rPr>
          <w:rFonts w:eastAsiaTheme="majorEastAsia"/>
          <w:b/>
          <w:bCs/>
          <w:u w:val="single"/>
        </w:rPr>
        <w:t>lett</w:t>
      </w:r>
      <w:r w:rsidRPr="0041770A">
        <w:rPr>
          <w:rFonts w:eastAsiaTheme="majorEastAsia"/>
          <w:b/>
          <w:bCs/>
          <w:u w:val="single"/>
        </w:rPr>
        <w:t>era</w:t>
      </w:r>
      <w:r w:rsidRPr="0041770A">
        <w:rPr>
          <w:rFonts w:eastAsiaTheme="majorEastAsia"/>
          <w:b/>
          <w:bCs/>
          <w:i/>
          <w:iCs/>
          <w:u w:val="single"/>
        </w:rPr>
        <w:t xml:space="preserve"> b</w:t>
      </w:r>
      <w:r w:rsidRPr="0041770A">
        <w:rPr>
          <w:rFonts w:eastAsiaTheme="majorEastAsia"/>
          <w:b/>
          <w:bCs/>
          <w:u w:val="single"/>
        </w:rPr>
        <w:t>)</w:t>
      </w:r>
      <w:r w:rsidR="00FA2A6C">
        <w:rPr>
          <w:rFonts w:eastAsiaTheme="majorEastAsia"/>
          <w:b/>
          <w:bCs/>
          <w:u w:val="single"/>
        </w:rPr>
        <w:t>,</w:t>
      </w:r>
      <w:r w:rsidRPr="00B7341F" w:rsidR="00FA2A6C">
        <w:rPr>
          <w:rFonts w:eastAsiaTheme="majorEastAsia"/>
        </w:rPr>
        <w:t xml:space="preserve"> reca modifiche all’articolo 31-bis, del richiamato d.lgs. n. 201 del 2022, in materia di sanzioni,</w:t>
      </w:r>
      <w:r w:rsidRPr="0041770A">
        <w:rPr>
          <w:rFonts w:eastAsiaTheme="majorEastAsia"/>
        </w:rPr>
        <w:t xml:space="preserve"> </w:t>
      </w:r>
      <w:r w:rsidRPr="0041770A" w:rsidR="00D55AF6">
        <w:rPr>
          <w:rFonts w:eastAsiaTheme="majorEastAsia"/>
        </w:rPr>
        <w:t>prevede</w:t>
      </w:r>
      <w:r w:rsidR="00FA2A6C">
        <w:rPr>
          <w:rFonts w:eastAsiaTheme="majorEastAsia"/>
        </w:rPr>
        <w:t>ndo</w:t>
      </w:r>
      <w:r w:rsidRPr="458338BB" w:rsidR="00D55AF6">
        <w:rPr>
          <w:rFonts w:eastAsiaTheme="majorEastAsia"/>
        </w:rPr>
        <w:t xml:space="preserve"> che la diffida emessa da ANAC nei confronti degli enti locali - che rappresenta un passaggio preliminare all’applicazione di eventuali sanzioni pecuniarie - venga estesa </w:t>
      </w:r>
      <w:r w:rsidRPr="458338BB" w:rsidR="002D4B2D">
        <w:rPr>
          <w:rFonts w:eastAsiaTheme="majorEastAsia"/>
        </w:rPr>
        <w:t>ad</w:t>
      </w:r>
      <w:r w:rsidRPr="458338BB" w:rsidR="00D55AF6">
        <w:rPr>
          <w:rFonts w:eastAsiaTheme="majorEastAsia"/>
        </w:rPr>
        <w:t xml:space="preserve"> altre specifiche ipotesti previste dalle disposizioni in esame</w:t>
      </w:r>
      <w:r w:rsidRPr="458338BB" w:rsidR="004946E7">
        <w:rPr>
          <w:rFonts w:eastAsiaTheme="majorEastAsia"/>
        </w:rPr>
        <w:t>.</w:t>
      </w:r>
      <w:r w:rsidRPr="458338BB" w:rsidR="004946E7">
        <w:rPr>
          <w:rFonts w:eastAsiaTheme="majorEastAsia"/>
          <w:b/>
          <w:bCs/>
        </w:rPr>
        <w:t xml:space="preserve"> La disposizione ha carattere ordinamentale e non comporta nuovi o maggiori oneri a carico della finanza pubblica.</w:t>
      </w:r>
    </w:p>
    <w:p w:rsidR="2DE652FB" w:rsidRPr="00104CB2" w:rsidP="00104CB2" w14:paraId="1FC3BB01" w14:textId="495B47B8">
      <w:pPr>
        <w:spacing w:before="120" w:after="120"/>
        <w:jc w:val="both"/>
        <w:rPr>
          <w:b/>
          <w:color w:val="FF0000"/>
        </w:rPr>
      </w:pPr>
      <w:r w:rsidRPr="00104CB2">
        <w:rPr>
          <w:b/>
          <w:color w:val="FF0000"/>
          <w:u w:val="single"/>
        </w:rPr>
        <w:t>Il comma 2</w:t>
      </w:r>
      <w:r w:rsidRPr="00104CB2">
        <w:rPr>
          <w:color w:val="FF0000"/>
        </w:rPr>
        <w:t xml:space="preserve"> integra il comma 14, primo periodo, dell’articolo 1, della legge 18 dicembre 2025, n. 190, al fine di rendere esplicito il richiamo di uno degli obiettivi che devono essere perseguiti con  l’atto di indirizzo strategico</w:t>
      </w:r>
      <w:r w:rsidRPr="00104CB2" w:rsidR="472434AA">
        <w:rPr>
          <w:color w:val="FF0000"/>
        </w:rPr>
        <w:t>,</w:t>
      </w:r>
      <w:r w:rsidRPr="00104CB2">
        <w:rPr>
          <w:color w:val="FF0000"/>
        </w:rPr>
        <w:t xml:space="preserve"> che deve essere elaborato da</w:t>
      </w:r>
      <w:r w:rsidRPr="00104CB2" w:rsidR="11D8D5C8">
        <w:rPr>
          <w:color w:val="FF0000"/>
        </w:rPr>
        <w:t>l</w:t>
      </w:r>
      <w:r w:rsidRPr="00104CB2">
        <w:rPr>
          <w:color w:val="FF0000"/>
        </w:rPr>
        <w:t xml:space="preserve"> Ministero delle imprese e del made in Italy e d</w:t>
      </w:r>
      <w:r w:rsidRPr="00104CB2" w:rsidR="53A99659">
        <w:rPr>
          <w:color w:val="FF0000"/>
        </w:rPr>
        <w:t>a</w:t>
      </w:r>
      <w:r w:rsidRPr="00104CB2">
        <w:rPr>
          <w:color w:val="FF0000"/>
        </w:rPr>
        <w:t>l Ministero dell’università e della ricerca</w:t>
      </w:r>
      <w:r w:rsidRPr="00104CB2" w:rsidR="74620FB3">
        <w:rPr>
          <w:color w:val="FF0000"/>
        </w:rPr>
        <w:t>, in materia di valorizzazione delle conoscenze e di trasferimento tecnologico, ovvero</w:t>
      </w:r>
      <w:r w:rsidRPr="00104CB2">
        <w:rPr>
          <w:color w:val="FF0000"/>
        </w:rPr>
        <w:t xml:space="preserve"> quello di razionalizzare, rafforzare e rendere più efficienti gli Uffici per il trasferimento tecnologico. </w:t>
      </w:r>
      <w:r w:rsidRPr="00104CB2">
        <w:rPr>
          <w:rFonts w:eastAsiaTheme="minorEastAsia"/>
          <w:b/>
          <w:color w:val="FF0000"/>
        </w:rPr>
        <w:t>La diposizione ha carattere ordinamentale in quanto si limita a chiarire e definire uno dei contenuti che deve avere l’atto di indirizzo strategico elaborato da</w:t>
      </w:r>
      <w:r w:rsidRPr="00104CB2" w:rsidR="57F201E4">
        <w:rPr>
          <w:rFonts w:eastAsiaTheme="minorEastAsia"/>
          <w:b/>
          <w:color w:val="FF0000"/>
        </w:rPr>
        <w:t xml:space="preserve">i </w:t>
      </w:r>
      <w:r w:rsidRPr="00104CB2" w:rsidR="57F201E4">
        <w:rPr>
          <w:rFonts w:eastAsiaTheme="minorEastAsia"/>
          <w:b/>
          <w:color w:val="FF0000"/>
        </w:rPr>
        <w:t>predetti</w:t>
      </w:r>
      <w:r w:rsidRPr="00104CB2">
        <w:rPr>
          <w:rFonts w:eastAsiaTheme="minorEastAsia"/>
          <w:b/>
          <w:color w:val="FF0000"/>
        </w:rPr>
        <w:t xml:space="preserve"> </w:t>
      </w:r>
      <w:r w:rsidRPr="00104CB2" w:rsidR="202F9A51">
        <w:rPr>
          <w:b/>
          <w:color w:val="FF0000"/>
        </w:rPr>
        <w:t>Minister</w:t>
      </w:r>
      <w:r w:rsidRPr="00104CB2" w:rsidR="697EF651">
        <w:rPr>
          <w:b/>
          <w:color w:val="FF0000"/>
        </w:rPr>
        <w:t>i.</w:t>
      </w:r>
      <w:r w:rsidRPr="00104CB2" w:rsidR="202F9A51">
        <w:rPr>
          <w:b/>
          <w:color w:val="FF0000"/>
        </w:rPr>
        <w:t xml:space="preserve"> </w:t>
      </w:r>
    </w:p>
    <w:p w:rsidR="007F7A08" w:rsidRPr="00104CB2" w:rsidP="00104CB2" w14:paraId="472CE6C3" w14:textId="0BE90885">
      <w:pPr>
        <w:autoSpaceDE w:val="0"/>
        <w:spacing w:before="120" w:after="120"/>
        <w:contextualSpacing/>
        <w:jc w:val="both"/>
        <w:rPr>
          <w:rFonts w:eastAsia="Aptos"/>
          <w:color w:val="FF0000"/>
          <w:kern w:val="3"/>
          <w:lang w:eastAsia="en-US"/>
        </w:rPr>
      </w:pPr>
      <w:r w:rsidRPr="00104CB2">
        <w:rPr>
          <w:b/>
          <w:color w:val="FF0000"/>
          <w:u w:val="single"/>
        </w:rPr>
        <w:t>Il comma 3</w:t>
      </w:r>
      <w:r w:rsidRPr="00104CB2">
        <w:rPr>
          <w:rFonts w:eastAsia="Aptos"/>
          <w:color w:val="FF0000"/>
          <w:kern w:val="3"/>
          <w:lang w:eastAsia="en-US"/>
        </w:rPr>
        <w:t xml:space="preserve"> introduce ulteriori criteri specifici dei quali si deve tenere conto nell’ambito delle procedure di revisione complessiva del processo di convenzionamento delle strutture sanitarie che, alla luce di quanto previsto dall’articolo 36 della legge per la concorrenza 2023 (legge n. 193 del 2024), dovrà concludersi entro il 31 dicembre 2026.</w:t>
      </w:r>
    </w:p>
    <w:p w:rsidR="007F7A08" w:rsidRPr="00104CB2" w:rsidP="00104CB2" w14:paraId="209DABC5" w14:textId="57CDDBA5">
      <w:pPr>
        <w:suppressAutoHyphens/>
        <w:autoSpaceDE w:val="0"/>
        <w:autoSpaceDN w:val="0"/>
        <w:spacing w:before="120" w:after="120"/>
        <w:contextualSpacing/>
        <w:jc w:val="both"/>
        <w:rPr>
          <w:rFonts w:eastAsia="Aptos"/>
          <w:b/>
          <w:bCs/>
          <w:color w:val="FF0000"/>
          <w:kern w:val="3"/>
          <w:lang w:eastAsia="en-US"/>
        </w:rPr>
      </w:pPr>
      <w:r w:rsidRPr="00104CB2">
        <w:rPr>
          <w:rFonts w:eastAsia="Aptos"/>
          <w:b/>
          <w:color w:val="FF0000"/>
          <w:kern w:val="3"/>
          <w:lang w:eastAsia="en-US"/>
        </w:rPr>
        <w:t>La disposizione ha carattere ordinamentale e non comporta nuovi o maggiori oneri a carico della finanza pubblica.</w:t>
      </w:r>
      <w:r w:rsidRPr="00104CB2" w:rsidR="007F6603">
        <w:rPr>
          <w:rFonts w:eastAsia="Aptos"/>
          <w:b/>
          <w:bCs/>
          <w:color w:val="FF0000"/>
          <w:kern w:val="3"/>
          <w:lang w:eastAsia="en-US"/>
        </w:rPr>
        <w:t xml:space="preserve"> </w:t>
      </w:r>
    </w:p>
    <w:p w:rsidR="006D77EA" w:rsidRPr="00104CB2" w:rsidP="00104CB2" w14:paraId="1B651CA5" w14:textId="5BD371BE">
      <w:pPr>
        <w:spacing w:before="120" w:after="120"/>
        <w:jc w:val="both"/>
        <w:rPr>
          <w:b/>
          <w:bCs/>
          <w:color w:val="FF0000"/>
          <w:highlight w:val="yellow"/>
          <w:u w:val="single"/>
        </w:rPr>
      </w:pPr>
    </w:p>
    <w:p w:rsidR="458338BB" w:rsidP="458338BB" w14:paraId="50EC7FC4" w14:textId="3FD3E7FB">
      <w:pPr>
        <w:jc w:val="both"/>
        <w:rPr>
          <w:rFonts w:ascii="Aptos" w:eastAsia="Aptos" w:hAnsi="Aptos" w:cs="Aptos"/>
          <w:sz w:val="22"/>
          <w:szCs w:val="22"/>
        </w:rPr>
      </w:pPr>
    </w:p>
    <w:p w:rsidR="7673E064" w:rsidRPr="00296354" w:rsidP="00987C41" w14:paraId="26A9C430" w14:textId="5886A0CB">
      <w:pPr>
        <w:pStyle w:val="Heading3"/>
        <w:spacing w:before="0" w:after="120"/>
        <w:rPr>
          <w:rFonts w:eastAsia="Times New Roman"/>
          <w:color w:val="000000" w:themeColor="text1"/>
        </w:rPr>
      </w:pPr>
      <w:bookmarkStart w:id="77" w:name="_Toc220077571"/>
      <w:r w:rsidRPr="00296354">
        <w:rPr>
          <w:rFonts w:eastAsia="Times New Roman"/>
          <w:color w:val="000000" w:themeColor="text1"/>
        </w:rPr>
        <w:t>ART.</w:t>
      </w:r>
      <w:r w:rsidR="00296354">
        <w:rPr>
          <w:rFonts w:eastAsia="Times New Roman"/>
          <w:color w:val="000000" w:themeColor="text1"/>
        </w:rPr>
        <w:t xml:space="preserve"> </w:t>
      </w:r>
      <w:r w:rsidR="006C1878">
        <w:rPr>
          <w:rFonts w:eastAsia="Times New Roman"/>
          <w:color w:val="000000" w:themeColor="text1"/>
        </w:rPr>
        <w:t>2</w:t>
      </w:r>
      <w:r w:rsidR="00B87A48">
        <w:rPr>
          <w:rFonts w:eastAsia="Times New Roman"/>
          <w:color w:val="000000" w:themeColor="text1"/>
        </w:rPr>
        <w:t>8</w:t>
      </w:r>
      <w:r w:rsidR="00A65153">
        <w:rPr>
          <w:rFonts w:eastAsia="Times New Roman"/>
          <w:color w:val="000000" w:themeColor="text1"/>
        </w:rPr>
        <w:t xml:space="preserve">                                                                                                                                                                </w:t>
      </w:r>
      <w:r w:rsidR="00A65153">
        <w:rPr>
          <w:rFonts w:eastAsia="Times New Roman"/>
          <w:color w:val="000000" w:themeColor="text1"/>
        </w:rPr>
        <w:t xml:space="preserve">   </w:t>
      </w:r>
      <w:r w:rsidRPr="00296354">
        <w:rPr>
          <w:rFonts w:eastAsia="Times New Roman"/>
          <w:color w:val="000000" w:themeColor="text1"/>
        </w:rPr>
        <w:t>(</w:t>
      </w:r>
      <w:r w:rsidRPr="00296354">
        <w:rPr>
          <w:rFonts w:eastAsia="Times New Roman"/>
          <w:color w:val="000000" w:themeColor="text1"/>
        </w:rPr>
        <w:t>Programmi di sovvenzione PNRR per la concessione di contributi in conto capitale in relazione a investimenti in impianti di produzione di biometano, agrivoltaici e CACER</w:t>
      </w:r>
      <w:r w:rsidRPr="00CA5CDC" w:rsidR="00CA5CDC">
        <w:rPr>
          <w:b w:val="0"/>
          <w:color w:val="FF0000"/>
        </w:rPr>
        <w:t xml:space="preserve"> </w:t>
      </w:r>
      <w:r w:rsidRPr="00CA5CDC" w:rsidR="00CA5CDC">
        <w:rPr>
          <w:rFonts w:eastAsia="Times New Roman"/>
          <w:color w:val="000000" w:themeColor="text1"/>
        </w:rPr>
        <w:t>di cui agli Investimenti 1.4, 1.1 e 1.2 della Missione 2 - Componente 2 del PNRR</w:t>
      </w:r>
      <w:r w:rsidR="00CA5CDC">
        <w:rPr>
          <w:rFonts w:eastAsia="Times New Roman"/>
          <w:color w:val="000000" w:themeColor="text1"/>
        </w:rPr>
        <w:t>)</w:t>
      </w:r>
      <w:bookmarkEnd w:id="77"/>
    </w:p>
    <w:p w:rsidR="001C0266" w:rsidRPr="001C0266" w:rsidP="001C0266" w14:paraId="3D301BCB" w14:textId="77777777">
      <w:pPr>
        <w:spacing w:after="120"/>
        <w:jc w:val="both"/>
      </w:pPr>
      <w:r w:rsidRPr="001C0266">
        <w:t xml:space="preserve">L’articolo in esame </w:t>
      </w:r>
      <w:r w:rsidRPr="001C0266">
        <w:rPr>
          <w:b/>
        </w:rPr>
        <w:t>non comporta nuovi o maggiori oneri a carico della finanza pubblica</w:t>
      </w:r>
      <w:r w:rsidRPr="001C0266">
        <w:t xml:space="preserve"> nazionale in quanto la spesa ivi prevista, pari complessivamente a € 4.130.520.000,00, risulta integralmente coperta dalle risorse già assegnate all’Italia nell’ambito del Piano Nazionale di Ripresa e Resilienza (PNRR), finanziato dall’Unione europea tramite il </w:t>
      </w:r>
      <w:r w:rsidRPr="001C0266">
        <w:t>NextGenerationEU</w:t>
      </w:r>
      <w:r w:rsidRPr="001C0266">
        <w:t xml:space="preserve">. </w:t>
      </w:r>
    </w:p>
    <w:p w:rsidR="7A84E556" w:rsidRPr="00987C41" w:rsidP="00987C41" w14:paraId="674DD780" w14:textId="2B6551BA">
      <w:pPr>
        <w:spacing w:after="120"/>
        <w:jc w:val="both"/>
      </w:pPr>
      <w:r w:rsidRPr="00987C41">
        <w:t xml:space="preserve">In particolare, l’onere finanziario è imputato sulle somme stanziate per la Missione 2 - Rivoluzione verde e transizione ecologica, Componente 2 - Energia rinnovabile, Investimenti 1.1, 1.2 e 1.4 del PNRR, </w:t>
      </w:r>
      <w:r w:rsidRPr="00987C41" w:rsidR="4A44B073">
        <w:t>per i seguenti importi:</w:t>
      </w:r>
      <w:r w:rsidRPr="00987C41">
        <w:t xml:space="preserve"> Investimento 1.1 “Sviluppo di sistemi agri-voltaici” euro 1.099.000.000,00</w:t>
      </w:r>
      <w:r w:rsidRPr="00987C41" w:rsidR="6130864E">
        <w:t xml:space="preserve">; </w:t>
      </w:r>
      <w:r w:rsidRPr="00987C41">
        <w:t>Investimento 1.2 “Promozione delle FER per le comunità energetiche e che agiscono congiuntamente consumatori autonomi di energie rinnovabili” euro 795.500.000,00</w:t>
      </w:r>
      <w:r w:rsidRPr="00987C41" w:rsidR="19E23626">
        <w:t>;</w:t>
      </w:r>
      <w:r w:rsidRPr="00987C41">
        <w:t xml:space="preserve"> Investimento 1.4 “Sviluppo del biometano, secondo criteri di promozione dell'economia circolare”  euro 2.236.020.000,00.</w:t>
      </w:r>
    </w:p>
    <w:p w:rsidR="52405324" w:rsidRPr="00987C41" w:rsidP="00987C41" w14:paraId="0F77D239" w14:textId="305E2B1E">
      <w:pPr>
        <w:spacing w:after="120"/>
        <w:jc w:val="both"/>
      </w:pPr>
      <w:r w:rsidRPr="00987C41">
        <w:t>Quanto alle singole disposizioni</w:t>
      </w:r>
      <w:r w:rsidR="00D64AE7">
        <w:rPr>
          <w:b/>
          <w:bCs/>
        </w:rPr>
        <w:t>,</w:t>
      </w:r>
      <w:r w:rsidRPr="00987C41">
        <w:rPr>
          <w:b/>
          <w:bCs/>
        </w:rPr>
        <w:t xml:space="preserve"> </w:t>
      </w:r>
      <w:r w:rsidRPr="00DB435E">
        <w:t>il</w:t>
      </w:r>
      <w:r w:rsidRPr="00987C41">
        <w:rPr>
          <w:b/>
          <w:bCs/>
        </w:rPr>
        <w:t xml:space="preserve"> </w:t>
      </w:r>
      <w:r w:rsidRPr="00987C41">
        <w:rPr>
          <w:b/>
          <w:u w:val="single"/>
        </w:rPr>
        <w:t>c</w:t>
      </w:r>
      <w:r w:rsidRPr="00987C41">
        <w:rPr>
          <w:b/>
          <w:u w:val="single"/>
        </w:rPr>
        <w:t>omma 1</w:t>
      </w:r>
      <w:r w:rsidRPr="00987C41">
        <w:t xml:space="preserve"> </w:t>
      </w:r>
      <w:r w:rsidRPr="00987C41" w:rsidR="460D6880">
        <w:t>i</w:t>
      </w:r>
      <w:r w:rsidRPr="00987C41">
        <w:t>stitui</w:t>
      </w:r>
      <w:r w:rsidRPr="00987C41" w:rsidR="09AD584B">
        <w:t>sce</w:t>
      </w:r>
      <w:r w:rsidRPr="00987C41">
        <w:t xml:space="preserve"> </w:t>
      </w:r>
      <w:r w:rsidRPr="00987C41" w:rsidR="42387BA7">
        <w:t>appositi</w:t>
      </w:r>
      <w:r w:rsidRPr="00987C41">
        <w:t xml:space="preserve"> Programmi di </w:t>
      </w:r>
      <w:r w:rsidRPr="00987C41" w:rsidR="42CFAE88">
        <w:t>sovvenzione</w:t>
      </w:r>
      <w:r w:rsidRPr="00987C41">
        <w:t xml:space="preserve"> PNRR </w:t>
      </w:r>
      <w:r w:rsidRPr="00987C41" w:rsidR="38BC6847">
        <w:t>per la concessione</w:t>
      </w:r>
      <w:r w:rsidRPr="00987C41">
        <w:t xml:space="preserve"> di </w:t>
      </w:r>
      <w:r w:rsidRPr="00987C41" w:rsidR="38BC6847">
        <w:t xml:space="preserve">contributi in conto capitale per la realizzazione di impianti di produzione di biometano, </w:t>
      </w:r>
      <w:r w:rsidRPr="00987C41" w:rsidR="000E4EAE">
        <w:t>agrivoltaici</w:t>
      </w:r>
      <w:r w:rsidR="000E4EAE">
        <w:t xml:space="preserve">, </w:t>
      </w:r>
      <w:r w:rsidRPr="00987C41" w:rsidR="000E4EAE">
        <w:t>di</w:t>
      </w:r>
      <w:r w:rsidRPr="00987C41" w:rsidR="7E671FC7">
        <w:t xml:space="preserve"> comunità energetiche </w:t>
      </w:r>
      <w:r w:rsidRPr="000E4EAE" w:rsidR="7E671FC7">
        <w:t>rinnovabili</w:t>
      </w:r>
      <w:r w:rsidRPr="000E4EAE" w:rsidR="008351A6">
        <w:t xml:space="preserve"> e sistemi di autoconsumo collettivo</w:t>
      </w:r>
      <w:r w:rsidRPr="00987C41">
        <w:t xml:space="preserve">. In particolare, viene previsto che le misure originarie </w:t>
      </w:r>
      <w:r w:rsidRPr="00987C41" w:rsidR="2A3B55A6">
        <w:t>del PNRR</w:t>
      </w:r>
      <w:r w:rsidRPr="00987C41">
        <w:t xml:space="preserve"> </w:t>
      </w:r>
      <w:r w:rsidRPr="00987C41" w:rsidR="19A2CE06">
        <w:t>di cui alla</w:t>
      </w:r>
      <w:r w:rsidRPr="00987C41" w:rsidR="2A3B55A6">
        <w:t xml:space="preserve"> Missione 2 – Componente 2 (</w:t>
      </w:r>
      <w:r w:rsidRPr="00987C41" w:rsidR="640B299F">
        <w:t>M2C2)</w:t>
      </w:r>
      <w:r w:rsidRPr="00987C41">
        <w:t xml:space="preserve"> siano incluse in un programma di incentivi finalizzato a concedere contributi a fondo perduto per progetti rientranti negli investimenti “Sviluppo agrovoltaico” (Investimento 1.1), “Promozione delle rinnovabili per comunità energetiche e autoconsumo” (Investimento 1.2) e “Sviluppo del biometano, secondo criteri di economia circolare” (Investimento 1.4). Viene dunque definito il quadro normativo di riferimento che consente l’attivazione di tali strumenti incentivanti, collegandoli esplicitamente alle linee di investimento del PNRR sopra indicate e richiamando le finalità strategiche ad esse sottese (incremento della produzione di energia da fonti rinnovabili, promozione dell’autoconsumo collettivo e valorizzazione del biometano da fonti agricole). </w:t>
      </w:r>
    </w:p>
    <w:p w:rsidR="00217695" w:rsidRPr="0032029D" w:rsidP="00217695" w14:paraId="312A6D34" w14:textId="0923B4C1">
      <w:pPr>
        <w:spacing w:after="120"/>
        <w:jc w:val="both"/>
      </w:pPr>
      <w:r w:rsidRPr="00B91238">
        <w:t>Il</w:t>
      </w:r>
      <w:r w:rsidRPr="00987C41">
        <w:rPr>
          <w:b/>
          <w:bCs/>
        </w:rPr>
        <w:t xml:space="preserve"> </w:t>
      </w:r>
      <w:r w:rsidRPr="00987C41">
        <w:rPr>
          <w:b/>
          <w:u w:val="single"/>
        </w:rPr>
        <w:t>c</w:t>
      </w:r>
      <w:r w:rsidRPr="00987C41" w:rsidR="52405324">
        <w:rPr>
          <w:b/>
          <w:u w:val="single"/>
        </w:rPr>
        <w:t>omma 2</w:t>
      </w:r>
      <w:r w:rsidRPr="00987C41" w:rsidR="52405324">
        <w:t xml:space="preserve"> individua nel Gestore dei </w:t>
      </w:r>
      <w:r w:rsidR="00892411">
        <w:t>s</w:t>
      </w:r>
      <w:r w:rsidRPr="00987C41" w:rsidR="52405324">
        <w:t xml:space="preserve">ervizi </w:t>
      </w:r>
      <w:r w:rsidR="00892411">
        <w:t>e</w:t>
      </w:r>
      <w:r w:rsidRPr="00987C41" w:rsidR="52405324">
        <w:t>nergetici - GSE S.p.A. il soggetto incaricato della gestione dei tre programmi di sovvenzione</w:t>
      </w:r>
      <w:r>
        <w:t xml:space="preserve">, </w:t>
      </w:r>
      <w:r w:rsidRPr="0032029D">
        <w:rPr>
          <w:b/>
          <w:bCs/>
        </w:rPr>
        <w:t>ai cui oneri gestionali si provvede ai sensi dell’articolo 25 del decreto-legge 24 giugno 2014, n. 91, convertito, con modificazioni, dalla legge 11 agosto 2014, n. 116 non derivandone pertanto nuovi o maggiori oneri a carico della finanza pubblica né delle bollette elettriche.</w:t>
      </w:r>
    </w:p>
    <w:p w:rsidR="52405324" w:rsidRPr="00987C41" w:rsidP="00987C41" w14:paraId="01E94035" w14:textId="7B9592A3">
      <w:pPr>
        <w:spacing w:after="120"/>
        <w:jc w:val="both"/>
      </w:pPr>
      <w:r w:rsidRPr="00987C41">
        <w:t xml:space="preserve">La norma definisce l’obbligo di stipulare per ogni programma di investimento specifici accordi attuativi tra il GSE ed il </w:t>
      </w:r>
      <w:r w:rsidRPr="00987C41" w:rsidR="44078BDA">
        <w:t>M</w:t>
      </w:r>
      <w:r w:rsidRPr="00987C41">
        <w:t xml:space="preserve">inistero </w:t>
      </w:r>
      <w:r w:rsidRPr="00987C41" w:rsidR="00892411">
        <w:t>dell’ambiente</w:t>
      </w:r>
      <w:r w:rsidRPr="00987C41">
        <w:t xml:space="preserve"> e della </w:t>
      </w:r>
      <w:r w:rsidRPr="00987C41" w:rsidR="00892411">
        <w:t>sicurezza energetica</w:t>
      </w:r>
      <w:r w:rsidRPr="00987C41">
        <w:t xml:space="preserve"> con la specifica della descrizione del processo decisionale, </w:t>
      </w:r>
      <w:r w:rsidR="00892411">
        <w:t>de</w:t>
      </w:r>
      <w:r w:rsidRPr="00987C41">
        <w:t xml:space="preserve">i requisiti della politica di sovvenzionamento associata, </w:t>
      </w:r>
      <w:r w:rsidR="00892411">
        <w:t>del</w:t>
      </w:r>
      <w:r w:rsidRPr="00987C41">
        <w:t xml:space="preserve">l’importo coperto dall'accordo di attuazione, con l’obbligo di utilizzare i proventi non utilizzati del regime, anche oltre il 2026, per gli stessi fini politici ed i requisiti di monitoraggio, audit e controllo, per come puntualmente riportata all’interno del PNRR. Con la stipula dell’accordo di attuazione, la norma stabilisce anche il subentro del GSE al Ministero </w:t>
      </w:r>
      <w:r w:rsidRPr="00987C41" w:rsidR="003E1D59">
        <w:t>dell’ambiente</w:t>
      </w:r>
      <w:r w:rsidRPr="00987C41">
        <w:t xml:space="preserve"> della </w:t>
      </w:r>
      <w:r w:rsidRPr="00987C41" w:rsidR="003E1D59">
        <w:t>sicurezza energetica</w:t>
      </w:r>
      <w:r w:rsidRPr="00987C41">
        <w:t xml:space="preserve"> nell’erogazione dei contributi, nonché nei rapporti in essere con i soggetti già selezionati o beneficiari dei medesimi contributi sulla base dei provvedimenti già adottati alla data di entrata in vigore del decreto.</w:t>
      </w:r>
    </w:p>
    <w:p w:rsidR="009E535B" w:rsidRPr="0032029D" w:rsidP="009E535B" w14:paraId="1F1013F4" w14:textId="65C42ACB">
      <w:pPr>
        <w:spacing w:after="120"/>
        <w:jc w:val="both"/>
        <w:rPr>
          <w:b/>
          <w:bCs/>
        </w:rPr>
      </w:pPr>
      <w:r w:rsidRPr="0032029D">
        <w:rPr>
          <w:b/>
          <w:bCs/>
        </w:rPr>
        <w:t xml:space="preserve">Tale previsione non comporta nuovi o maggiori oneri a carico della finanza pubblica per quanto </w:t>
      </w:r>
      <w:r w:rsidR="00186621">
        <w:rPr>
          <w:b/>
          <w:bCs/>
        </w:rPr>
        <w:t xml:space="preserve">precedentemente </w:t>
      </w:r>
      <w:r w:rsidRPr="0032029D">
        <w:rPr>
          <w:b/>
          <w:bCs/>
        </w:rPr>
        <w:t>specificato, ovvero che agli oneri gestionali si provvede ai sensi dell’articolo 25 del decreto-legge 24 giugno 2014, n. 91, convertito, con modificazioni, dalla legge 11 agosto 2014, n. 116.</w:t>
      </w:r>
    </w:p>
    <w:p w:rsidR="52405324" w:rsidRPr="00987C41" w:rsidP="00987C41" w14:paraId="1B8E9DCE" w14:textId="517D35E6">
      <w:pPr>
        <w:spacing w:after="120"/>
        <w:jc w:val="both"/>
      </w:pPr>
      <w:r w:rsidRPr="00B91238">
        <w:t>Il</w:t>
      </w:r>
      <w:r w:rsidRPr="00987C41">
        <w:rPr>
          <w:b/>
          <w:bCs/>
        </w:rPr>
        <w:t xml:space="preserve"> </w:t>
      </w:r>
      <w:r w:rsidRPr="00987C41">
        <w:rPr>
          <w:b/>
          <w:u w:val="single"/>
        </w:rPr>
        <w:t>c</w:t>
      </w:r>
      <w:r w:rsidRPr="00987C41">
        <w:rPr>
          <w:b/>
          <w:u w:val="single"/>
        </w:rPr>
        <w:t>omma 3</w:t>
      </w:r>
      <w:r w:rsidRPr="00987C41">
        <w:t xml:space="preserve"> garantisce continuità e coordinamento con il quadro normativo primario definito dal decreto legislativo 8 novembre 2021, n. 199, e in particolare con l’articolo 14, comma 1, lettere b), c) ed </w:t>
      </w:r>
      <w:r w:rsidRPr="00987C41">
        <w:t>e</w:t>
      </w:r>
      <w:r w:rsidRPr="00987C41">
        <w:t xml:space="preserve">), che disciplina gli strumenti di attuazione delle misure PNRR “Biometano”, “Agrivoltaico” e “Comunità Energetiche Rinnovabili”. In tale contesto, si conferma che i programmi di investimento originariamente previsti e disciplinati dai relativi provvedimenti attuativi (Decreti Ministeriali) non subiscono modifiche sostanziali, né sotto il profilo oggettivo (finalità, soggetti beneficiari, tipologia dei costi ammissibili), né sotto il profilo procedurale (regimi di selezione) con esclusione delle disposizioni concernenti il termine di entrata in esercizio, che è stabilito negli atti di concessione ovvero nei relativi addenda di cui al comma 6 e comunque non potrà superare </w:t>
      </w:r>
      <w:r w:rsidRPr="00987C41" w:rsidR="47F413E8">
        <w:t>24 mesi</w:t>
      </w:r>
      <w:r w:rsidRPr="00987C41">
        <w:t xml:space="preserve"> dalla comunicazione degli atti di concessione; il mancato rispetto di tale termine comporta la decadenza dai benefici. Restano pertanto pienamente vigenti e operativi i decreti attuativi già adottati in attuazione delle citate lettere del D.lgs.199/2021, i quali disciplinano nel dettaglio le misure agevolative di riferimento, e continuano a costituire il quadro normativo di riferimento per l'attuazione delle relative linee PNRR. </w:t>
      </w:r>
      <w:r w:rsidRPr="00987C41" w:rsidR="5BDF4A5E">
        <w:t>L</w:t>
      </w:r>
      <w:r w:rsidRPr="00987C41">
        <w:t>a norma in oggetto non introduce nuovi regimi di aiuto, ma si limita a regolare e razionalizzare la fase gestionale e finanziaria delle misure già notificate</w:t>
      </w:r>
      <w:r w:rsidRPr="00987C41" w:rsidR="05D32337">
        <w:t xml:space="preserve"> e autorizzate dalla </w:t>
      </w:r>
      <w:r w:rsidRPr="00987C41">
        <w:t xml:space="preserve">Commissione </w:t>
      </w:r>
      <w:r w:rsidRPr="00987C41" w:rsidR="05D32337">
        <w:t>europea.</w:t>
      </w:r>
      <w:r w:rsidRPr="00987C41">
        <w:t xml:space="preserve"> Il mantenimento dell’impianto originario assicura continuità giuridica e certezza regolatoria per i beneficiari, evita interruzioni o duplicazioni procedurali.</w:t>
      </w:r>
    </w:p>
    <w:p w:rsidR="52405324" w:rsidRPr="00987C41" w:rsidP="00987C41" w14:paraId="63890FA7" w14:textId="4722C2F7">
      <w:pPr>
        <w:spacing w:after="120"/>
        <w:jc w:val="both"/>
      </w:pPr>
      <w:r w:rsidRPr="00B91238">
        <w:t>Il</w:t>
      </w:r>
      <w:r w:rsidRPr="00987C41">
        <w:rPr>
          <w:b/>
          <w:bCs/>
        </w:rPr>
        <w:t xml:space="preserve"> </w:t>
      </w:r>
      <w:r w:rsidRPr="00987C41">
        <w:rPr>
          <w:b/>
          <w:u w:val="single"/>
        </w:rPr>
        <w:t>c</w:t>
      </w:r>
      <w:r w:rsidRPr="00987C41">
        <w:rPr>
          <w:b/>
          <w:u w:val="single"/>
        </w:rPr>
        <w:t>omma 4</w:t>
      </w:r>
      <w:r w:rsidRPr="00987C41">
        <w:t xml:space="preserve"> introduce la clausola generale che vincola l’attuazione dei programmi di investimento al pieno rispetto del principio del “</w:t>
      </w:r>
      <w:r w:rsidRPr="00987C41">
        <w:rPr>
          <w:i/>
          <w:iCs/>
        </w:rPr>
        <w:t xml:space="preserve">Do No </w:t>
      </w:r>
      <w:r w:rsidRPr="00987C41">
        <w:rPr>
          <w:i/>
          <w:iCs/>
        </w:rPr>
        <w:t>Significant</w:t>
      </w:r>
      <w:r w:rsidRPr="00987C41">
        <w:rPr>
          <w:i/>
          <w:iCs/>
        </w:rPr>
        <w:t xml:space="preserve"> Harm</w:t>
      </w:r>
      <w:r w:rsidRPr="00987C41">
        <w:t xml:space="preserve">” (DNSH) e delle disposizioni del Regolamento (UE) 2021/241 del Parlamento Europeo e del Consiglio. </w:t>
      </w:r>
    </w:p>
    <w:p w:rsidR="0007257B" w:rsidRPr="008A0263" w:rsidP="0007257B" w14:paraId="44B59EE2" w14:textId="65EFDCD4">
      <w:pPr>
        <w:spacing w:after="120"/>
        <w:jc w:val="both"/>
      </w:pPr>
      <w:r w:rsidRPr="00B91238">
        <w:t xml:space="preserve">Il </w:t>
      </w:r>
      <w:r w:rsidRPr="00987C41">
        <w:rPr>
          <w:b/>
          <w:u w:val="single"/>
        </w:rPr>
        <w:t>c</w:t>
      </w:r>
      <w:r w:rsidRPr="00987C41" w:rsidR="52405324">
        <w:rPr>
          <w:b/>
          <w:u w:val="single"/>
        </w:rPr>
        <w:t>omma 5</w:t>
      </w:r>
      <w:r w:rsidRPr="00987C41" w:rsidR="52405324">
        <w:t xml:space="preserve"> dispone la non cumulabilità dei contributi a fondo perduto concessi nell’ambito dei presenti programmi PNRR con altri contributi, crediti di imposta o agevolazioni, comunque denominati, a valere su risorse dell'Unione europea</w:t>
      </w:r>
      <w:r w:rsidRPr="008A0263" w:rsidR="52405324">
        <w:t>.</w:t>
      </w:r>
      <w:r w:rsidRPr="008A0263" w:rsidR="00740500">
        <w:t xml:space="preserve"> </w:t>
      </w:r>
      <w:r w:rsidRPr="008A0263">
        <w:t xml:space="preserve">Si precisa che </w:t>
      </w:r>
      <w:r w:rsidRPr="008A0263" w:rsidR="00740500">
        <w:t>la disposizione in esame</w:t>
      </w:r>
      <w:r w:rsidRPr="008A0263">
        <w:t xml:space="preserve"> agisce in continuità alle previsioni dei decreti attuativi oggi in vigore ai sensi dell’articolo 14, comma 1, lettere </w:t>
      </w:r>
      <w:r w:rsidRPr="008A0263">
        <w:rPr>
          <w:i/>
          <w:iCs/>
        </w:rPr>
        <w:t>b</w:t>
      </w:r>
      <w:r w:rsidRPr="008A0263">
        <w:t xml:space="preserve">), </w:t>
      </w:r>
      <w:r w:rsidRPr="008A0263">
        <w:rPr>
          <w:i/>
          <w:iCs/>
        </w:rPr>
        <w:t>c</w:t>
      </w:r>
      <w:r w:rsidRPr="008A0263">
        <w:t xml:space="preserve">) ed </w:t>
      </w:r>
      <w:r w:rsidRPr="008A0263">
        <w:rPr>
          <w:i/>
          <w:iCs/>
        </w:rPr>
        <w:t>e</w:t>
      </w:r>
      <w:r w:rsidRPr="008A0263">
        <w:t>) del decreto legislativo 8 novembre 2021, n. 199, prevedendo</w:t>
      </w:r>
      <w:r w:rsidRPr="008A0263" w:rsidR="00740500">
        <w:t xml:space="preserve"> </w:t>
      </w:r>
      <w:r w:rsidRPr="008A0263">
        <w:t xml:space="preserve">il subentro del GSE in tutte le attività di gestione dei contributi di sovvenzione. Giova ricordare che tutti e tre gli strumenti (agrivoltaico, biometano, comunità energetiche rinnovabili e sistemi di autoconsumo collettivo) sono stati concepiti prevedendo sia un contributo in conto capitale (finanziato con risorse PNRR) sia una tariffa incentivante (finanziata con risorse nazionali). I tre regimi di aiuto, con tale impostazione, sono stati approvati da specifiche decisioni di autorizzazione da parte della </w:t>
      </w:r>
      <w:r w:rsidRPr="008A0263" w:rsidR="000D4AF6">
        <w:t xml:space="preserve">Commissione </w:t>
      </w:r>
      <w:r w:rsidRPr="008A0263">
        <w:t>europea, anche sotto il profilo della cumulabilità (le misure sono state, infatti, valutate dalla commissione europea in sede di verifica della compatibilità con la disciplina in materia di aiuti di stato proprio al fine di accertarne la cumulabilità con le tariffe incentivanti). In particolare, per il DM agrivoltaico la tariffa è tarata rispetto alla presenza del contributo in conto capitale</w:t>
      </w:r>
      <w:r w:rsidRPr="008A0263" w:rsidR="0008012F">
        <w:t xml:space="preserve">; </w:t>
      </w:r>
      <w:r w:rsidRPr="008A0263">
        <w:t>per il DM CACER, che prevede due meccanismi distinti, è previsto che il meccanismo in tariffa sia sempre cumulabile con contributi in conto capitale in misura non superiore al 40</w:t>
      </w:r>
      <w:r w:rsidRPr="008A0263" w:rsidR="000D4AF6">
        <w:t xml:space="preserve"> per cento </w:t>
      </w:r>
      <w:r w:rsidRPr="008A0263">
        <w:t>dei costi di investimento a fronte di opportune riduzioni del livello tariffario stesso</w:t>
      </w:r>
      <w:r w:rsidRPr="008A0263" w:rsidR="006F2F4B">
        <w:t>,</w:t>
      </w:r>
      <w:r w:rsidRPr="008A0263">
        <w:t xml:space="preserve"> al fine di rendere l’intensità dell’aiuto compatibile con le previsioni delle linee guida in materia di aiuti di </w:t>
      </w:r>
      <w:r w:rsidRPr="008A0263" w:rsidR="006F2F4B">
        <w:t>Stato</w:t>
      </w:r>
      <w:r w:rsidRPr="008A0263">
        <w:t xml:space="preserve">. </w:t>
      </w:r>
    </w:p>
    <w:p w:rsidR="0007257B" w:rsidRPr="008A0263" w:rsidP="0007257B" w14:paraId="069D0D3C" w14:textId="77777777">
      <w:pPr>
        <w:spacing w:after="120"/>
        <w:jc w:val="both"/>
      </w:pPr>
      <w:r w:rsidRPr="008A0263">
        <w:t>L’attuale formulazione del comma 5 è già presente, infatti, in tutti i decreti attuativi del citato articolo 14 del decreto legislativo n. 199 del 2021.</w:t>
      </w:r>
    </w:p>
    <w:p w:rsidR="52405324" w:rsidRPr="00987C41" w:rsidP="00987C41" w14:paraId="58AC7686" w14:textId="493E2A8C">
      <w:pPr>
        <w:spacing w:after="120"/>
        <w:jc w:val="both"/>
      </w:pPr>
      <w:r w:rsidRPr="00B91238">
        <w:t xml:space="preserve">Il </w:t>
      </w:r>
      <w:r w:rsidRPr="00987C41">
        <w:rPr>
          <w:b/>
          <w:u w:val="single"/>
        </w:rPr>
        <w:t>c</w:t>
      </w:r>
      <w:r w:rsidRPr="00987C41">
        <w:rPr>
          <w:b/>
          <w:u w:val="single"/>
        </w:rPr>
        <w:t>omma 6</w:t>
      </w:r>
      <w:r w:rsidRPr="00987C41">
        <w:t xml:space="preserve"> definisce il cronoprogramma essenziale per l’attuazione delle misure e la realizzazione degli interventi finanziati, in coerenza con le tempistiche stringenti del PNRR. In primo luogo, viene fissato il termine ultimo entro cui devono</w:t>
      </w:r>
      <w:r w:rsidRPr="00987C41" w:rsidR="0DC7F116">
        <w:t xml:space="preserve"> essere</w:t>
      </w:r>
      <w:r w:rsidRPr="00987C41">
        <w:t xml:space="preserve"> sottoscritti gli accordi di finanziamento con i beneficiari finali (30 giugno 2026) a saturazione del costo totale di ogni programma di investimento.</w:t>
      </w:r>
    </w:p>
    <w:p w:rsidR="52405324" w:rsidRPr="008A0263" w:rsidP="00987C41" w14:paraId="60536BA6" w14:textId="10DBD697">
      <w:pPr>
        <w:spacing w:after="120"/>
        <w:jc w:val="both"/>
      </w:pPr>
      <w:r w:rsidRPr="008A0263">
        <w:t>Il</w:t>
      </w:r>
      <w:r w:rsidRPr="008A0263">
        <w:rPr>
          <w:b/>
          <w:bCs/>
        </w:rPr>
        <w:t xml:space="preserve"> </w:t>
      </w:r>
      <w:r w:rsidRPr="008A0263">
        <w:rPr>
          <w:b/>
          <w:u w:val="single"/>
        </w:rPr>
        <w:t>c</w:t>
      </w:r>
      <w:r w:rsidRPr="008A0263">
        <w:rPr>
          <w:b/>
          <w:u w:val="single"/>
        </w:rPr>
        <w:t>omma 7</w:t>
      </w:r>
      <w:r w:rsidRPr="008A0263">
        <w:rPr>
          <w:u w:val="single"/>
        </w:rPr>
        <w:t xml:space="preserve"> </w:t>
      </w:r>
      <w:r w:rsidRPr="008A0263">
        <w:t>stabilisce che le decisioni di assegnazione dei contributi in conto capitale da parte del</w:t>
      </w:r>
      <w:r w:rsidRPr="008A0263" w:rsidR="007950CC">
        <w:t>la società</w:t>
      </w:r>
      <w:r w:rsidRPr="008A0263">
        <w:t xml:space="preserve"> GSE sono assunte a maggioranza da un comitato indipendente per l’investimento </w:t>
      </w:r>
      <w:r w:rsidRPr="008A0263">
        <w:t>all’uopo</w:t>
      </w:r>
      <w:r w:rsidRPr="008A0263">
        <w:t xml:space="preserve"> istituito.</w:t>
      </w:r>
    </w:p>
    <w:p w:rsidR="52405324" w:rsidRPr="00987C41" w:rsidP="00987C41" w14:paraId="24E16F2C" w14:textId="69F8D460">
      <w:pPr>
        <w:spacing w:after="120"/>
        <w:jc w:val="both"/>
      </w:pPr>
      <w:r w:rsidRPr="00B91238">
        <w:t xml:space="preserve">Il </w:t>
      </w:r>
      <w:r w:rsidRPr="00987C41">
        <w:rPr>
          <w:b/>
          <w:u w:val="single"/>
        </w:rPr>
        <w:t>c</w:t>
      </w:r>
      <w:r w:rsidRPr="00987C41">
        <w:rPr>
          <w:b/>
          <w:u w:val="single"/>
        </w:rPr>
        <w:t>omma 8</w:t>
      </w:r>
      <w:r w:rsidRPr="00987C41">
        <w:t xml:space="preserve"> descrive i meccanismi operativi e procedurali attraverso cui il programma verrà messo in pratica, prevedendo in particolare l’adozione di specifici strumenti di regolazione operativa.  Inoltre, i regolamenti dovranno recepire tutte le condizioni normative (ad es. divieti di cumulo, soglie massime, criteri DNSH già menzionati) assicurando coerenza con la disciplina nazionale ed europea. </w:t>
      </w:r>
    </w:p>
    <w:p w:rsidR="005E5A73" w:rsidRPr="000A4353" w:rsidP="005E5A73" w14:paraId="1A2DDD7D" w14:textId="371EBC3E">
      <w:pPr>
        <w:spacing w:after="120"/>
        <w:jc w:val="both"/>
        <w:rPr>
          <w:color w:val="FF0000"/>
        </w:rPr>
      </w:pPr>
      <w:r w:rsidRPr="000A4353">
        <w:rPr>
          <w:b/>
          <w:bCs/>
          <w:color w:val="FF0000"/>
        </w:rPr>
        <w:t xml:space="preserve">Il </w:t>
      </w:r>
      <w:r w:rsidRPr="000A4353">
        <w:rPr>
          <w:b/>
          <w:bCs/>
          <w:color w:val="FF0000"/>
          <w:u w:val="single"/>
        </w:rPr>
        <w:t>comma 9</w:t>
      </w:r>
      <w:r w:rsidRPr="000A4353">
        <w:rPr>
          <w:b/>
          <w:bCs/>
          <w:color w:val="FF0000"/>
        </w:rPr>
        <w:t xml:space="preserve"> </w:t>
      </w:r>
      <w:r w:rsidRPr="000A4353">
        <w:rPr>
          <w:color w:val="FF0000"/>
        </w:rPr>
        <w:t xml:space="preserve">disciplina gli aspetti finanziari e contabili della gestione del programma, con particolare riguardo alle modalità di erogazione transitoria dei contributi ai beneficiari finali, nelle more della formalizzazione degli accordi attuativi MASE-GSE. </w:t>
      </w:r>
      <w:r w:rsidRPr="000A4353" w:rsidR="00AD65AE">
        <w:rPr>
          <w:color w:val="FF0000"/>
        </w:rPr>
        <w:t>In particolare, il comma in esame</w:t>
      </w:r>
      <w:r w:rsidRPr="000A4353">
        <w:rPr>
          <w:color w:val="FF0000"/>
        </w:rPr>
        <w:t xml:space="preserve"> autorizza il Gestore dei servizi energetici - GSE S.p.A. a richiedere al Ministero </w:t>
      </w:r>
      <w:r w:rsidRPr="000A4353" w:rsidR="00AD65AE">
        <w:rPr>
          <w:color w:val="FF0000"/>
        </w:rPr>
        <w:t>dell’ambiente e della sicurezza energetica</w:t>
      </w:r>
      <w:r w:rsidRPr="000A4353">
        <w:rPr>
          <w:color w:val="FF0000"/>
        </w:rPr>
        <w:t xml:space="preserve"> il trasferimento di una quota delle risorse PNRR già assegnate ai programmi di intervento, entro un limite massimo predeterminato del 10 per cento, al solo fine di assicurare l’avvio operativo delle misure dalla data di entrata in vigore del presente decreto. L’erogazione dei contributi ai beneficiari finali è espressamente subordinata alla previa disponibilità delle risorse PNRR già trasferite al GSE, escludendo, pertanto, qualsiasi anticipazione di risorse proprie del Gestore.</w:t>
      </w:r>
      <w:r w:rsidRPr="000A4353">
        <w:rPr>
          <w:b/>
          <w:bCs/>
          <w:color w:val="FF0000"/>
        </w:rPr>
        <w:t xml:space="preserve"> Tale impostazione garantisce la piena neutralità della disposizione rispetto ai saldi di finanza pubblica, in quanto la spesa per contributi in conto capitale è effettuata esclusivamente a valere su risorse PNRR già trasferite e disponibili. Dall’attuazione della disposizione non derivano, pertanto, nuovi o maggiori oneri a carico della finanza pubblica. </w:t>
      </w:r>
      <w:r w:rsidRPr="000A4353">
        <w:rPr>
          <w:color w:val="FF0000"/>
        </w:rPr>
        <w:t>La previsione risponde, altresì, all’esigenza di assicurare la necessaria continuità operativa dei programmi e la tempestiva erogazione dei contributi ai soggetti beneficiari, evitando ritardi connessi alla fisiologica sequenza degli adempimenti amministrativi e alla formalizzazione degli accordi attuativi, senza incidere sul quadro complessivo delle risorse e nel rispetto delle modalità di gestione finanziaria del PNRR.</w:t>
      </w:r>
    </w:p>
    <w:p w:rsidR="7A84E556" w:rsidRPr="00A54A4E" w:rsidP="00987C41" w14:paraId="42051F61" w14:textId="271E06B0">
      <w:pPr>
        <w:spacing w:after="120"/>
        <w:jc w:val="both"/>
      </w:pPr>
      <w:r w:rsidRPr="00B91238">
        <w:rPr>
          <w:bCs/>
        </w:rPr>
        <w:t>Il</w:t>
      </w:r>
      <w:r w:rsidRPr="00987C41">
        <w:rPr>
          <w:b/>
        </w:rPr>
        <w:t xml:space="preserve"> </w:t>
      </w:r>
      <w:r w:rsidRPr="00987C41">
        <w:rPr>
          <w:b/>
          <w:u w:val="single"/>
        </w:rPr>
        <w:t>comma 10</w:t>
      </w:r>
      <w:r w:rsidRPr="00987C41" w:rsidR="23097FF5">
        <w:t xml:space="preserve"> </w:t>
      </w:r>
      <w:r w:rsidRPr="00A54A4E" w:rsidR="23097FF5">
        <w:t>autorizza la spesa</w:t>
      </w:r>
      <w:r w:rsidRPr="00A54A4E" w:rsidR="534E70E6">
        <w:t>,</w:t>
      </w:r>
      <w:r w:rsidRPr="00A54A4E" w:rsidR="23097FF5">
        <w:t xml:space="preserve"> </w:t>
      </w:r>
      <w:r w:rsidRPr="00A54A4E" w:rsidR="2DCE5BCA">
        <w:t>nel</w:t>
      </w:r>
      <w:r w:rsidRPr="00A54A4E" w:rsidR="23097FF5">
        <w:t xml:space="preserve"> </w:t>
      </w:r>
      <w:r w:rsidRPr="00A54A4E" w:rsidR="2DCE5BCA">
        <w:t xml:space="preserve">limite di </w:t>
      </w:r>
      <w:r w:rsidRPr="00A54A4E" w:rsidR="23097FF5">
        <w:t>16 milioni di euro per l’anno 2026, necessaria a fronteggiare gli impegni già contrattualizzati nell’ambito della misura “</w:t>
      </w:r>
      <w:r w:rsidRPr="00A54A4E" w:rsidR="23097FF5">
        <w:rPr>
          <w:b/>
          <w:bCs/>
        </w:rPr>
        <w:t>Idrogeno nei settori hard-to-abate”</w:t>
      </w:r>
      <w:r w:rsidRPr="00A54A4E" w:rsidR="23097FF5">
        <w:t xml:space="preserve"> prima della sua </w:t>
      </w:r>
      <w:r w:rsidRPr="00A54A4E" w:rsidR="22C3F253">
        <w:t>espunzi</w:t>
      </w:r>
      <w:r w:rsidRPr="00A54A4E" w:rsidR="23097FF5">
        <w:t xml:space="preserve">one dal PNRR. </w:t>
      </w:r>
      <w:r w:rsidRPr="00A54A4E" w:rsidR="1ACE1604">
        <w:t>L</w:t>
      </w:r>
      <w:r w:rsidRPr="00A54A4E" w:rsidR="7F218B31">
        <w:t>’</w:t>
      </w:r>
      <w:r w:rsidRPr="00A54A4E" w:rsidR="23097FF5">
        <w:t xml:space="preserve">importo </w:t>
      </w:r>
      <w:r w:rsidRPr="00A54A4E" w:rsidR="2B96195B">
        <w:t>di</w:t>
      </w:r>
      <w:r w:rsidRPr="00A54A4E" w:rsidR="23097FF5">
        <w:t xml:space="preserve"> 16 milioni</w:t>
      </w:r>
      <w:r w:rsidRPr="00A54A4E" w:rsidR="6F41DD73">
        <w:t xml:space="preserve"> di euro</w:t>
      </w:r>
      <w:r w:rsidRPr="00A54A4E" w:rsidR="23097FF5">
        <w:t xml:space="preserve"> corrisponde al fabbisogno residuo per completare due progetti pilota attualmente in esecuzione, unitamente ai relativi costi di assistenza tecnica (convenzione operativa con Invitalia). Si tratta, dunque, della copertura finanziaria delle obbligazioni già assunte e non di nuovi interventi.</w:t>
      </w:r>
    </w:p>
    <w:p w:rsidR="7A84E556" w:rsidRPr="00A54A4E" w:rsidP="00987C41" w14:paraId="2ABF01DD" w14:textId="77777777">
      <w:pPr>
        <w:spacing w:after="120"/>
        <w:jc w:val="both"/>
      </w:pPr>
      <w:r w:rsidRPr="00A54A4E">
        <w:t>Agli oneri derivanti dall'attuazione dell’articolo, pari a 16 milioni di euro per l’anno 2026, si provvede a valere sugli stanziamenti relativi alla M</w:t>
      </w:r>
      <w:r w:rsidRPr="00A54A4E" w:rsidR="65D2A480">
        <w:t xml:space="preserve">issione </w:t>
      </w:r>
      <w:r w:rsidRPr="00A54A4E">
        <w:t>2</w:t>
      </w:r>
      <w:r w:rsidRPr="00A54A4E" w:rsidR="3E845783">
        <w:t>,</w:t>
      </w:r>
      <w:r w:rsidRPr="00A54A4E" w:rsidR="0E5F334A">
        <w:t xml:space="preserve"> </w:t>
      </w:r>
      <w:r w:rsidRPr="00A54A4E">
        <w:t>C</w:t>
      </w:r>
      <w:r w:rsidRPr="00A54A4E" w:rsidR="10CBFC03">
        <w:t xml:space="preserve">omponente </w:t>
      </w:r>
      <w:r w:rsidRPr="00A54A4E">
        <w:t>2</w:t>
      </w:r>
      <w:r w:rsidRPr="00A54A4E" w:rsidR="3D92A45D">
        <w:t>,</w:t>
      </w:r>
      <w:r w:rsidRPr="00A54A4E">
        <w:t xml:space="preserve"> Investimento 3.1</w:t>
      </w:r>
      <w:r w:rsidRPr="00A54A4E" w:rsidR="56A70BED">
        <w:t xml:space="preserve"> del PNRR</w:t>
      </w:r>
      <w:r w:rsidRPr="00A54A4E">
        <w:t>.</w:t>
      </w:r>
    </w:p>
    <w:p w:rsidR="7A84E556" w:rsidRPr="00A54A4E" w:rsidP="00987C41" w14:paraId="7CB755DF" w14:textId="77777777">
      <w:pPr>
        <w:spacing w:after="120"/>
        <w:jc w:val="both"/>
      </w:pPr>
      <w:r w:rsidRPr="00A54A4E">
        <w:t>Nello specifico la copertura dell’onere avviene mediante riallocazione di risorse interne senza impatto incrementale sulla finanza pubblica. La misura M2C2 Investimento 3.1 “Produzione di idrogeno in aree industriali dismesse (</w:t>
      </w:r>
      <w:r w:rsidRPr="00A54A4E">
        <w:t>Hydrogen</w:t>
      </w:r>
      <w:r w:rsidRPr="00A54A4E">
        <w:t xml:space="preserve"> </w:t>
      </w:r>
      <w:r w:rsidRPr="00A54A4E">
        <w:t>Valleys</w:t>
      </w:r>
      <w:r w:rsidRPr="00A54A4E">
        <w:t xml:space="preserve">)”, anch’essa parte della Missione 2 del PNRR, presentava una dotazione iniziale di 500 milioni di euro (successivamente integrata da ulteriori 90 milioni nell’ambito del capitolo </w:t>
      </w:r>
      <w:r w:rsidRPr="00A54A4E">
        <w:t>REPowerEU</w:t>
      </w:r>
      <w:r w:rsidRPr="00A54A4E">
        <w:t xml:space="preserve">) destinata a finanziare progetti di produzione e utilizzo locale di idrogeno verde in siti industriali dismessi con target di completamento di 12 impianti previsti per il 30 giugno 2026. </w:t>
      </w:r>
      <w:r w:rsidRPr="00A54A4E" w:rsidR="582D41FB">
        <w:t>I</w:t>
      </w:r>
      <w:r w:rsidRPr="00A54A4E">
        <w:t xml:space="preserve"> progett</w:t>
      </w:r>
      <w:r w:rsidRPr="00A54A4E" w:rsidR="0F734E49">
        <w:t>i</w:t>
      </w:r>
      <w:r w:rsidRPr="00A54A4E">
        <w:t xml:space="preserve"> ad oggi approvat</w:t>
      </w:r>
      <w:r w:rsidRPr="00A54A4E" w:rsidR="1B989EA0">
        <w:t>i (oltre 50)</w:t>
      </w:r>
      <w:r w:rsidRPr="00A54A4E">
        <w:t xml:space="preserve"> ed in corso nell’ambito della </w:t>
      </w:r>
      <w:r w:rsidRPr="00A54A4E" w:rsidR="7DAB18B7">
        <w:t>predetta</w:t>
      </w:r>
      <w:r w:rsidRPr="00A54A4E" w:rsidR="7DAB18B7">
        <w:t xml:space="preserve"> M</w:t>
      </w:r>
      <w:r w:rsidRPr="00A54A4E">
        <w:t>isura garantiscono con ampio margine il conseguimento del target PNRR.</w:t>
      </w:r>
    </w:p>
    <w:p w:rsidR="7A84E556" w:rsidRPr="00A54A4E" w:rsidP="00987C41" w14:paraId="20663D01" w14:textId="7EEA247D">
      <w:pPr>
        <w:spacing w:after="120"/>
        <w:jc w:val="both"/>
      </w:pPr>
      <w:r w:rsidRPr="00A54A4E">
        <w:t xml:space="preserve">Per questa </w:t>
      </w:r>
      <w:r w:rsidRPr="00A54A4E" w:rsidR="25734883">
        <w:t>M</w:t>
      </w:r>
      <w:r w:rsidRPr="00A54A4E">
        <w:t>isura risultano risorse residue (economie non riallocabili) per importi superiori a 20 milioni di euro. Si precisa che le economie derivanti dalla fase attuativa dell</w:t>
      </w:r>
      <w:r w:rsidRPr="00A54A4E" w:rsidR="5C4E4931">
        <w:t>’Investimento</w:t>
      </w:r>
      <w:r w:rsidRPr="00A54A4E">
        <w:t xml:space="preserve"> 3.1, ad esempio per rinunce per alcuni progetti, non sono più riallocabili nell’ambito della medesima misura, dato il completamento degli iter di aggiudicazione e l’impossibilità di attivare nuovi interventi nel ristretto orizzonte temporale rimanente del PNRR. </w:t>
      </w:r>
      <w:r w:rsidRPr="00A54A4E" w:rsidR="44EFD314">
        <w:t>Le</w:t>
      </w:r>
      <w:r w:rsidRPr="00A54A4E">
        <w:t xml:space="preserve"> risorse liberate</w:t>
      </w:r>
      <w:r w:rsidRPr="00A54A4E" w:rsidR="00D47C95">
        <w:t>,</w:t>
      </w:r>
      <w:r w:rsidRPr="00A54A4E">
        <w:t xml:space="preserve"> parallelamente a quanto già avvenuto per precedenti misure PNRR, sono destinate alla copertura </w:t>
      </w:r>
      <w:r w:rsidRPr="00A54A4E" w:rsidR="34D0F027">
        <w:t>del presente articolo</w:t>
      </w:r>
      <w:r w:rsidRPr="00A54A4E">
        <w:t xml:space="preserve">. </w:t>
      </w:r>
    </w:p>
    <w:p w:rsidR="00695951" w:rsidRPr="00987C41" w:rsidP="00987C41" w14:paraId="7BC80AFB" w14:textId="77777777">
      <w:pPr>
        <w:spacing w:after="120"/>
      </w:pPr>
    </w:p>
    <w:p w:rsidR="00FC4103" w:rsidRPr="0009755A" w:rsidP="00FC4103" w14:paraId="3976DF62" w14:textId="2F625555">
      <w:pPr>
        <w:pStyle w:val="Heading3"/>
        <w:spacing w:before="0" w:after="120"/>
        <w:rPr>
          <w:rStyle w:val="Titolo3Carattere"/>
          <w:b/>
        </w:rPr>
      </w:pPr>
      <w:bookmarkStart w:id="78" w:name="_Toc217379870"/>
      <w:bookmarkStart w:id="79" w:name="_Toc220077572"/>
      <w:bookmarkStart w:id="80" w:name="_Hlk213847244"/>
      <w:r w:rsidRPr="0009755A">
        <w:rPr>
          <w:rStyle w:val="Titolo3Carattere"/>
          <w:b/>
        </w:rPr>
        <w:t xml:space="preserve">ART. </w:t>
      </w:r>
      <w:r w:rsidR="00C32EBA">
        <w:t>2</w:t>
      </w:r>
      <w:r w:rsidR="00B87A48">
        <w:t>9</w:t>
      </w:r>
      <w:r w:rsidRPr="0009755A">
        <w:rPr>
          <w:color w:val="00B050"/>
        </w:rPr>
        <w:t xml:space="preserve"> </w:t>
      </w:r>
      <w:r w:rsidRPr="0009755A">
        <w:t xml:space="preserve">                                                                                                                                                                                                                                                            </w:t>
      </w:r>
      <w:r w:rsidRPr="0009755A">
        <w:t xml:space="preserve">   </w:t>
      </w:r>
      <w:bookmarkStart w:id="81" w:name="_Hlk217404789"/>
      <w:r w:rsidRPr="0009755A">
        <w:t>(</w:t>
      </w:r>
      <w:bookmarkStart w:id="82" w:name="_Hlk217404623"/>
      <w:r w:rsidRPr="0009755A">
        <w:rPr>
          <w:rStyle w:val="Titolo3Carattere"/>
          <w:b/>
        </w:rPr>
        <w:t>Misure urgenti in materia di investimenti finanziati con le risorse del Fondo per lo sviluppo e la coesione</w:t>
      </w:r>
      <w:bookmarkEnd w:id="78"/>
      <w:bookmarkEnd w:id="82"/>
      <w:r w:rsidR="001159E7">
        <w:rPr>
          <w:rStyle w:val="Titolo3Carattere"/>
          <w:b/>
        </w:rPr>
        <w:t>)</w:t>
      </w:r>
      <w:bookmarkEnd w:id="79"/>
    </w:p>
    <w:p w:rsidR="00F171D6" w:rsidRPr="00F171D6" w:rsidP="0029289F" w14:paraId="7025BE71" w14:textId="624DC52C">
      <w:pPr>
        <w:spacing w:after="120"/>
        <w:jc w:val="both"/>
      </w:pPr>
      <w:r w:rsidRPr="0009755A">
        <w:rPr>
          <w:b/>
          <w:bCs/>
          <w:u w:val="single"/>
        </w:rPr>
        <w:t xml:space="preserve">Il comma </w:t>
      </w:r>
      <w:r w:rsidRPr="00325D66" w:rsidR="00325D66">
        <w:rPr>
          <w:b/>
          <w:bCs/>
          <w:u w:val="single"/>
        </w:rPr>
        <w:t xml:space="preserve">1 </w:t>
      </w:r>
      <w:r w:rsidRPr="00325D66" w:rsidR="00325D66">
        <w:rPr>
          <w:u w:val="single"/>
        </w:rPr>
        <w:t>reca,</w:t>
      </w:r>
      <w:r w:rsidRPr="00325D66" w:rsidR="00325D66">
        <w:rPr>
          <w:b/>
          <w:bCs/>
          <w:u w:val="single"/>
        </w:rPr>
        <w:t xml:space="preserve"> alla lettera a</w:t>
      </w:r>
      <w:r w:rsidRPr="00325D66" w:rsidR="00325D66">
        <w:t>), modifiche all’articolo 1, comma 3, del decreto</w:t>
      </w:r>
      <w:r w:rsidR="002A1517">
        <w:t>-</w:t>
      </w:r>
      <w:r w:rsidRPr="00325D66" w:rsidR="00325D66">
        <w:t>legge n. 124</w:t>
      </w:r>
      <w:r w:rsidR="002A1517">
        <w:t xml:space="preserve"> del 2023</w:t>
      </w:r>
      <w:r w:rsidR="006D51F5">
        <w:t>,</w:t>
      </w:r>
      <w:r w:rsidRPr="00F171D6">
        <w:t xml:space="preserve"> allo scopo di attuare quanto previsto dall’Intesa sancita, ai sensi dell'articolo 8, comma 6, della legge n. </w:t>
      </w:r>
      <w:r w:rsidRPr="0009755A">
        <w:t>131</w:t>
      </w:r>
      <w:r w:rsidR="002A1517">
        <w:t xml:space="preserve"> del 2003</w:t>
      </w:r>
      <w:r w:rsidRPr="0009755A">
        <w:t xml:space="preserve">, </w:t>
      </w:r>
      <w:r w:rsidR="008501AE">
        <w:t xml:space="preserve">dalla </w:t>
      </w:r>
      <w:r w:rsidRPr="00F171D6">
        <w:t xml:space="preserve">Conferenza Stato – Regioni </w:t>
      </w:r>
      <w:r w:rsidR="008501AE">
        <w:t>nella seduta del 29 dicembre 202</w:t>
      </w:r>
      <w:r w:rsidR="00484972">
        <w:t xml:space="preserve">5 </w:t>
      </w:r>
      <w:r w:rsidRPr="00F171D6">
        <w:t>sul</w:t>
      </w:r>
      <w:r w:rsidR="00484972">
        <w:t xml:space="preserve"> provvedimento</w:t>
      </w:r>
      <w:r w:rsidRPr="00F171D6">
        <w:t xml:space="preserve"> concernente misure per sostenere la priorità Housing nell’ambito della riprogrammazione connessa alla Mid-term Review (MTR) dei programmi regionali della politica di coesione europea.</w:t>
      </w:r>
    </w:p>
    <w:p w:rsidR="00F171D6" w:rsidRPr="00F61A23" w:rsidP="0029289F" w14:paraId="7307EC09" w14:textId="09B4222B">
      <w:pPr>
        <w:spacing w:after="120"/>
        <w:jc w:val="both"/>
        <w:rPr>
          <w:strike/>
        </w:rPr>
      </w:pPr>
      <w:r w:rsidRPr="00F171D6">
        <w:t xml:space="preserve">Dal punto di vista finanziario, si evidenzia che la disposizione si limita a </w:t>
      </w:r>
      <w:r w:rsidR="00C33A1F">
        <w:rPr>
          <w:color w:val="0070C0"/>
        </w:rPr>
        <w:t xml:space="preserve">precisare </w:t>
      </w:r>
      <w:r w:rsidR="00021464">
        <w:rPr>
          <w:color w:val="0070C0"/>
        </w:rPr>
        <w:t xml:space="preserve">che eventuali modifiche degli accordi per la coesione potranno effettuarsi soltanto a seguito di idonea verifica della compatibilità con gli </w:t>
      </w:r>
      <w:r w:rsidRPr="0011460B" w:rsidR="00021464">
        <w:rPr>
          <w:color w:val="0070C0"/>
        </w:rPr>
        <w:t>equilibri di finanza pubblica</w:t>
      </w:r>
      <w:r w:rsidR="00021464">
        <w:rPr>
          <w:color w:val="0070C0"/>
        </w:rPr>
        <w:t>, coerentemente con quanto previsto, sul punto, dai commi 750 e 754 dell’articolo 1 della legge di bilancio 2026</w:t>
      </w:r>
      <w:r w:rsidR="0021360B">
        <w:rPr>
          <w:color w:val="0070C0"/>
        </w:rPr>
        <w:t xml:space="preserve">, provvedendo, per l’effetto, </w:t>
      </w:r>
      <w:r w:rsidR="0021360B">
        <w:rPr>
          <w:color w:val="0070C0"/>
        </w:rPr>
        <w:t>ad</w:t>
      </w:r>
      <w:r w:rsidR="0021360B">
        <w:rPr>
          <w:color w:val="0070C0"/>
        </w:rPr>
        <w:t xml:space="preserve"> adeguare le previsioni del citato articolo 1, comma 3, del decreto-legge n. 124 del 2023</w:t>
      </w:r>
      <w:r w:rsidRPr="00F171D6">
        <w:t>.</w:t>
      </w:r>
    </w:p>
    <w:p w:rsidR="00F441C0" w:rsidRPr="002E020B" w:rsidP="0029289F" w14:paraId="58D3A3C6" w14:textId="2FF92333">
      <w:pPr>
        <w:spacing w:after="120"/>
        <w:jc w:val="both"/>
      </w:pPr>
      <w:r w:rsidRPr="0096439C">
        <w:rPr>
          <w:b/>
          <w:color w:val="0070C0"/>
        </w:rPr>
        <w:t>Trattasi, conseguentemente, di una disposizione di contenuto meramente ordinamentale, da cui non derivano effetti finanziari a carico della finanza pubblica</w:t>
      </w:r>
      <w:r w:rsidRPr="0096439C" w:rsidR="002D2685">
        <w:rPr>
          <w:b/>
          <w:color w:val="0070C0"/>
        </w:rPr>
        <w:t xml:space="preserve"> dal momento che la </w:t>
      </w:r>
      <w:r w:rsidRPr="002E020B" w:rsidR="002E020B">
        <w:rPr>
          <w:b/>
          <w:color w:val="0070C0"/>
        </w:rPr>
        <w:t>i</w:t>
      </w:r>
      <w:r w:rsidRPr="002E020B" w:rsidR="00324DB4">
        <w:rPr>
          <w:b/>
          <w:color w:val="0070C0"/>
        </w:rPr>
        <w:t xml:space="preserve">n </w:t>
      </w:r>
      <w:r w:rsidRPr="002E020B" w:rsidR="002C0929">
        <w:rPr>
          <w:b/>
          <w:color w:val="0070C0"/>
        </w:rPr>
        <w:t xml:space="preserve">commento è finalizzata </w:t>
      </w:r>
      <w:r w:rsidRPr="002E020B" w:rsidR="00215512">
        <w:rPr>
          <w:b/>
          <w:color w:val="0070C0"/>
        </w:rPr>
        <w:t>ad</w:t>
      </w:r>
      <w:r w:rsidRPr="002E020B" w:rsidR="00A636F9">
        <w:rPr>
          <w:b/>
          <w:color w:val="0070C0"/>
        </w:rPr>
        <w:t xml:space="preserve"> allineare </w:t>
      </w:r>
      <w:r w:rsidRPr="002E020B" w:rsidR="00F32578">
        <w:rPr>
          <w:b/>
          <w:color w:val="0070C0"/>
        </w:rPr>
        <w:t>le previsioni del decreto-legge n. 124 del 2023 a quanto disposto</w:t>
      </w:r>
      <w:r w:rsidRPr="002E020B" w:rsidR="006A0196">
        <w:rPr>
          <w:b/>
          <w:color w:val="0070C0"/>
        </w:rPr>
        <w:t xml:space="preserve"> dall’articolo 1, commi 750 e 754, </w:t>
      </w:r>
      <w:r w:rsidRPr="002E020B" w:rsidR="00F32578">
        <w:rPr>
          <w:b/>
          <w:color w:val="0070C0"/>
        </w:rPr>
        <w:t>d</w:t>
      </w:r>
      <w:r w:rsidRPr="002E020B" w:rsidR="006A0196">
        <w:rPr>
          <w:b/>
          <w:color w:val="0070C0"/>
        </w:rPr>
        <w:t>e</w:t>
      </w:r>
      <w:r w:rsidRPr="002E020B" w:rsidR="00F32578">
        <w:rPr>
          <w:b/>
          <w:color w:val="0070C0"/>
        </w:rPr>
        <w:t>lla legge di bilancio 2026</w:t>
      </w:r>
      <w:r w:rsidRPr="002E020B" w:rsidR="004231AA">
        <w:rPr>
          <w:b/>
          <w:color w:val="0070C0"/>
        </w:rPr>
        <w:t xml:space="preserve">, </w:t>
      </w:r>
      <w:r w:rsidRPr="002E020B" w:rsidR="002E020B">
        <w:rPr>
          <w:b/>
          <w:color w:val="0070C0"/>
        </w:rPr>
        <w:t xml:space="preserve">che autorizzano </w:t>
      </w:r>
      <w:r w:rsidRPr="002E020B" w:rsidR="004231AA">
        <w:rPr>
          <w:b/>
          <w:color w:val="0070C0"/>
        </w:rPr>
        <w:t>la modifica dei cronoprogrammi degli Accordi per la coesione esclusivamente</w:t>
      </w:r>
      <w:r w:rsidRPr="002E020B" w:rsidR="004231AA">
        <w:rPr>
          <w:b/>
          <w:bCs/>
          <w:color w:val="0070C0"/>
        </w:rPr>
        <w:t xml:space="preserve"> nei limiti delle disponibilità annuali del Fondo per lo sviluppo e la coesione in termini di competenza e di cassa</w:t>
      </w:r>
      <w:r w:rsidRPr="002E020B" w:rsidR="002E020B">
        <w:rPr>
          <w:b/>
          <w:bCs/>
          <w:color w:val="0070C0"/>
        </w:rPr>
        <w:t xml:space="preserve">. </w:t>
      </w:r>
    </w:p>
    <w:p w:rsidR="00161D0F" w:rsidRPr="00177945" w:rsidP="00161D0F" w14:paraId="6B3B0590" w14:textId="4A410D42">
      <w:pPr>
        <w:spacing w:after="120"/>
        <w:jc w:val="both"/>
        <w:rPr>
          <w:b/>
        </w:rPr>
      </w:pPr>
      <w:r w:rsidRPr="00AF473A">
        <w:rPr>
          <w:bCs/>
        </w:rPr>
        <w:t>Al</w:t>
      </w:r>
      <w:r>
        <w:rPr>
          <w:b/>
        </w:rPr>
        <w:t xml:space="preserve"> </w:t>
      </w:r>
      <w:r w:rsidRPr="007166FB">
        <w:rPr>
          <w:b/>
          <w:u w:val="single"/>
        </w:rPr>
        <w:t>comma 1, lett. b)</w:t>
      </w:r>
      <w:r>
        <w:rPr>
          <w:b/>
        </w:rPr>
        <w:t xml:space="preserve"> </w:t>
      </w:r>
      <w:r w:rsidRPr="007166FB">
        <w:rPr>
          <w:bCs/>
        </w:rPr>
        <w:t xml:space="preserve">si prevede </w:t>
      </w:r>
      <w:r w:rsidR="00A15FDF">
        <w:rPr>
          <w:bCs/>
        </w:rPr>
        <w:t>l’incremento</w:t>
      </w:r>
      <w:r w:rsidRPr="00161D0F">
        <w:rPr>
          <w:bCs/>
        </w:rPr>
        <w:t xml:space="preserve"> dal 10 per cento al 20 per cento </w:t>
      </w:r>
      <w:r w:rsidR="00A15FDF">
        <w:rPr>
          <w:bCs/>
        </w:rPr>
        <w:t>del</w:t>
      </w:r>
      <w:r w:rsidRPr="00161D0F">
        <w:rPr>
          <w:bCs/>
        </w:rPr>
        <w:t>l’entità delle anticipazioni di cassa previste dall’articolo 2, comma 2, del decreto</w:t>
      </w:r>
      <w:r w:rsidR="005B3102">
        <w:rPr>
          <w:bCs/>
        </w:rPr>
        <w:t>-</w:t>
      </w:r>
      <w:r w:rsidRPr="00161D0F">
        <w:rPr>
          <w:bCs/>
        </w:rPr>
        <w:t>legge n. 124 del 2023 concedibili entro ciascuno anno finanziario e per ciascun Accordo per la coesione, compatibilmente con le disponibilità annuali di cassa.</w:t>
      </w:r>
      <w:r w:rsidR="0026180D">
        <w:rPr>
          <w:bCs/>
        </w:rPr>
        <w:t xml:space="preserve"> </w:t>
      </w:r>
      <w:r w:rsidRPr="00AC1650" w:rsidR="0026180D">
        <w:rPr>
          <w:b/>
        </w:rPr>
        <w:t xml:space="preserve">La disposizione non comporta nuovi </w:t>
      </w:r>
      <w:r w:rsidRPr="00AC1650" w:rsidR="00C362B9">
        <w:rPr>
          <w:b/>
        </w:rPr>
        <w:t xml:space="preserve">o maggiori oneri a carico della finanza pubblica </w:t>
      </w:r>
      <w:r w:rsidR="002A60E7">
        <w:rPr>
          <w:b/>
        </w:rPr>
        <w:t xml:space="preserve">in quanto </w:t>
      </w:r>
      <w:r w:rsidR="00BA511B">
        <w:rPr>
          <w:b/>
        </w:rPr>
        <w:t xml:space="preserve">il previsto </w:t>
      </w:r>
      <w:r w:rsidRPr="00AC1650" w:rsidR="00C362B9">
        <w:rPr>
          <w:b/>
        </w:rPr>
        <w:t xml:space="preserve">incremento </w:t>
      </w:r>
      <w:r w:rsidRPr="00AC1650" w:rsidR="008B459D">
        <w:rPr>
          <w:b/>
        </w:rPr>
        <w:t>della percentuale massima di anticipazione concedibil</w:t>
      </w:r>
      <w:r w:rsidR="00BA511B">
        <w:rPr>
          <w:b/>
        </w:rPr>
        <w:t>e</w:t>
      </w:r>
      <w:r w:rsidRPr="00AC1650" w:rsidR="008B459D">
        <w:rPr>
          <w:b/>
        </w:rPr>
        <w:t xml:space="preserve"> </w:t>
      </w:r>
      <w:r w:rsidRPr="00AC1650" w:rsidR="00307FC0">
        <w:rPr>
          <w:b/>
        </w:rPr>
        <w:t xml:space="preserve">opera nei limiti delle risorse già stanziate e </w:t>
      </w:r>
      <w:r w:rsidRPr="00177945" w:rsidR="00307FC0">
        <w:rPr>
          <w:b/>
        </w:rPr>
        <w:t>compatibilmente con le disponibilità annuali di cassa, senza</w:t>
      </w:r>
      <w:r w:rsidRPr="00177945" w:rsidR="00BA511B">
        <w:rPr>
          <w:b/>
        </w:rPr>
        <w:t xml:space="preserve"> pertanto</w:t>
      </w:r>
      <w:r w:rsidRPr="00177945" w:rsidR="00307FC0">
        <w:rPr>
          <w:b/>
        </w:rPr>
        <w:t xml:space="preserve"> determinare effetti di accelerazione della spesa</w:t>
      </w:r>
      <w:r w:rsidRPr="00177945" w:rsidR="00BA511B">
        <w:rPr>
          <w:b/>
        </w:rPr>
        <w:t>.</w:t>
      </w:r>
    </w:p>
    <w:p w:rsidR="008154F0" w:rsidRPr="00F04CA5" w:rsidP="008154F0" w14:paraId="33596392" w14:textId="59865A33">
      <w:pPr>
        <w:spacing w:after="120"/>
        <w:jc w:val="both"/>
      </w:pPr>
      <w:r>
        <w:rPr>
          <w:b/>
          <w:bCs/>
        </w:rPr>
        <w:t xml:space="preserve">Il </w:t>
      </w:r>
      <w:r w:rsidRPr="00F04CA5">
        <w:rPr>
          <w:b/>
          <w:bCs/>
          <w:u w:val="single"/>
        </w:rPr>
        <w:t>comma 2</w:t>
      </w:r>
      <w:r>
        <w:rPr>
          <w:b/>
          <w:bCs/>
        </w:rPr>
        <w:t xml:space="preserve"> </w:t>
      </w:r>
      <w:r w:rsidRPr="00F04CA5">
        <w:t>si inserisce nel quadro delle politiche di sostegno e rilancio del settore turistico nazionale, rafforzando la dotazione finanziaria</w:t>
      </w:r>
      <w:r w:rsidR="00C742F0">
        <w:t>,</w:t>
      </w:r>
      <w:r w:rsidRPr="00F04CA5">
        <w:t xml:space="preserve"> </w:t>
      </w:r>
      <w:r w:rsidRPr="00C742F0" w:rsidR="00C742F0">
        <w:t xml:space="preserve">nella misura complessiva di 200 milioni di euro, </w:t>
      </w:r>
      <w:r w:rsidRPr="00F04CA5">
        <w:t>destinata alle iniziative di valorizzazione del patrimonio turistico previste dall’articolo 178 del decreto-legge 19 n. 34</w:t>
      </w:r>
      <w:r w:rsidR="005B3102">
        <w:t xml:space="preserve"> del 2020</w:t>
      </w:r>
      <w:r w:rsidRPr="00F04CA5">
        <w:t>, che ha istituito un quadro programmatico per il sostegno al settore turistico attraverso misure straordinarie orientate al rilancio strutturale del comparto.</w:t>
      </w:r>
    </w:p>
    <w:p w:rsidR="008154F0" w:rsidRPr="008154F0" w:rsidP="008154F0" w14:paraId="4A7CF89C" w14:textId="229E81D6">
      <w:pPr>
        <w:spacing w:after="120"/>
        <w:jc w:val="both"/>
      </w:pPr>
      <w:r w:rsidRPr="008154F0">
        <w:t>Con delibera n. 77/2024 del 29 novembre 2024, relativa all’imputazione programmatica alle amministrazioni centrali della quota del Fondo per lo sviluppo e la coesione (FSC) 2021-2027, il Comitato interministeriale per la programmazione economica e lo sviluppo sostenibile (CIPESS), ai sensi dell’articolo 1, comma 178, lettera b), numero 1) della legge n. 178</w:t>
      </w:r>
      <w:r w:rsidR="005B3102">
        <w:t xml:space="preserve"> del 2020</w:t>
      </w:r>
      <w:r w:rsidRPr="008154F0">
        <w:t>, ha assegnato al Ministero del turismo risorse pari a 121.138.038,00 euro.</w:t>
      </w:r>
      <w:r w:rsidR="00D60C9D">
        <w:t xml:space="preserve"> </w:t>
      </w:r>
      <w:r w:rsidRPr="008154F0">
        <w:t xml:space="preserve">Con la </w:t>
      </w:r>
      <w:r w:rsidR="00F04CA5">
        <w:t>disposizione</w:t>
      </w:r>
      <w:r w:rsidRPr="008154F0">
        <w:t xml:space="preserve"> in commento tale somma viene incrementata di complessivi 200 milioni di euro</w:t>
      </w:r>
      <w:r w:rsidR="001037D1">
        <w:t>.</w:t>
      </w:r>
      <w:r w:rsidRPr="008154F0">
        <w:t xml:space="preserve"> </w:t>
      </w:r>
    </w:p>
    <w:p w:rsidR="00911329" w:rsidRPr="00F04CA5" w:rsidP="00911329" w14:paraId="63B24E7A" w14:textId="5E3195D7">
      <w:pPr>
        <w:spacing w:after="120"/>
        <w:jc w:val="both"/>
      </w:pPr>
      <w:r w:rsidRPr="00B33714">
        <w:t>In particolare, il citato</w:t>
      </w:r>
      <w:r>
        <w:t xml:space="preserve"> articolo 178 </w:t>
      </w:r>
      <w:r w:rsidR="00571BCB">
        <w:t xml:space="preserve">ha </w:t>
      </w:r>
      <w:r w:rsidRPr="008154F0" w:rsidR="008154F0">
        <w:t xml:space="preserve">istituito nello stato di previsione del Ministero per i beni e le attività culturali e per il turismo (attuale capitolo 7120, in gestione al </w:t>
      </w:r>
      <w:r w:rsidRPr="00F04CA5">
        <w:t xml:space="preserve">Centro di Responsabilità n. 7 del Ministero del turismo) un fondo finalizzato alla sottoscrizione di quote o azioni di organismi di investimento collettivo del risparmio e fondi di investimento, gestiti da società di gestione del risparmio, in funzione di acquisto, ristrutturazione e valorizzazione di immobili destinati ad attività turistico-ricettive. Il Fondo, con una dotazione di 50 milioni di euro per l’anno 2020, è stato incrementato di 40 milioni di euro per l’anno 2022, di 15 milioni di euro per l’anno 2023, di 15 milioni di euro per l’anno 2024 e di 30 milioni di euro per l’anno 2025, mediante corrispondente riduzione </w:t>
      </w:r>
      <w:r w:rsidRPr="00AB531E" w:rsidR="00AB531E">
        <w:t>delle risorse del Fondo per lo sviluppo e la coesione - programmazione 2014-2020, di cui all’articolo 1, comma 6, della legge n. 147</w:t>
      </w:r>
      <w:r w:rsidR="005B3102">
        <w:t xml:space="preserve"> del 2013</w:t>
      </w:r>
      <w:r w:rsidRPr="00AB531E" w:rsidR="00AB531E">
        <w:t xml:space="preserve">, previa deliberazione del Comitato interministeriale </w:t>
      </w:r>
      <w:r w:rsidRPr="00F04CA5">
        <w:t xml:space="preserve">per la programmazione economica e lo sviluppo sostenibile. </w:t>
      </w:r>
    </w:p>
    <w:p w:rsidR="00E84754" w:rsidP="00F04CA5" w14:paraId="7C033542" w14:textId="269F133B">
      <w:pPr>
        <w:spacing w:after="120"/>
        <w:jc w:val="both"/>
      </w:pPr>
      <w:r>
        <w:t xml:space="preserve">Tanto premesso, la disposizione in commento prevede l’assegnazione al Ministero del turismo di ulteriori 200 milioni di </w:t>
      </w:r>
      <w:r w:rsidRPr="003C7C77">
        <w:t xml:space="preserve">euro </w:t>
      </w:r>
      <w:r w:rsidRPr="003C7C77" w:rsidR="00E8571C">
        <w:t xml:space="preserve">complessivi </w:t>
      </w:r>
      <w:r w:rsidR="00A078BA">
        <w:rPr>
          <w:color w:val="0070C0"/>
        </w:rPr>
        <w:t>(50 milioni di euro per il 2026 e 150 milioni per il 2027)</w:t>
      </w:r>
      <w:r w:rsidRPr="003C7C77" w:rsidR="00E8571C">
        <w:t xml:space="preserve"> </w:t>
      </w:r>
      <w:r w:rsidRPr="003C7C77">
        <w:t xml:space="preserve">per il finanziamento </w:t>
      </w:r>
      <w:r>
        <w:t>delle iniziative sopra richiamate</w:t>
      </w:r>
      <w:r w:rsidR="00A078BA">
        <w:t>.</w:t>
      </w:r>
      <w:r>
        <w:t xml:space="preserve"> </w:t>
      </w:r>
    </w:p>
    <w:p w:rsidR="00676DDF" w:rsidRPr="00676DDF" w:rsidP="00676DDF" w14:paraId="5B00A661" w14:textId="2B487DD0">
      <w:pPr>
        <w:spacing w:after="120"/>
        <w:jc w:val="both"/>
        <w:rPr>
          <w:color w:val="0070C0"/>
        </w:rPr>
      </w:pPr>
      <w:r w:rsidRPr="004F0240">
        <w:rPr>
          <w:color w:val="0070C0"/>
        </w:rPr>
        <w:t>Il comma in rassegna provvede altresì ad individuare le fonti di finanziamento</w:t>
      </w:r>
      <w:r w:rsidRPr="004F0240">
        <w:rPr>
          <w:rFonts w:eastAsia="Aptos"/>
          <w:color w:val="0070C0"/>
        </w:rPr>
        <w:t xml:space="preserve"> per la </w:t>
      </w:r>
      <w:r w:rsidRPr="004F0240">
        <w:rPr>
          <w:color w:val="0070C0"/>
        </w:rPr>
        <w:t xml:space="preserve">copertura degli oneri previsti </w:t>
      </w:r>
      <w:r w:rsidRPr="00676DDF">
        <w:rPr>
          <w:color w:val="0070C0"/>
        </w:rPr>
        <w:t xml:space="preserve">e conseguentemente a regolare dal punto di vista contabile l’impatto in termini di saldo netto da finanziare e fabbisogno, </w:t>
      </w:r>
      <w:r w:rsidR="003D5E42">
        <w:rPr>
          <w:color w:val="0070C0"/>
        </w:rPr>
        <w:t>disponendo</w:t>
      </w:r>
      <w:r>
        <w:rPr>
          <w:color w:val="0070C0"/>
        </w:rPr>
        <w:t>,</w:t>
      </w:r>
      <w:r w:rsidRPr="00676DDF">
        <w:rPr>
          <w:color w:val="0070C0"/>
        </w:rPr>
        <w:t xml:space="preserve"> al successivo </w:t>
      </w:r>
      <w:r w:rsidRPr="00676DDF">
        <w:rPr>
          <w:b/>
          <w:color w:val="0070C0"/>
          <w:u w:val="single"/>
        </w:rPr>
        <w:t>comma 3</w:t>
      </w:r>
      <w:r w:rsidRPr="00676DDF">
        <w:rPr>
          <w:color w:val="0070C0"/>
        </w:rPr>
        <w:t>, l’incremento del Fondo per la compensazione degli effetti finanziari non previsti a legislazione vigente, istituito dalla legge n. 296 del 2006 nello stato di previsione del Ministero dell’economia e delle finanze, per ulteriori 200 milioni di euro</w:t>
      </w:r>
      <w:r w:rsidR="00BC7481">
        <w:rPr>
          <w:color w:val="0070C0"/>
        </w:rPr>
        <w:t xml:space="preserve"> complessivi </w:t>
      </w:r>
      <w:r w:rsidR="00B524A7">
        <w:rPr>
          <w:color w:val="0070C0"/>
        </w:rPr>
        <w:t>(50 milioni di euro per il 2026 e 150 milioni per il 2027).</w:t>
      </w:r>
      <w:r w:rsidRPr="00676DDF">
        <w:rPr>
          <w:color w:val="0070C0"/>
        </w:rPr>
        <w:t xml:space="preserve"> </w:t>
      </w:r>
    </w:p>
    <w:p w:rsidR="00B8294A" w:rsidP="0038750B" w14:paraId="2E237633" w14:textId="42FBC4DC">
      <w:pPr>
        <w:spacing w:after="120"/>
        <w:jc w:val="both"/>
        <w:rPr>
          <w:color w:val="0070C0"/>
        </w:rPr>
      </w:pPr>
      <w:r>
        <w:rPr>
          <w:color w:val="0070C0"/>
        </w:rPr>
        <w:t xml:space="preserve">Tanto premesso, </w:t>
      </w:r>
      <w:r w:rsidRPr="000F5444" w:rsidR="000F7CEA">
        <w:rPr>
          <w:color w:val="0070C0"/>
        </w:rPr>
        <w:t>il finanziamento degli oneri ivi previsti, pari</w:t>
      </w:r>
      <w:r w:rsidRPr="003D33C4" w:rsidR="000F7CEA">
        <w:rPr>
          <w:color w:val="0070C0"/>
        </w:rPr>
        <w:t xml:space="preserve"> a complessivi 400 milioni di euro,</w:t>
      </w:r>
      <w:r w:rsidR="000F7CEA">
        <w:rPr>
          <w:color w:val="0070C0"/>
        </w:rPr>
        <w:t xml:space="preserve"> è assicurato:</w:t>
      </w:r>
    </w:p>
    <w:p w:rsidR="00C6088D" w:rsidRPr="003D33C4" w:rsidP="00C6088D" w14:paraId="0A3C2674" w14:textId="266DD9CC">
      <w:pPr>
        <w:spacing w:after="120"/>
        <w:jc w:val="both"/>
        <w:rPr>
          <w:bCs/>
          <w:color w:val="0070C0"/>
        </w:rPr>
      </w:pPr>
      <w:r w:rsidRPr="003D33C4">
        <w:rPr>
          <w:bCs/>
          <w:color w:val="0070C0"/>
        </w:rPr>
        <w:t>a) quanto a 50 milioni di euro per l’anno 2026, mediante corrisponde versamento all’entrata del bilancio dello stato delle somme disponibili in conto residui sul Fondo per lo sviluppo e la coesione, periodo di programmazione 2014-2020;</w:t>
      </w:r>
    </w:p>
    <w:p w:rsidR="00C6088D" w:rsidRPr="003D33C4" w:rsidP="00C6088D" w14:paraId="409BDFCC" w14:textId="5DACB178">
      <w:pPr>
        <w:spacing w:after="120"/>
        <w:jc w:val="both"/>
        <w:rPr>
          <w:bCs/>
          <w:color w:val="0070C0"/>
        </w:rPr>
      </w:pPr>
      <w:r w:rsidRPr="003D33C4">
        <w:rPr>
          <w:bCs/>
          <w:color w:val="0070C0"/>
        </w:rPr>
        <w:t>b) quanto a 150 milioni di euro</w:t>
      </w:r>
      <w:r w:rsidRPr="001E3D13" w:rsidR="001E3D13">
        <w:rPr>
          <w:bCs/>
          <w:color w:val="0070C0"/>
        </w:rPr>
        <w:t xml:space="preserve"> per l’anno 202</w:t>
      </w:r>
      <w:r w:rsidR="001E3D13">
        <w:rPr>
          <w:bCs/>
          <w:color w:val="0070C0"/>
        </w:rPr>
        <w:t>7</w:t>
      </w:r>
      <w:r w:rsidRPr="003D33C4">
        <w:rPr>
          <w:bCs/>
          <w:color w:val="0070C0"/>
        </w:rPr>
        <w:t>, mediante corrispondente riduzione delle risorse del Fondo per lo sviluppo e la coesione, periodo di programmazione 2021-2027;</w:t>
      </w:r>
    </w:p>
    <w:p w:rsidR="00624BD4" w:rsidRPr="001531DB" w:rsidP="00FE678D" w14:paraId="38BB51C2" w14:textId="5B297FDC">
      <w:pPr>
        <w:spacing w:after="120"/>
        <w:jc w:val="both"/>
        <w:rPr>
          <w:bCs/>
          <w:color w:val="0070C0"/>
        </w:rPr>
      </w:pPr>
      <w:r w:rsidRPr="003D33C4">
        <w:rPr>
          <w:bCs/>
          <w:color w:val="0070C0"/>
        </w:rPr>
        <w:t xml:space="preserve">c) quanto a </w:t>
      </w:r>
      <w:r w:rsidRPr="00DD1BD5" w:rsidR="00DD1BD5">
        <w:rPr>
          <w:bCs/>
          <w:color w:val="0070C0"/>
        </w:rPr>
        <w:t xml:space="preserve">50 milioni di euro per l’anno 2026 e 150 milioni di euro per l’anno 2027 </w:t>
      </w:r>
      <w:r w:rsidRPr="003D33C4">
        <w:rPr>
          <w:bCs/>
          <w:color w:val="0070C0"/>
        </w:rPr>
        <w:t>in termini di saldo netto da finanziare e fabbisogno, mediante corrispondente versamento all’entrata del bilancio dello Stato delle somme disponibili in conto residui nello stato di previsione del Ministero dell’economia e finanze ai sensi dell’articolo 27, comma 17, del decreto-legge n. 34</w:t>
      </w:r>
      <w:r w:rsidRPr="003D33C4" w:rsidR="001B6E34">
        <w:rPr>
          <w:bCs/>
          <w:color w:val="0070C0"/>
        </w:rPr>
        <w:t xml:space="preserve"> del 2020. </w:t>
      </w:r>
    </w:p>
    <w:p w:rsidR="000F7CEA" w:rsidRPr="00103ACF" w:rsidP="000F7CEA" w14:paraId="1C4FC08A" w14:textId="1B62B629">
      <w:pPr>
        <w:spacing w:after="120"/>
        <w:jc w:val="both"/>
        <w:rPr>
          <w:b/>
          <w:bCs/>
          <w:color w:val="0070C0"/>
        </w:rPr>
      </w:pPr>
      <w:r w:rsidRPr="11597D82">
        <w:rPr>
          <w:b/>
          <w:bCs/>
          <w:color w:val="0070C0"/>
        </w:rPr>
        <w:t>Conseguentemente, i commi 2 e 3 non determinano nuovi o maggiori oneri, dal momento che ai relativi oneri si farà fronte mediante riprogrammazione delle risorse FSC già stanziate</w:t>
      </w:r>
      <w:r w:rsidRPr="11597D82" w:rsidR="00D81E0F">
        <w:rPr>
          <w:b/>
          <w:bCs/>
          <w:color w:val="0070C0"/>
        </w:rPr>
        <w:t xml:space="preserve"> ovvero </w:t>
      </w:r>
      <w:r w:rsidRPr="11597D82" w:rsidR="00516969">
        <w:rPr>
          <w:b/>
          <w:bCs/>
          <w:color w:val="0070C0"/>
        </w:rPr>
        <w:t>tramite corrispondente versamento all’entrata del bilancio dello Stato delle somme disponibili in conto residui nello stato di previsione del Ministero dell’economia e finanze ai sensi dell’articolo 27, comma 17, del decreto-legge n. 34 del 2020,</w:t>
      </w:r>
      <w:r w:rsidRPr="11597D82">
        <w:rPr>
          <w:b/>
          <w:bCs/>
          <w:color w:val="0070C0"/>
        </w:rPr>
        <w:t xml:space="preserve"> assicurandosi, in tal modo, il rispetto dei vincoli di finanza pubblica. </w:t>
      </w:r>
    </w:p>
    <w:p w:rsidR="0019368C" w:rsidRPr="0019368C" w:rsidP="0019368C" w14:paraId="1FF6A69D" w14:textId="3C02EEE7">
      <w:pPr>
        <w:spacing w:after="120"/>
        <w:jc w:val="both"/>
      </w:pPr>
      <w:r w:rsidRPr="0019138B">
        <w:t>Il</w:t>
      </w:r>
      <w:r>
        <w:rPr>
          <w:b/>
          <w:bCs/>
        </w:rPr>
        <w:t xml:space="preserve"> </w:t>
      </w:r>
      <w:r w:rsidRPr="00AE5F3D">
        <w:rPr>
          <w:b/>
          <w:bCs/>
          <w:u w:val="single"/>
        </w:rPr>
        <w:t>comma 4</w:t>
      </w:r>
      <w:r>
        <w:rPr>
          <w:b/>
          <w:bCs/>
        </w:rPr>
        <w:t xml:space="preserve"> </w:t>
      </w:r>
      <w:r w:rsidRPr="0019368C">
        <w:t>autorizza lo stanziamento di risorse pari a complessivi 90 milioni di euro, a valere sul Fondo per lo sviluppo e la coesione (FSC) – periodo di programmazione 2021-2027, di cui all’articolo 1, comma 177, della legge 30 dicembre 2020, n. 178, ripartite in 10 milioni di euro per l’annualità 2026 e in 80 milioni di euro per l’annualità 2027.</w:t>
      </w:r>
    </w:p>
    <w:p w:rsidR="0019368C" w:rsidRPr="0019368C" w:rsidP="0019368C" w14:paraId="546296E5" w14:textId="77777777">
      <w:pPr>
        <w:spacing w:after="120"/>
        <w:jc w:val="both"/>
        <w:rPr>
          <w:b/>
        </w:rPr>
      </w:pPr>
      <w:r w:rsidRPr="0019368C">
        <w:rPr>
          <w:b/>
        </w:rPr>
        <w:t>Dall’attuazione della disposizione non discendono nuovi o maggiori oneri a carico della finanza pubblica, in quanto la stessa opera nell’ambito delle risorse disponibili del FSC 2021-2027, che risultano già assegnate al Dipartimento delle politiche di coesione e libere da impegni.</w:t>
      </w:r>
    </w:p>
    <w:p w:rsidR="00E5623A" w:rsidRPr="00B6287C" w:rsidP="00E5623A" w14:paraId="321475A6" w14:textId="2DBC6520">
      <w:pPr>
        <w:spacing w:after="120"/>
        <w:jc w:val="both"/>
      </w:pPr>
      <w:r w:rsidRPr="00B6287C">
        <w:t xml:space="preserve">Il </w:t>
      </w:r>
      <w:r w:rsidRPr="00B6287C">
        <w:rPr>
          <w:b/>
          <w:bCs/>
          <w:u w:val="single"/>
        </w:rPr>
        <w:t xml:space="preserve">comma </w:t>
      </w:r>
      <w:r w:rsidR="00AE5F3D">
        <w:rPr>
          <w:b/>
          <w:bCs/>
          <w:u w:val="single"/>
        </w:rPr>
        <w:t>5</w:t>
      </w:r>
      <w:r w:rsidRPr="00B6287C">
        <w:t xml:space="preserve"> prevede che</w:t>
      </w:r>
      <w:r w:rsidR="0084545A">
        <w:t>,</w:t>
      </w:r>
      <w:r w:rsidRPr="00B6287C">
        <w:t xml:space="preserve"> con apposita delibera del Comitato interministeriale per la programmazione economica (CIPESS), adottata su proposta del Ministro per gli affari europei, il PNRR e le politiche di coesione</w:t>
      </w:r>
      <w:r w:rsidR="00732DA8">
        <w:t xml:space="preserve"> </w:t>
      </w:r>
      <w:r w:rsidRPr="00C476BE" w:rsidR="00732DA8">
        <w:t>sia disposto il finanziamento:</w:t>
      </w:r>
    </w:p>
    <w:p w:rsidR="00E5623A" w:rsidRPr="00B6287C" w:rsidP="00E5623A" w14:paraId="55F239B8" w14:textId="77777777">
      <w:pPr>
        <w:spacing w:after="120"/>
        <w:jc w:val="both"/>
      </w:pPr>
      <w:r w:rsidRPr="00B6287C">
        <w:t>a) del completamento dell’investimento relativo al complesso de La Balzana situato nel comune di S. Maria La Fossa, in provincia di Caserta, nell’ambito del Piano per la valorizzazione dei beni confiscati esemplari nel Mezzogiorno di cui alla delibera del Comitato interministeriale per la programmazione economica (CIPE) n. 61/2020 del 24 luglio 2019, pubblicata nella Gazzetta Ufficiale n. 258 del 4 novembre 2019;</w:t>
      </w:r>
    </w:p>
    <w:p w:rsidR="00E5623A" w:rsidP="00E5623A" w14:paraId="489D2E92" w14:textId="115D9437">
      <w:pPr>
        <w:spacing w:after="120"/>
        <w:jc w:val="both"/>
      </w:pPr>
      <w:r w:rsidRPr="00B6287C">
        <w:t xml:space="preserve">b) dell’infrastruttura di recupero ambientale e di mobilità sostenibile nel Comune di Statte, in </w:t>
      </w:r>
      <w:r w:rsidRPr="00AC6D68">
        <w:t>provincia di Taranto.</w:t>
      </w:r>
    </w:p>
    <w:p w:rsidR="00A4351B" w:rsidRPr="007769BD" w:rsidP="00E5623A" w14:paraId="563B27B5" w14:textId="1C90BD20">
      <w:pPr>
        <w:spacing w:after="120"/>
        <w:jc w:val="both"/>
        <w:rPr>
          <w:b/>
          <w:color w:val="0070C0"/>
        </w:rPr>
      </w:pPr>
      <w:r w:rsidRPr="007769BD">
        <w:rPr>
          <w:b/>
          <w:color w:val="0070C0"/>
        </w:rPr>
        <w:t xml:space="preserve">La </w:t>
      </w:r>
      <w:r w:rsidRPr="007769BD" w:rsidR="00935C72">
        <w:rPr>
          <w:b/>
          <w:color w:val="0070C0"/>
        </w:rPr>
        <w:t xml:space="preserve">disposizione comporta oneri </w:t>
      </w:r>
      <w:r w:rsidRPr="007769BD" w:rsidR="00BE395D">
        <w:rPr>
          <w:b/>
          <w:color w:val="0070C0"/>
        </w:rPr>
        <w:t xml:space="preserve">pari complessivamente </w:t>
      </w:r>
      <w:r w:rsidRPr="007769BD" w:rsidR="004E27B5">
        <w:rPr>
          <w:b/>
          <w:color w:val="0070C0"/>
        </w:rPr>
        <w:t>15,7 milioni di euro, la cui copertura è assicurata</w:t>
      </w:r>
      <w:r w:rsidRPr="007769BD" w:rsidR="001B634E">
        <w:rPr>
          <w:b/>
          <w:color w:val="0070C0"/>
        </w:rPr>
        <w:t xml:space="preserve"> </w:t>
      </w:r>
      <w:r w:rsidRPr="007769BD">
        <w:rPr>
          <w:b/>
          <w:color w:val="0070C0"/>
        </w:rPr>
        <w:t>a valere sulle risorse del Fondo per lo sviluppo e la coesione di cui all’articolo 4 del decreto legislativo n. 88 del 2011</w:t>
      </w:r>
      <w:r w:rsidRPr="007769BD" w:rsidR="001B634E">
        <w:rPr>
          <w:b/>
          <w:color w:val="0070C0"/>
        </w:rPr>
        <w:t xml:space="preserve"> in coordinamento con le disposizioni recate dal </w:t>
      </w:r>
      <w:r w:rsidRPr="007769BD" w:rsidR="007769BD">
        <w:rPr>
          <w:b/>
          <w:color w:val="0070C0"/>
        </w:rPr>
        <w:t>successivo comma</w:t>
      </w:r>
      <w:r w:rsidRPr="007769BD" w:rsidR="001B634E">
        <w:rPr>
          <w:b/>
          <w:color w:val="0070C0"/>
        </w:rPr>
        <w:t xml:space="preserve"> 6.</w:t>
      </w:r>
    </w:p>
    <w:p w:rsidR="00711631" w:rsidP="000E2913" w14:paraId="7E7204C1" w14:textId="279BE53D">
      <w:pPr>
        <w:spacing w:after="120"/>
        <w:jc w:val="both"/>
        <w:rPr>
          <w:b/>
          <w:bCs/>
          <w:color w:val="0070C0"/>
        </w:rPr>
      </w:pPr>
      <w:r w:rsidRPr="007769BD">
        <w:rPr>
          <w:b/>
          <w:color w:val="0070C0"/>
        </w:rPr>
        <w:t xml:space="preserve">Il </w:t>
      </w:r>
      <w:r w:rsidRPr="007769BD">
        <w:rPr>
          <w:b/>
          <w:color w:val="0070C0"/>
          <w:u w:val="single"/>
        </w:rPr>
        <w:t xml:space="preserve">comma </w:t>
      </w:r>
      <w:r w:rsidRPr="007769BD" w:rsidR="00AE5F3D">
        <w:rPr>
          <w:b/>
          <w:color w:val="0070C0"/>
          <w:u w:val="single"/>
        </w:rPr>
        <w:t>6</w:t>
      </w:r>
      <w:r w:rsidRPr="007769BD" w:rsidR="00E5623A">
        <w:rPr>
          <w:b/>
          <w:color w:val="0070C0"/>
        </w:rPr>
        <w:t xml:space="preserve"> </w:t>
      </w:r>
      <w:r w:rsidRPr="007769BD" w:rsidR="001B634E">
        <w:rPr>
          <w:b/>
          <w:color w:val="0070C0"/>
        </w:rPr>
        <w:t xml:space="preserve">prevede che </w:t>
      </w:r>
      <w:r w:rsidRPr="007769BD" w:rsidR="00950940">
        <w:rPr>
          <w:b/>
          <w:color w:val="0070C0"/>
        </w:rPr>
        <w:t>per le finalità di cui al comma 2, lettera a)</w:t>
      </w:r>
      <w:r w:rsidRPr="007769BD" w:rsidR="00630EDD">
        <w:rPr>
          <w:b/>
          <w:color w:val="0070C0"/>
        </w:rPr>
        <w:t xml:space="preserve"> </w:t>
      </w:r>
      <w:r w:rsidRPr="007769BD" w:rsidR="00780D19">
        <w:rPr>
          <w:b/>
          <w:color w:val="0070C0"/>
        </w:rPr>
        <w:t xml:space="preserve">e </w:t>
      </w:r>
      <w:r w:rsidRPr="007769BD" w:rsidR="003A6ACC">
        <w:rPr>
          <w:b/>
          <w:color w:val="0070C0"/>
        </w:rPr>
        <w:t>al</w:t>
      </w:r>
      <w:r w:rsidRPr="007769BD" w:rsidR="00E922DA">
        <w:rPr>
          <w:b/>
          <w:color w:val="0070C0"/>
        </w:rPr>
        <w:t xml:space="preserve"> comma 5</w:t>
      </w:r>
      <w:r w:rsidRPr="007769BD" w:rsidR="00950940">
        <w:rPr>
          <w:b/>
          <w:color w:val="0070C0"/>
        </w:rPr>
        <w:t xml:space="preserve"> </w:t>
      </w:r>
      <w:r w:rsidRPr="007769BD" w:rsidR="000005D2">
        <w:rPr>
          <w:b/>
          <w:color w:val="0070C0"/>
        </w:rPr>
        <w:t xml:space="preserve">è </w:t>
      </w:r>
      <w:r w:rsidRPr="007769BD" w:rsidR="001C5F24">
        <w:rPr>
          <w:b/>
          <w:color w:val="0070C0"/>
        </w:rPr>
        <w:t xml:space="preserve">disposta </w:t>
      </w:r>
      <w:r w:rsidRPr="007769BD" w:rsidR="000555F5">
        <w:rPr>
          <w:b/>
          <w:color w:val="0070C0"/>
        </w:rPr>
        <w:t xml:space="preserve">la revoca, per l’importo di 65,7 milioni di euro, delle risorse del Fondo per lo sviluppo e la coesione assegnate al </w:t>
      </w:r>
      <w:r w:rsidRPr="007769BD" w:rsidR="001C5F24">
        <w:rPr>
          <w:b/>
          <w:color w:val="0070C0"/>
        </w:rPr>
        <w:t>Programma operativo complementare al Programma operativo nazionale Governance e capacità istituzionale 2014-2020, già destinate alle finalità di cui all’articolo 1, commi 179 e 179-bis, della legge n. 178 del 2020, ovvero a quelle di cui all’articolo 31-bis, comma 7, del decreto-legge n. 152 del 2021, e non impegnate alla data di entrata in vigore del presente</w:t>
      </w:r>
      <w:r w:rsidRPr="001C5F24" w:rsidR="001C5F24">
        <w:rPr>
          <w:b/>
          <w:color w:val="215E99" w:themeColor="text2" w:themeTint="BF"/>
        </w:rPr>
        <w:t xml:space="preserve"> </w:t>
      </w:r>
      <w:r w:rsidRPr="007769BD" w:rsidR="001C5F24">
        <w:rPr>
          <w:b/>
          <w:color w:val="0070C0"/>
        </w:rPr>
        <w:t>decreto</w:t>
      </w:r>
      <w:r w:rsidR="009C1F53">
        <w:rPr>
          <w:b/>
          <w:color w:val="0070C0"/>
        </w:rPr>
        <w:t xml:space="preserve">. </w:t>
      </w:r>
      <w:r w:rsidRPr="00711631">
        <w:rPr>
          <w:b/>
          <w:color w:val="0070C0"/>
        </w:rPr>
        <w:t xml:space="preserve">La revoca comporta la </w:t>
      </w:r>
      <w:r w:rsidRPr="00711631">
        <w:rPr>
          <w:b/>
          <w:bCs/>
          <w:color w:val="0070C0"/>
        </w:rPr>
        <w:t>corrispondente riduzione della dotazione finanziaria</w:t>
      </w:r>
      <w:r w:rsidRPr="00711631">
        <w:rPr>
          <w:b/>
          <w:color w:val="0070C0"/>
        </w:rPr>
        <w:t xml:space="preserve"> del citato Programma operativo complementare. Le risorse revocate </w:t>
      </w:r>
      <w:r w:rsidRPr="00711631">
        <w:rPr>
          <w:b/>
          <w:bCs/>
          <w:color w:val="0070C0"/>
        </w:rPr>
        <w:t>rientrano nella disponibilità del Fondo per lo sviluppo e la coesione</w:t>
      </w:r>
      <w:r>
        <w:rPr>
          <w:b/>
          <w:bCs/>
          <w:color w:val="0070C0"/>
        </w:rPr>
        <w:t>.</w:t>
      </w:r>
    </w:p>
    <w:p w:rsidR="000E2913" w:rsidRPr="00C008AD" w:rsidP="000E2913" w14:paraId="3E5934B9" w14:textId="77777777">
      <w:pPr>
        <w:spacing w:after="120"/>
        <w:jc w:val="both"/>
      </w:pPr>
      <w:r w:rsidRPr="000E2913">
        <w:t xml:space="preserve">A tale riguardo, si illustra di seguito il percorso normativo e amministrativo che ha determinato la disponibilità di </w:t>
      </w:r>
      <w:r w:rsidRPr="000E2913">
        <w:rPr>
          <w:b/>
          <w:bCs/>
        </w:rPr>
        <w:t>economie maturate su una dotazione originaria di 445 milioni di euro</w:t>
      </w:r>
      <w:r w:rsidRPr="000E2913">
        <w:t>, nell’ambito delle due iniziative finanziate con risorse del Programma Operativo Complementare (POC) al Programma Operativo Nazionale “</w:t>
      </w:r>
      <w:r w:rsidRPr="000E2913">
        <w:rPr>
          <w:i/>
          <w:iCs/>
        </w:rPr>
        <w:t>Governance e Capacità Istituzionale</w:t>
      </w:r>
      <w:r w:rsidRPr="000E2913">
        <w:t>”</w:t>
      </w:r>
      <w:r w:rsidRPr="000E2913">
        <w:rPr>
          <w:i/>
          <w:iCs/>
        </w:rPr>
        <w:t xml:space="preserve"> </w:t>
      </w:r>
      <w:r w:rsidRPr="000E2913">
        <w:t>2014–2020: “</w:t>
      </w:r>
      <w:r w:rsidRPr="00C008AD">
        <w:rPr>
          <w:i/>
          <w:iCs/>
        </w:rPr>
        <w:t>Circolare attuativa ai sensi della Legge n. 79/2022</w:t>
      </w:r>
      <w:r w:rsidRPr="00C008AD">
        <w:t>”; “</w:t>
      </w:r>
      <w:r w:rsidRPr="00C008AD">
        <w:rPr>
          <w:i/>
          <w:iCs/>
        </w:rPr>
        <w:t>Professionisti al Sud – articolo 31-bis, comma 7, del decreto-legge n. 152/2021</w:t>
      </w:r>
      <w:r w:rsidRPr="00C008AD">
        <w:t>”.</w:t>
      </w:r>
    </w:p>
    <w:p w:rsidR="000E2913" w:rsidRPr="000E2913" w:rsidP="000E2913" w14:paraId="7F486952" w14:textId="77777777">
      <w:pPr>
        <w:spacing w:after="120"/>
        <w:jc w:val="both"/>
      </w:pPr>
      <w:r w:rsidRPr="000E2913">
        <w:t>La legge n. 178 del 2020, recante “</w:t>
      </w:r>
      <w:r w:rsidRPr="000E2913">
        <w:rPr>
          <w:i/>
          <w:iCs/>
        </w:rPr>
        <w:t>Bilancio di previsione dello Stato per l'anno finanziario 2021 e bilancio pluriennale per il triennio 2021-2023</w:t>
      </w:r>
      <w:r w:rsidRPr="000E2913">
        <w:t xml:space="preserve">”, all’articolo 1, comma 179, ha previsto la possibilità, con decorrenza dal 1° gennaio 2021, per le amministrazioni coinvolte nell’attuazione delle politiche di coesione - in particolare le regioni del Mezzogiorno - di assumere personale non dirigenziale a tempo determinato, in deroga ai limiti assunzionali, fino a 2.800 unità e per una durata massima di 36 mesi, entro la spesa massima di 126 milioni di euro annui per il triennio 2021-2023, a valere sulle risorse del Programma Operativo Nazionale (POC). </w:t>
      </w:r>
    </w:p>
    <w:p w:rsidR="000E2913" w:rsidRPr="000E2913" w:rsidP="000E2913" w14:paraId="17FD74B0" w14:textId="77777777">
      <w:pPr>
        <w:spacing w:after="120"/>
        <w:jc w:val="both"/>
      </w:pPr>
      <w:r w:rsidRPr="000E2913">
        <w:t>Per dare attuazione alla citata misura, sono stati pubblicati due bandi di concorso nelle Gazzette Ufficiali n. 27 del 6 aprile 2021 e n. 82 del 15 ottobre 2021, che hanno determinato l’assunzione di un numero di 1.164 unità, per un totale di risorse impegnate pari a circa 90 milioni di euro.</w:t>
      </w:r>
    </w:p>
    <w:p w:rsidR="000E2913" w:rsidRPr="000E2913" w:rsidP="000E2913" w14:paraId="71724E30" w14:textId="0C2D59D1">
      <w:pPr>
        <w:spacing w:after="120"/>
        <w:jc w:val="both"/>
      </w:pPr>
      <w:r w:rsidRPr="000E2913">
        <w:t xml:space="preserve">Successivamente, l’articolo 11 del decreto-legge n. 36 del </w:t>
      </w:r>
      <w:r w:rsidRPr="000E2913" w:rsidR="00021A64">
        <w:t>2022, ha</w:t>
      </w:r>
      <w:r w:rsidRPr="000E2913">
        <w:t xml:space="preserve"> disciplinato l’utilizzo delle risorse non impegnate nell’ambito dei citati concorsi, a causa dell’insufficiente numero di idonei o della mancata accettazione delle proposte di assunzione. In virtù di tale disposizione, le risorse in questione potevano essere destinate alla stipula di contratti di collaborazione con soggetti dotati di analoga professionalità tecnica, ai sensi dell’articolo 7, commi 6 e 6-</w:t>
      </w:r>
      <w:r w:rsidRPr="000E2913">
        <w:rPr>
          <w:i/>
          <w:iCs/>
        </w:rPr>
        <w:t>bis</w:t>
      </w:r>
      <w:r w:rsidRPr="000E2913">
        <w:t>, del decreto legislativo n. 165 del 2001, sulla base di uno schema predisposto dall’Agenzia per la Coesione Territoriale.</w:t>
      </w:r>
    </w:p>
    <w:p w:rsidR="000E2913" w:rsidRPr="000E2913" w:rsidP="000E2913" w14:paraId="492E87DD" w14:textId="77777777">
      <w:pPr>
        <w:spacing w:after="120"/>
        <w:jc w:val="both"/>
      </w:pPr>
      <w:r w:rsidRPr="000E2913">
        <w:t>La durata dei contratti non poteva superare i 36 mesi, nel rispetto dei limiti di spesa e delle disposizioni in materia di conferimento di incarichi di lavoro autonomo.</w:t>
      </w:r>
    </w:p>
    <w:p w:rsidR="000E2913" w:rsidRPr="000E2913" w:rsidP="000E2913" w14:paraId="191F1004" w14:textId="77777777">
      <w:pPr>
        <w:spacing w:after="120"/>
        <w:jc w:val="both"/>
      </w:pPr>
      <w:r w:rsidRPr="000E2913">
        <w:t>La c.d. “</w:t>
      </w:r>
      <w:r w:rsidRPr="000E2913">
        <w:rPr>
          <w:b/>
          <w:bCs/>
          <w:i/>
          <w:iCs/>
        </w:rPr>
        <w:t>Circolare attuativa ai sensi della Legge n. 79/2022</w:t>
      </w:r>
      <w:r w:rsidRPr="000E2913">
        <w:t>”, ha autorizzato le amministrazioni destinatarie alla selezione di esperti per un importo complessivo pari a euro 245.788.124, consentendo la contrattualizzazione di oltre 1.500 professionisti presso circa 900 amministrazioni, per un totale di risorse impegnate pari a euro 174.830.225,</w:t>
      </w:r>
      <w:r w:rsidRPr="000E2913">
        <w:rPr>
          <w:b/>
          <w:bCs/>
        </w:rPr>
        <w:t xml:space="preserve"> generando economie di spesa pari a euro 70.957.899</w:t>
      </w:r>
      <w:r w:rsidRPr="000E2913">
        <w:t>.</w:t>
      </w:r>
    </w:p>
    <w:p w:rsidR="000E2913" w:rsidRPr="000E2913" w:rsidP="000E2913" w14:paraId="57B61E0D" w14:textId="77777777">
      <w:pPr>
        <w:spacing w:after="120"/>
        <w:jc w:val="both"/>
      </w:pPr>
      <w:r w:rsidRPr="000E2913">
        <w:t>In aggiunta a quanto sopra, con il decreto-legge n. 152 del 2021 è stata introdotta la misura “</w:t>
      </w:r>
      <w:r w:rsidRPr="000E2913">
        <w:rPr>
          <w:b/>
          <w:bCs/>
          <w:i/>
          <w:iCs/>
        </w:rPr>
        <w:t>Professionisti al Sud</w:t>
      </w:r>
      <w:r w:rsidRPr="000E2913">
        <w:t>”, che ha consentito all’Agenzia per la Coesione Territoriale di stipulare contratti di collaborazione, della durata massima di 36 mesi con professionisti ad alta specializzazione destinati a fornire supporto tecnico agli enti locali del Mezzogiorno.</w:t>
      </w:r>
    </w:p>
    <w:p w:rsidR="000E2913" w:rsidRPr="000E2913" w:rsidP="000E2913" w14:paraId="00ABC632" w14:textId="77777777">
      <w:pPr>
        <w:spacing w:after="120"/>
        <w:jc w:val="both"/>
      </w:pPr>
      <w:r w:rsidRPr="000E2913">
        <w:t>L’onere derivante dall’attuazione della misura in esame, nel limite di 67 milioni di euro, è stato posto anch’esso a carico del POC “</w:t>
      </w:r>
      <w:r w:rsidRPr="000E2913">
        <w:rPr>
          <w:i/>
          <w:iCs/>
        </w:rPr>
        <w:t>Governance e Capacità Istituzionale 2014–2020</w:t>
      </w:r>
      <w:r w:rsidRPr="000E2913">
        <w:t>”.</w:t>
      </w:r>
    </w:p>
    <w:p w:rsidR="000E2913" w:rsidRPr="000E2913" w:rsidP="000E2913" w14:paraId="58DF2E1A" w14:textId="77777777">
      <w:pPr>
        <w:spacing w:after="120"/>
        <w:jc w:val="both"/>
      </w:pPr>
      <w:r w:rsidRPr="000E2913">
        <w:t xml:space="preserve">L’iniziativa ha consentito la contrattualizzazione di 360 unità di esperti, per un totale di risorse impegnate pari a circa 20 milioni di euro, </w:t>
      </w:r>
      <w:r w:rsidRPr="000E2913">
        <w:rPr>
          <w:b/>
          <w:bCs/>
        </w:rPr>
        <w:t>con economie residue stimate in circa 47 milioni di euro</w:t>
      </w:r>
      <w:r w:rsidRPr="000E2913">
        <w:t>.</w:t>
      </w:r>
    </w:p>
    <w:p w:rsidR="000E2913" w:rsidRPr="000E2913" w:rsidP="000E2913" w14:paraId="04F86F4C" w14:textId="77777777">
      <w:pPr>
        <w:spacing w:after="120"/>
        <w:jc w:val="both"/>
      </w:pPr>
      <w:r w:rsidRPr="000E2913">
        <w:t xml:space="preserve">Da ultimo, </w:t>
      </w:r>
      <w:r w:rsidRPr="00344FDF">
        <w:t>l’articolo 6 del decreto-legge n. 60 del 2024 ha</w:t>
      </w:r>
      <w:r w:rsidRPr="000E2913">
        <w:t xml:space="preserve"> previsto la possibilità per il Dipartimento per le politiche di coesione e per il Sud di poter utilizzare le risorse POC non ancora impegnate alla data del 31 luglio 2024 per finanziare ulteriori azioni di supporto tecnico e amministrativo, nonché interventi di digitalizzazione, in coerenza con il Programma Nazionale di Assistenza Tecnica “</w:t>
      </w:r>
      <w:r w:rsidRPr="000E2913">
        <w:rPr>
          <w:i/>
          <w:iCs/>
        </w:rPr>
        <w:t>Capacità per la Coesione</w:t>
      </w:r>
      <w:r w:rsidRPr="000E2913">
        <w:t xml:space="preserve">” 2021–2027. Per il finanziamento di alcuni di tali progetti, ad oggi, risultano impegnate risorse per importi pari, complessivamente, ad euro 42.211.876. </w:t>
      </w:r>
    </w:p>
    <w:p w:rsidR="000E2913" w:rsidP="000E2913" w14:paraId="49D25900" w14:textId="64DC1D28">
      <w:pPr>
        <w:spacing w:after="120"/>
        <w:jc w:val="both"/>
      </w:pPr>
      <w:r w:rsidRPr="000E2913">
        <w:t xml:space="preserve">Premesso quanto sopra, si riporta nella tabella seguente l’indicazione dei costi relativi a ciascuna delle tre misure sopra illustrate, con separata evidenziazione delle somme impegnate e delle conseguenti economie maturate. </w:t>
      </w:r>
    </w:p>
    <w:p w:rsidR="00280EEA" w:rsidP="000E2913" w14:paraId="542C5B93" w14:textId="77777777">
      <w:pPr>
        <w:spacing w:after="120"/>
        <w:jc w:val="both"/>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14"/>
        <w:gridCol w:w="2028"/>
        <w:gridCol w:w="2002"/>
        <w:gridCol w:w="3078"/>
      </w:tblGrid>
      <w:tr w14:paraId="24E5D572" w14:textId="77777777">
        <w:tblPrEx>
          <w:tblW w:w="0" w:type="dxa"/>
          <w:tblLook w:val="04A0"/>
        </w:tblPrEx>
        <w:trPr>
          <w:trHeight w:val="285"/>
        </w:trPr>
        <w:tc>
          <w:tcPr>
            <w:tcW w:w="2715" w:type="dxa"/>
            <w:tcBorders>
              <w:top w:val="single" w:sz="6" w:space="0" w:color="auto"/>
              <w:left w:val="single" w:sz="6" w:space="0" w:color="auto"/>
              <w:bottom w:val="single" w:sz="6" w:space="0" w:color="auto"/>
              <w:right w:val="single" w:sz="6" w:space="0" w:color="auto"/>
            </w:tcBorders>
            <w:vAlign w:val="center"/>
            <w:hideMark/>
          </w:tcPr>
          <w:p w:rsidR="00E82B13" w:rsidRPr="00E82B13" w:rsidP="009D6C52" w14:paraId="7FFB6100" w14:textId="67124E74">
            <w:pPr>
              <w:spacing w:after="120"/>
              <w:jc w:val="center"/>
            </w:pPr>
            <w:r w:rsidRPr="00E82B13">
              <w:rPr>
                <w:b/>
                <w:bCs/>
              </w:rPr>
              <w:t>Descrizione</w:t>
            </w:r>
          </w:p>
        </w:tc>
        <w:tc>
          <w:tcPr>
            <w:tcW w:w="2115" w:type="dxa"/>
            <w:tcBorders>
              <w:top w:val="single" w:sz="6" w:space="0" w:color="auto"/>
              <w:left w:val="nil"/>
              <w:bottom w:val="single" w:sz="6" w:space="0" w:color="auto"/>
              <w:right w:val="single" w:sz="6" w:space="0" w:color="auto"/>
            </w:tcBorders>
            <w:vAlign w:val="center"/>
            <w:hideMark/>
          </w:tcPr>
          <w:p w:rsidR="00E82B13" w:rsidRPr="00E82B13" w:rsidP="009D6C52" w14:paraId="69C5309D" w14:textId="4458AA1B">
            <w:pPr>
              <w:spacing w:after="120"/>
              <w:jc w:val="center"/>
            </w:pPr>
            <w:r w:rsidRPr="00E82B13">
              <w:rPr>
                <w:b/>
                <w:bCs/>
              </w:rPr>
              <w:t>Dotazione da Programma</w:t>
            </w:r>
          </w:p>
        </w:tc>
        <w:tc>
          <w:tcPr>
            <w:tcW w:w="2085" w:type="dxa"/>
            <w:tcBorders>
              <w:top w:val="single" w:sz="6" w:space="0" w:color="auto"/>
              <w:left w:val="nil"/>
              <w:bottom w:val="single" w:sz="6" w:space="0" w:color="auto"/>
              <w:right w:val="single" w:sz="6" w:space="0" w:color="auto"/>
            </w:tcBorders>
            <w:vAlign w:val="center"/>
            <w:hideMark/>
          </w:tcPr>
          <w:p w:rsidR="00E82B13" w:rsidRPr="00E82B13" w:rsidP="009D6C52" w14:paraId="4CE6DB5D" w14:textId="1882B237">
            <w:pPr>
              <w:spacing w:after="120"/>
              <w:jc w:val="center"/>
            </w:pPr>
            <w:r w:rsidRPr="00E82B13">
              <w:rPr>
                <w:b/>
                <w:bCs/>
              </w:rPr>
              <w:t>Costo ammesso a finanziamento</w:t>
            </w:r>
          </w:p>
        </w:tc>
        <w:tc>
          <w:tcPr>
            <w:tcW w:w="3345" w:type="dxa"/>
            <w:tcBorders>
              <w:top w:val="single" w:sz="6" w:space="0" w:color="auto"/>
              <w:left w:val="nil"/>
              <w:bottom w:val="single" w:sz="6" w:space="0" w:color="auto"/>
              <w:right w:val="single" w:sz="6" w:space="0" w:color="auto"/>
            </w:tcBorders>
            <w:vAlign w:val="center"/>
            <w:hideMark/>
          </w:tcPr>
          <w:p w:rsidR="00E82B13" w:rsidRPr="00E82B13" w:rsidP="009D6C52" w14:paraId="4F7A60F1" w14:textId="68FBAABD">
            <w:pPr>
              <w:spacing w:after="120"/>
              <w:jc w:val="center"/>
            </w:pPr>
            <w:r w:rsidRPr="00E82B13">
              <w:rPr>
                <w:b/>
                <w:bCs/>
              </w:rPr>
              <w:t>Economie</w:t>
            </w:r>
          </w:p>
        </w:tc>
      </w:tr>
      <w:tr w14:paraId="3FECC0C2" w14:textId="77777777">
        <w:tblPrEx>
          <w:tblW w:w="0" w:type="dxa"/>
          <w:tblLook w:val="04A0"/>
        </w:tblPrEx>
        <w:trPr>
          <w:trHeight w:val="945"/>
        </w:trPr>
        <w:tc>
          <w:tcPr>
            <w:tcW w:w="2715" w:type="dxa"/>
            <w:tcBorders>
              <w:top w:val="nil"/>
              <w:left w:val="single" w:sz="6" w:space="0" w:color="auto"/>
              <w:bottom w:val="single" w:sz="6" w:space="0" w:color="auto"/>
              <w:right w:val="single" w:sz="6" w:space="0" w:color="auto"/>
            </w:tcBorders>
            <w:vAlign w:val="center"/>
            <w:hideMark/>
          </w:tcPr>
          <w:p w:rsidR="00E82B13" w:rsidRPr="00E82B13" w:rsidP="009D6C52" w14:paraId="203A2C5D" w14:textId="19D20ECC">
            <w:pPr>
              <w:spacing w:after="120"/>
              <w:jc w:val="center"/>
            </w:pPr>
            <w:r w:rsidRPr="00E82B13">
              <w:rPr>
                <w:i/>
                <w:iCs/>
              </w:rPr>
              <w:t>Concorso coesione SUD (L. Bilancio 2021, art. 1, c. 179)</w:t>
            </w:r>
          </w:p>
        </w:tc>
        <w:tc>
          <w:tcPr>
            <w:tcW w:w="2115" w:type="dxa"/>
            <w:vMerge w:val="restart"/>
            <w:tcBorders>
              <w:top w:val="nil"/>
              <w:left w:val="single" w:sz="6" w:space="0" w:color="auto"/>
              <w:bottom w:val="single" w:sz="6" w:space="0" w:color="auto"/>
              <w:right w:val="single" w:sz="6" w:space="0" w:color="auto"/>
            </w:tcBorders>
            <w:vAlign w:val="center"/>
            <w:hideMark/>
          </w:tcPr>
          <w:p w:rsidR="00E82B13" w:rsidRPr="00E82B13" w:rsidP="009D6C52" w14:paraId="72C4BD3B" w14:textId="2A8E5E6F">
            <w:pPr>
              <w:spacing w:after="120"/>
              <w:jc w:val="center"/>
            </w:pPr>
            <w:r w:rsidRPr="00E82B13">
              <w:t>445.000.000,00</w:t>
            </w:r>
          </w:p>
        </w:tc>
        <w:tc>
          <w:tcPr>
            <w:tcW w:w="2085" w:type="dxa"/>
            <w:tcBorders>
              <w:top w:val="nil"/>
              <w:left w:val="nil"/>
              <w:bottom w:val="single" w:sz="6" w:space="0" w:color="auto"/>
              <w:right w:val="single" w:sz="6" w:space="0" w:color="auto"/>
            </w:tcBorders>
            <w:vAlign w:val="center"/>
            <w:hideMark/>
          </w:tcPr>
          <w:p w:rsidR="00E82B13" w:rsidRPr="00E82B13" w:rsidP="009D6C52" w14:paraId="009C6B49" w14:textId="32C99640">
            <w:pPr>
              <w:spacing w:after="120"/>
              <w:jc w:val="center"/>
            </w:pPr>
            <w:r w:rsidRPr="00E82B13">
              <w:t>90.000.000,00</w:t>
            </w:r>
          </w:p>
        </w:tc>
        <w:tc>
          <w:tcPr>
            <w:tcW w:w="3345" w:type="dxa"/>
            <w:tcBorders>
              <w:top w:val="nil"/>
              <w:left w:val="nil"/>
              <w:bottom w:val="single" w:sz="6" w:space="0" w:color="auto"/>
              <w:right w:val="single" w:sz="6" w:space="0" w:color="auto"/>
            </w:tcBorders>
            <w:shd w:val="clear" w:color="auto" w:fill="FFFFFF"/>
            <w:vAlign w:val="center"/>
            <w:hideMark/>
          </w:tcPr>
          <w:p w:rsidR="00E82B13" w:rsidRPr="00E82B13" w:rsidP="009D6C52" w14:paraId="0BCC83E6" w14:textId="7A95EB7D">
            <w:pPr>
              <w:spacing w:after="120"/>
              <w:jc w:val="center"/>
            </w:pPr>
            <w:r w:rsidRPr="00E82B13">
              <w:t>0,00</w:t>
            </w:r>
          </w:p>
        </w:tc>
      </w:tr>
      <w:tr w14:paraId="3FC9301D" w14:textId="77777777">
        <w:tblPrEx>
          <w:tblW w:w="0" w:type="dxa"/>
          <w:tblLook w:val="04A0"/>
        </w:tblPrEx>
        <w:trPr>
          <w:trHeight w:val="495"/>
        </w:trPr>
        <w:tc>
          <w:tcPr>
            <w:tcW w:w="2715" w:type="dxa"/>
            <w:tcBorders>
              <w:top w:val="nil"/>
              <w:left w:val="single" w:sz="6" w:space="0" w:color="auto"/>
              <w:bottom w:val="single" w:sz="6" w:space="0" w:color="auto"/>
              <w:right w:val="single" w:sz="6" w:space="0" w:color="auto"/>
            </w:tcBorders>
            <w:vAlign w:val="center"/>
            <w:hideMark/>
          </w:tcPr>
          <w:p w:rsidR="00E82B13" w:rsidRPr="00E82B13" w:rsidP="009D6C52" w14:paraId="78ABAC46" w14:textId="64781D3C">
            <w:pPr>
              <w:spacing w:after="120"/>
              <w:jc w:val="center"/>
            </w:pPr>
            <w:r w:rsidRPr="00E82B13">
              <w:rPr>
                <w:i/>
                <w:iCs/>
              </w:rPr>
              <w:t>Circolari attuative ai sensi della Legge n. 79/2022</w:t>
            </w:r>
          </w:p>
        </w:tc>
        <w:tc>
          <w:tcPr>
            <w:tcW w:w="0" w:type="auto"/>
            <w:vMerge/>
            <w:tcBorders>
              <w:top w:val="nil"/>
              <w:left w:val="single" w:sz="6" w:space="0" w:color="auto"/>
              <w:bottom w:val="single" w:sz="6" w:space="0" w:color="auto"/>
              <w:right w:val="single" w:sz="6" w:space="0" w:color="auto"/>
            </w:tcBorders>
            <w:vAlign w:val="center"/>
            <w:hideMark/>
          </w:tcPr>
          <w:p w:rsidR="00E82B13" w:rsidRPr="00E82B13" w:rsidP="009D6C52" w14:paraId="6CFD0133" w14:textId="77777777">
            <w:pPr>
              <w:spacing w:after="120"/>
              <w:jc w:val="center"/>
            </w:pPr>
          </w:p>
        </w:tc>
        <w:tc>
          <w:tcPr>
            <w:tcW w:w="2085" w:type="dxa"/>
            <w:tcBorders>
              <w:top w:val="nil"/>
              <w:left w:val="nil"/>
              <w:bottom w:val="single" w:sz="6" w:space="0" w:color="auto"/>
              <w:right w:val="single" w:sz="6" w:space="0" w:color="auto"/>
            </w:tcBorders>
            <w:vAlign w:val="center"/>
            <w:hideMark/>
          </w:tcPr>
          <w:p w:rsidR="00E82B13" w:rsidRPr="00E82B13" w:rsidP="009D6C52" w14:paraId="4123E076" w14:textId="6F066654">
            <w:pPr>
              <w:spacing w:after="120"/>
              <w:jc w:val="center"/>
            </w:pPr>
            <w:r w:rsidRPr="00E82B13">
              <w:t>245.788.124,00</w:t>
            </w:r>
          </w:p>
        </w:tc>
        <w:tc>
          <w:tcPr>
            <w:tcW w:w="3345" w:type="dxa"/>
            <w:tcBorders>
              <w:top w:val="nil"/>
              <w:left w:val="nil"/>
              <w:bottom w:val="single" w:sz="6" w:space="0" w:color="auto"/>
              <w:right w:val="single" w:sz="6" w:space="0" w:color="auto"/>
            </w:tcBorders>
            <w:shd w:val="clear" w:color="auto" w:fill="FFFFFF"/>
            <w:vAlign w:val="center"/>
            <w:hideMark/>
          </w:tcPr>
          <w:p w:rsidR="00E82B13" w:rsidRPr="00E82B13" w:rsidP="009D6C52" w14:paraId="1866EE1B" w14:textId="6390950E">
            <w:pPr>
              <w:spacing w:after="120"/>
              <w:jc w:val="center"/>
            </w:pPr>
            <w:r w:rsidRPr="00E82B13">
              <w:t>70.957.899,00</w:t>
            </w:r>
          </w:p>
        </w:tc>
      </w:tr>
      <w:tr w14:paraId="6AD4BCE9" w14:textId="77777777">
        <w:tblPrEx>
          <w:tblW w:w="0" w:type="dxa"/>
          <w:tblLook w:val="04A0"/>
        </w:tblPrEx>
        <w:trPr>
          <w:trHeight w:val="1380"/>
        </w:trPr>
        <w:tc>
          <w:tcPr>
            <w:tcW w:w="2715" w:type="dxa"/>
            <w:tcBorders>
              <w:top w:val="nil"/>
              <w:left w:val="single" w:sz="6" w:space="0" w:color="auto"/>
              <w:bottom w:val="single" w:sz="6" w:space="0" w:color="auto"/>
              <w:right w:val="single" w:sz="6" w:space="0" w:color="auto"/>
            </w:tcBorders>
            <w:vAlign w:val="center"/>
            <w:hideMark/>
          </w:tcPr>
          <w:p w:rsidR="00E82B13" w:rsidRPr="00E82B13" w:rsidP="009D6C52" w14:paraId="2447AC1E" w14:textId="3CB333B2">
            <w:pPr>
              <w:spacing w:after="120"/>
              <w:jc w:val="center"/>
            </w:pPr>
            <w:r w:rsidRPr="00E82B13">
              <w:rPr>
                <w:i/>
                <w:iCs/>
              </w:rPr>
              <w:t>Professionisti al Sud (art. 31 bis, c. 7,8,9 </w:t>
            </w:r>
            <w:r w:rsidRPr="00E82B13">
              <w:rPr>
                <w:i/>
                <w:iCs/>
              </w:rPr>
              <w:t>d.l.</w:t>
            </w:r>
            <w:r w:rsidRPr="00E82B13">
              <w:rPr>
                <w:i/>
                <w:iCs/>
              </w:rPr>
              <w:t> n. 152/2021, convertito in L. n. 233/2021</w:t>
            </w:r>
          </w:p>
        </w:tc>
        <w:tc>
          <w:tcPr>
            <w:tcW w:w="0" w:type="auto"/>
            <w:vMerge/>
            <w:tcBorders>
              <w:top w:val="nil"/>
              <w:left w:val="single" w:sz="6" w:space="0" w:color="auto"/>
              <w:bottom w:val="single" w:sz="6" w:space="0" w:color="auto"/>
              <w:right w:val="single" w:sz="6" w:space="0" w:color="auto"/>
            </w:tcBorders>
            <w:vAlign w:val="center"/>
            <w:hideMark/>
          </w:tcPr>
          <w:p w:rsidR="00E82B13" w:rsidRPr="00E82B13" w:rsidP="009D6C52" w14:paraId="6CA2BDBB" w14:textId="77777777">
            <w:pPr>
              <w:spacing w:after="120"/>
              <w:jc w:val="center"/>
            </w:pPr>
          </w:p>
        </w:tc>
        <w:tc>
          <w:tcPr>
            <w:tcW w:w="2085" w:type="dxa"/>
            <w:tcBorders>
              <w:top w:val="nil"/>
              <w:left w:val="nil"/>
              <w:bottom w:val="single" w:sz="6" w:space="0" w:color="auto"/>
              <w:right w:val="single" w:sz="6" w:space="0" w:color="auto"/>
            </w:tcBorders>
            <w:vAlign w:val="center"/>
            <w:hideMark/>
          </w:tcPr>
          <w:p w:rsidR="00E82B13" w:rsidRPr="00E82B13" w:rsidP="009D6C52" w14:paraId="3A55B009" w14:textId="41D305EF">
            <w:pPr>
              <w:spacing w:after="120"/>
              <w:jc w:val="center"/>
            </w:pPr>
            <w:r w:rsidRPr="00E82B13">
              <w:t>67.000.000,00</w:t>
            </w:r>
          </w:p>
        </w:tc>
        <w:tc>
          <w:tcPr>
            <w:tcW w:w="3345" w:type="dxa"/>
            <w:tcBorders>
              <w:top w:val="nil"/>
              <w:left w:val="nil"/>
              <w:bottom w:val="single" w:sz="6" w:space="0" w:color="auto"/>
              <w:right w:val="single" w:sz="6" w:space="0" w:color="auto"/>
            </w:tcBorders>
            <w:shd w:val="clear" w:color="auto" w:fill="FFFFFF"/>
            <w:vAlign w:val="center"/>
            <w:hideMark/>
          </w:tcPr>
          <w:p w:rsidR="00E82B13" w:rsidRPr="00E82B13" w:rsidP="009D6C52" w14:paraId="044F21EA" w14:textId="57978C99">
            <w:pPr>
              <w:spacing w:after="120"/>
              <w:jc w:val="center"/>
            </w:pPr>
            <w:r w:rsidRPr="00E82B13">
              <w:t>47.000.000,00</w:t>
            </w:r>
          </w:p>
        </w:tc>
      </w:tr>
      <w:tr w14:paraId="31E6ED9A" w14:textId="77777777">
        <w:tblPrEx>
          <w:tblW w:w="0" w:type="dxa"/>
          <w:tblLook w:val="04A0"/>
        </w:tblPrEx>
        <w:trPr>
          <w:trHeight w:val="585"/>
        </w:trPr>
        <w:tc>
          <w:tcPr>
            <w:tcW w:w="2715" w:type="dxa"/>
            <w:tcBorders>
              <w:top w:val="nil"/>
              <w:left w:val="single" w:sz="6" w:space="0" w:color="auto"/>
              <w:bottom w:val="single" w:sz="6" w:space="0" w:color="auto"/>
              <w:right w:val="single" w:sz="6" w:space="0" w:color="auto"/>
            </w:tcBorders>
            <w:vAlign w:val="center"/>
            <w:hideMark/>
          </w:tcPr>
          <w:p w:rsidR="00E82B13" w:rsidRPr="00E82B13" w:rsidP="009D6C52" w14:paraId="7E602B9B" w14:textId="6BF99D33">
            <w:pPr>
              <w:spacing w:after="120"/>
              <w:jc w:val="center"/>
            </w:pPr>
            <w:r w:rsidRPr="00E82B13">
              <w:rPr>
                <w:i/>
                <w:iCs/>
              </w:rPr>
              <w:t>Progetti finanziati in ragione dell’art. 6 del DL 60 del 2024</w:t>
            </w:r>
          </w:p>
        </w:tc>
        <w:tc>
          <w:tcPr>
            <w:tcW w:w="0" w:type="auto"/>
            <w:vMerge/>
            <w:tcBorders>
              <w:top w:val="nil"/>
              <w:left w:val="single" w:sz="6" w:space="0" w:color="auto"/>
              <w:bottom w:val="single" w:sz="6" w:space="0" w:color="auto"/>
              <w:right w:val="single" w:sz="6" w:space="0" w:color="auto"/>
            </w:tcBorders>
            <w:vAlign w:val="center"/>
            <w:hideMark/>
          </w:tcPr>
          <w:p w:rsidR="00E82B13" w:rsidRPr="00E82B13" w:rsidP="009D6C52" w14:paraId="4A75C7FA" w14:textId="77777777">
            <w:pPr>
              <w:spacing w:after="120"/>
              <w:jc w:val="center"/>
            </w:pPr>
          </w:p>
        </w:tc>
        <w:tc>
          <w:tcPr>
            <w:tcW w:w="2085" w:type="dxa"/>
            <w:tcBorders>
              <w:top w:val="nil"/>
              <w:left w:val="nil"/>
              <w:bottom w:val="single" w:sz="6" w:space="0" w:color="auto"/>
              <w:right w:val="single" w:sz="6" w:space="0" w:color="auto"/>
            </w:tcBorders>
            <w:vAlign w:val="center"/>
            <w:hideMark/>
          </w:tcPr>
          <w:p w:rsidR="00E82B13" w:rsidRPr="00E82B13" w:rsidP="009D6C52" w14:paraId="2385A69A" w14:textId="6210A2A3">
            <w:pPr>
              <w:spacing w:after="120"/>
              <w:jc w:val="center"/>
            </w:pPr>
            <w:r w:rsidRPr="00E82B13">
              <w:t>42.211.876,00</w:t>
            </w:r>
          </w:p>
        </w:tc>
        <w:tc>
          <w:tcPr>
            <w:tcW w:w="3345" w:type="dxa"/>
            <w:tcBorders>
              <w:top w:val="nil"/>
              <w:left w:val="nil"/>
              <w:bottom w:val="single" w:sz="6" w:space="0" w:color="auto"/>
              <w:right w:val="single" w:sz="6" w:space="0" w:color="auto"/>
            </w:tcBorders>
            <w:shd w:val="clear" w:color="auto" w:fill="FFFFFF"/>
            <w:vAlign w:val="center"/>
            <w:hideMark/>
          </w:tcPr>
          <w:p w:rsidR="00E82B13" w:rsidRPr="00E82B13" w:rsidP="009D6C52" w14:paraId="5955212F" w14:textId="333C43D2">
            <w:pPr>
              <w:spacing w:after="120"/>
              <w:jc w:val="center"/>
            </w:pPr>
            <w:r w:rsidRPr="00E82B13">
              <w:t>0,00</w:t>
            </w:r>
          </w:p>
        </w:tc>
      </w:tr>
      <w:tr w14:paraId="36D23057" w14:textId="77777777">
        <w:tblPrEx>
          <w:tblW w:w="0" w:type="dxa"/>
          <w:tblLook w:val="04A0"/>
        </w:tblPrEx>
        <w:trPr>
          <w:trHeight w:val="285"/>
        </w:trPr>
        <w:tc>
          <w:tcPr>
            <w:tcW w:w="2715" w:type="dxa"/>
            <w:tcBorders>
              <w:top w:val="nil"/>
              <w:left w:val="single" w:sz="6" w:space="0" w:color="auto"/>
              <w:bottom w:val="single" w:sz="6" w:space="0" w:color="auto"/>
              <w:right w:val="single" w:sz="6" w:space="0" w:color="auto"/>
            </w:tcBorders>
            <w:vAlign w:val="center"/>
            <w:hideMark/>
          </w:tcPr>
          <w:p w:rsidR="00E82B13" w:rsidRPr="00E82B13" w:rsidP="009D6C52" w14:paraId="03360B82" w14:textId="2A02ABC1">
            <w:pPr>
              <w:spacing w:after="120"/>
              <w:jc w:val="center"/>
            </w:pPr>
            <w:r w:rsidRPr="00E82B13">
              <w:rPr>
                <w:b/>
                <w:bCs/>
              </w:rPr>
              <w:t>Totale</w:t>
            </w:r>
          </w:p>
        </w:tc>
        <w:tc>
          <w:tcPr>
            <w:tcW w:w="2115" w:type="dxa"/>
            <w:tcBorders>
              <w:top w:val="nil"/>
              <w:left w:val="nil"/>
              <w:bottom w:val="single" w:sz="6" w:space="0" w:color="auto"/>
              <w:right w:val="single" w:sz="6" w:space="0" w:color="auto"/>
            </w:tcBorders>
            <w:vAlign w:val="center"/>
            <w:hideMark/>
          </w:tcPr>
          <w:p w:rsidR="00E82B13" w:rsidRPr="00E82B13" w:rsidP="009D6C52" w14:paraId="4B64368B" w14:textId="4383C422">
            <w:pPr>
              <w:spacing w:after="120"/>
              <w:jc w:val="center"/>
            </w:pPr>
            <w:r w:rsidRPr="00E82B13">
              <w:rPr>
                <w:b/>
                <w:bCs/>
              </w:rPr>
              <w:t>445.000.000,00</w:t>
            </w:r>
          </w:p>
        </w:tc>
        <w:tc>
          <w:tcPr>
            <w:tcW w:w="2085" w:type="dxa"/>
            <w:tcBorders>
              <w:top w:val="nil"/>
              <w:left w:val="nil"/>
              <w:bottom w:val="single" w:sz="6" w:space="0" w:color="auto"/>
              <w:right w:val="single" w:sz="6" w:space="0" w:color="auto"/>
            </w:tcBorders>
            <w:vAlign w:val="center"/>
            <w:hideMark/>
          </w:tcPr>
          <w:p w:rsidR="00E82B13" w:rsidRPr="00E82B13" w:rsidP="009D6C52" w14:paraId="5E8D54CE" w14:textId="31082EF5">
            <w:pPr>
              <w:spacing w:after="120"/>
              <w:jc w:val="center"/>
            </w:pPr>
            <w:r w:rsidRPr="00E82B13">
              <w:rPr>
                <w:b/>
                <w:bCs/>
              </w:rPr>
              <w:t>445.000.000,00</w:t>
            </w:r>
          </w:p>
        </w:tc>
        <w:tc>
          <w:tcPr>
            <w:tcW w:w="3345" w:type="dxa"/>
            <w:tcBorders>
              <w:top w:val="nil"/>
              <w:left w:val="nil"/>
              <w:bottom w:val="single" w:sz="6" w:space="0" w:color="auto"/>
              <w:right w:val="single" w:sz="6" w:space="0" w:color="auto"/>
            </w:tcBorders>
            <w:vAlign w:val="center"/>
            <w:hideMark/>
          </w:tcPr>
          <w:p w:rsidR="00E82B13" w:rsidRPr="00E82B13" w:rsidP="009D6C52" w14:paraId="6EFB394D" w14:textId="21FE4858">
            <w:pPr>
              <w:spacing w:after="120"/>
              <w:jc w:val="center"/>
            </w:pPr>
            <w:r w:rsidRPr="00E82B13">
              <w:rPr>
                <w:b/>
                <w:bCs/>
              </w:rPr>
              <w:t>117.957.899,00</w:t>
            </w:r>
          </w:p>
        </w:tc>
      </w:tr>
    </w:tbl>
    <w:p w:rsidR="00E82B13" w:rsidP="000E2913" w14:paraId="1D5BDE50" w14:textId="77777777">
      <w:pPr>
        <w:spacing w:after="120"/>
        <w:jc w:val="both"/>
      </w:pPr>
    </w:p>
    <w:p w:rsidR="00E82B13" w:rsidP="000E2913" w14:paraId="241A85F0" w14:textId="7BA751DE">
      <w:pPr>
        <w:spacing w:after="120"/>
        <w:jc w:val="both"/>
        <w:rPr>
          <w:b/>
        </w:rPr>
      </w:pPr>
      <w:r>
        <w:t>All’uopo</w:t>
      </w:r>
      <w:r>
        <w:t xml:space="preserve">, si precisa che l’articolo 1, comma 721, secondo periodo, della legge di bilancio </w:t>
      </w:r>
      <w:r w:rsidR="00F8790A">
        <w:t>per il</w:t>
      </w:r>
      <w:r>
        <w:t xml:space="preserve"> 2026, ha previsto il versamento all’entrata del bilancio dello Stato di dette economie nella misura di 50 milioni di euro. </w:t>
      </w:r>
      <w:r w:rsidRPr="00756581">
        <w:rPr>
          <w:b/>
          <w:bCs/>
        </w:rPr>
        <w:t xml:space="preserve">Conseguentemente, risultano allo stato ancora disponibili economie </w:t>
      </w:r>
      <w:r w:rsidRPr="00756581" w:rsidR="00932001">
        <w:rPr>
          <w:b/>
          <w:bCs/>
        </w:rPr>
        <w:t>nella misura</w:t>
      </w:r>
      <w:r w:rsidRPr="00756581">
        <w:rPr>
          <w:b/>
          <w:bCs/>
        </w:rPr>
        <w:t xml:space="preserve"> di euro 67.957.899,00.</w:t>
      </w:r>
    </w:p>
    <w:p w:rsidR="00DE586B" w:rsidP="000E2913" w14:paraId="6D3D9A29" w14:textId="2A900729">
      <w:pPr>
        <w:spacing w:after="120"/>
        <w:jc w:val="both"/>
      </w:pPr>
    </w:p>
    <w:p w:rsidR="00493A2A" w:rsidRPr="00987C41" w:rsidP="00987C41" w14:paraId="608DCA02" w14:textId="6FA7A821">
      <w:pPr>
        <w:pStyle w:val="Heading3"/>
        <w:spacing w:before="0" w:after="120"/>
        <w:rPr>
          <w:rFonts w:cs="Times New Roman"/>
        </w:rPr>
      </w:pPr>
      <w:bookmarkStart w:id="83" w:name="_Toc213929285"/>
      <w:bookmarkStart w:id="84" w:name="_Toc220077573"/>
      <w:bookmarkStart w:id="85" w:name="_Toc144141305"/>
      <w:bookmarkStart w:id="86" w:name="_Toc144141437"/>
      <w:bookmarkEnd w:id="80"/>
      <w:bookmarkEnd w:id="81"/>
      <w:r w:rsidRPr="00987C41">
        <w:rPr>
          <w:rFonts w:cs="Times New Roman"/>
        </w:rPr>
        <w:t xml:space="preserve">ART. </w:t>
      </w:r>
      <w:r w:rsidR="00B87A48">
        <w:rPr>
          <w:rFonts w:cs="Times New Roman"/>
        </w:rPr>
        <w:t>30</w:t>
      </w:r>
      <w:r w:rsidRPr="00987C41">
        <w:rPr>
          <w:rFonts w:cs="Times New Roman"/>
        </w:rPr>
        <w:t xml:space="preserve">                                                                                                                                                                                                            </w:t>
      </w:r>
      <w:r w:rsidRPr="00987C41">
        <w:rPr>
          <w:rFonts w:cs="Times New Roman"/>
        </w:rPr>
        <w:t xml:space="preserve">   (</w:t>
      </w:r>
      <w:r w:rsidRPr="00987C41">
        <w:rPr>
          <w:rFonts w:cs="Times New Roman"/>
        </w:rPr>
        <w:t>Disposizioni finanziarie)</w:t>
      </w:r>
      <w:bookmarkEnd w:id="83"/>
      <w:bookmarkEnd w:id="84"/>
    </w:p>
    <w:p w:rsidR="005B0716" w:rsidRPr="00E536EE" w:rsidP="005B0716" w14:paraId="60D78950" w14:textId="77777777">
      <w:pPr>
        <w:spacing w:after="120"/>
        <w:jc w:val="both"/>
      </w:pPr>
      <w:r w:rsidRPr="005B0716">
        <w:t>Il presente articolo disciplina le modalità di accantonamento e successiva destinazione delle economie generate dalle misure PNRR, prevedendo:</w:t>
      </w:r>
    </w:p>
    <w:p w:rsidR="00190BD7" w:rsidRPr="006B65DE" w:rsidP="002B03F6" w14:paraId="392B2FA3" w14:textId="42CBC177">
      <w:pPr>
        <w:numPr>
          <w:ilvl w:val="0"/>
          <w:numId w:val="16"/>
        </w:numPr>
        <w:spacing w:after="120"/>
        <w:jc w:val="both"/>
        <w:rPr>
          <w:rFonts w:eastAsiaTheme="minorEastAsia"/>
          <w:color w:val="4C94D8" w:themeColor="text2" w:themeTint="80"/>
          <w:kern w:val="2"/>
          <w:lang w:eastAsia="en-US"/>
          <w14:ligatures w14:val="standardContextual"/>
        </w:rPr>
      </w:pPr>
      <w:r w:rsidRPr="006B65DE">
        <w:rPr>
          <w:rFonts w:eastAsiaTheme="minorEastAsia"/>
          <w:color w:val="4C94D8" w:themeColor="text2" w:themeTint="80"/>
          <w:kern w:val="2"/>
          <w:lang w:eastAsia="en-US"/>
          <w14:ligatures w14:val="standardContextual"/>
        </w:rPr>
        <w:t xml:space="preserve">al </w:t>
      </w:r>
      <w:r w:rsidRPr="006B65DE">
        <w:rPr>
          <w:rFonts w:eastAsiaTheme="minorEastAsia"/>
          <w:b/>
          <w:color w:val="4C94D8" w:themeColor="text2" w:themeTint="80"/>
          <w:kern w:val="2"/>
          <w:u w:val="single"/>
          <w:lang w:eastAsia="en-US"/>
          <w14:ligatures w14:val="standardContextual"/>
        </w:rPr>
        <w:t>comma 1</w:t>
      </w:r>
      <w:r w:rsidRPr="006B65DE">
        <w:rPr>
          <w:rFonts w:eastAsiaTheme="minorEastAsia"/>
          <w:color w:val="4C94D8" w:themeColor="text2" w:themeTint="80"/>
          <w:kern w:val="2"/>
          <w:lang w:eastAsia="en-US"/>
          <w14:ligatures w14:val="standardContextual"/>
        </w:rPr>
        <w:t>, l’acquisizione alla disponibilità dei conti aperti presso la Tesoreria centrale dello Stato ai sensi dell'articolo 1, comma 1038, n. 178 del 2020 (“</w:t>
      </w:r>
      <w:r w:rsidRPr="006B65DE">
        <w:rPr>
          <w:rFonts w:eastAsiaTheme="minorEastAsia"/>
          <w:i/>
          <w:color w:val="4C94D8" w:themeColor="text2" w:themeTint="80"/>
          <w:kern w:val="2"/>
          <w:lang w:eastAsia="en-US"/>
          <w14:ligatures w14:val="standardContextual"/>
        </w:rPr>
        <w:t>Ministero dell'economia e delle finanze - Attuazione del Next Generation EU-Italia - Contributi a fondo perduto</w:t>
      </w:r>
      <w:r w:rsidRPr="006B65DE">
        <w:rPr>
          <w:rFonts w:eastAsiaTheme="minorEastAsia"/>
          <w:color w:val="4C94D8" w:themeColor="text2" w:themeTint="80"/>
          <w:kern w:val="2"/>
          <w:lang w:eastAsia="en-US"/>
          <w14:ligatures w14:val="standardContextual"/>
        </w:rPr>
        <w:t>” e “</w:t>
      </w:r>
      <w:r w:rsidRPr="006B65DE">
        <w:rPr>
          <w:rFonts w:eastAsiaTheme="minorEastAsia"/>
          <w:i/>
          <w:color w:val="4C94D8" w:themeColor="text2" w:themeTint="80"/>
          <w:kern w:val="2"/>
          <w:lang w:eastAsia="en-US"/>
          <w14:ligatures w14:val="standardContextual"/>
        </w:rPr>
        <w:t>Ministero dell'economia e delle finanze - Attuazione del Next Generation EU-Italia - Contributi a titolo di prestito</w:t>
      </w:r>
      <w:r w:rsidRPr="006B65DE">
        <w:rPr>
          <w:rFonts w:eastAsiaTheme="minorEastAsia"/>
          <w:color w:val="4C94D8" w:themeColor="text2" w:themeTint="80"/>
          <w:kern w:val="2"/>
          <w:lang w:eastAsia="en-US"/>
          <w14:ligatures w14:val="standardContextual"/>
        </w:rPr>
        <w:t xml:space="preserve">”) delle economie di spesa maturate nell'ambito di misure PNRR indicate nella tabella inclusa nell’allegato </w:t>
      </w:r>
      <w:r w:rsidR="00D87698">
        <w:rPr>
          <w:rFonts w:eastAsiaTheme="minorEastAsia"/>
          <w:color w:val="4C94D8" w:themeColor="text2" w:themeTint="80"/>
          <w:kern w:val="2"/>
          <w:lang w:eastAsia="en-US"/>
          <w14:ligatures w14:val="standardContextual"/>
        </w:rPr>
        <w:t>2</w:t>
      </w:r>
      <w:r w:rsidRPr="006B65DE">
        <w:rPr>
          <w:rFonts w:eastAsiaTheme="minorEastAsia"/>
          <w:color w:val="4C94D8" w:themeColor="text2" w:themeTint="80"/>
          <w:kern w:val="2"/>
          <w:lang w:eastAsia="en-US"/>
          <w14:ligatures w14:val="standardContextual"/>
        </w:rPr>
        <w:t xml:space="preserve">. </w:t>
      </w:r>
    </w:p>
    <w:p w:rsidR="00190BD7" w:rsidRPr="006B65DE" w:rsidP="00190BD7" w14:paraId="48CF4812" w14:textId="35471340">
      <w:pPr>
        <w:spacing w:after="120"/>
        <w:ind w:left="360"/>
        <w:jc w:val="both"/>
        <w:rPr>
          <w:rFonts w:eastAsiaTheme="minorEastAsia"/>
          <w:color w:val="4C94D8" w:themeColor="text2" w:themeTint="80"/>
          <w:kern w:val="2"/>
          <w:lang w:eastAsia="en-US"/>
          <w14:ligatures w14:val="standardContextual"/>
        </w:rPr>
      </w:pPr>
      <w:r w:rsidRPr="006B65DE">
        <w:rPr>
          <w:rFonts w:eastAsiaTheme="minorEastAsia"/>
          <w:b/>
          <w:color w:val="4C94D8" w:themeColor="text2" w:themeTint="80"/>
          <w:kern w:val="2"/>
          <w:lang w:eastAsia="en-US"/>
          <w14:ligatures w14:val="standardContextual"/>
        </w:rPr>
        <w:t xml:space="preserve">La disposizione in commento non determina nuovi o maggiori oneri a carico della finanza pubblica, tenuto conto le risorse in parola derivano da economie di spesa maturate dalle Amministrazioni centrali titolari di interventi inclusi nel PNRR e </w:t>
      </w:r>
      <w:r w:rsidRPr="006B65DE" w:rsidR="00F32287">
        <w:rPr>
          <w:rFonts w:eastAsiaTheme="minorEastAsia"/>
          <w:b/>
          <w:color w:val="4C94D8" w:themeColor="text2" w:themeTint="80"/>
          <w:kern w:val="2"/>
          <w:lang w:eastAsia="en-US"/>
          <w14:ligatures w14:val="standardContextual"/>
        </w:rPr>
        <w:t>da</w:t>
      </w:r>
      <w:r w:rsidRPr="006B65DE">
        <w:rPr>
          <w:rFonts w:eastAsiaTheme="minorEastAsia"/>
          <w:b/>
          <w:color w:val="4C94D8" w:themeColor="text2" w:themeTint="80"/>
          <w:kern w:val="2"/>
          <w:lang w:eastAsia="en-US"/>
          <w14:ligatures w14:val="standardContextual"/>
        </w:rPr>
        <w:t>i soggetti attuatori dei medesimi</w:t>
      </w:r>
      <w:r w:rsidRPr="006B65DE">
        <w:rPr>
          <w:rFonts w:eastAsiaTheme="minorEastAsia"/>
          <w:color w:val="4C94D8" w:themeColor="text2" w:themeTint="80"/>
          <w:kern w:val="2"/>
          <w:lang w:eastAsia="en-US"/>
          <w14:ligatures w14:val="standardContextual"/>
        </w:rPr>
        <w:t>;</w:t>
      </w:r>
    </w:p>
    <w:p w:rsidR="00190BD7" w:rsidRPr="006B65DE" w:rsidP="002B03F6" w14:paraId="530CBBCC" w14:textId="77777777">
      <w:pPr>
        <w:numPr>
          <w:ilvl w:val="0"/>
          <w:numId w:val="16"/>
        </w:numPr>
        <w:spacing w:after="120"/>
        <w:jc w:val="both"/>
        <w:rPr>
          <w:rFonts w:eastAsiaTheme="minorEastAsia"/>
          <w:color w:val="4C94D8" w:themeColor="text2" w:themeTint="80"/>
          <w:kern w:val="2"/>
          <w:lang w:eastAsia="en-US"/>
          <w14:ligatures w14:val="standardContextual"/>
        </w:rPr>
      </w:pPr>
      <w:r w:rsidRPr="006B65DE">
        <w:rPr>
          <w:rFonts w:eastAsiaTheme="minorEastAsia"/>
          <w:color w:val="4C94D8" w:themeColor="text2" w:themeTint="80"/>
          <w:kern w:val="2"/>
          <w:lang w:eastAsia="en-US"/>
          <w14:ligatures w14:val="standardContextual"/>
        </w:rPr>
        <w:t xml:space="preserve">al </w:t>
      </w:r>
      <w:r w:rsidRPr="006B65DE">
        <w:rPr>
          <w:rFonts w:eastAsiaTheme="minorEastAsia"/>
          <w:b/>
          <w:color w:val="4C94D8" w:themeColor="text2" w:themeTint="80"/>
          <w:kern w:val="2"/>
          <w:u w:val="single"/>
          <w:lang w:eastAsia="en-US"/>
          <w14:ligatures w14:val="standardContextual"/>
        </w:rPr>
        <w:t>comma 2</w:t>
      </w:r>
      <w:r w:rsidRPr="006B65DE">
        <w:rPr>
          <w:rFonts w:eastAsiaTheme="minorEastAsia"/>
          <w:color w:val="4C94D8" w:themeColor="text2" w:themeTint="80"/>
          <w:kern w:val="2"/>
          <w:lang w:eastAsia="en-US"/>
          <w14:ligatures w14:val="standardContextual"/>
        </w:rPr>
        <w:t xml:space="preserve">, il versamento sui medesimi conti di tesoreria delle economie ulteriori rispetto a quelle di cui al comma 1, maturate sulle misure PNRR a titolarità delle amministrazioni centrali, secondo quanto sarà rilevabile dal sistema </w:t>
      </w:r>
      <w:r w:rsidRPr="006B65DE">
        <w:rPr>
          <w:rFonts w:eastAsiaTheme="minorEastAsia"/>
          <w:color w:val="4C94D8" w:themeColor="text2" w:themeTint="80"/>
          <w:kern w:val="2"/>
          <w:lang w:eastAsia="en-US"/>
          <w14:ligatures w14:val="standardContextual"/>
        </w:rPr>
        <w:t>ReGiS</w:t>
      </w:r>
      <w:r w:rsidRPr="006B65DE">
        <w:rPr>
          <w:rFonts w:eastAsiaTheme="minorEastAsia"/>
          <w:color w:val="4C94D8" w:themeColor="text2" w:themeTint="80"/>
          <w:kern w:val="2"/>
          <w:lang w:eastAsia="en-US"/>
          <w14:ligatures w14:val="standardContextual"/>
        </w:rPr>
        <w:t>.</w:t>
      </w:r>
    </w:p>
    <w:p w:rsidR="00190BD7" w:rsidRPr="006B65DE" w:rsidP="00190BD7" w14:paraId="2A8D521C" w14:textId="423BAE4B">
      <w:pPr>
        <w:spacing w:after="120"/>
        <w:ind w:left="360"/>
        <w:jc w:val="both"/>
        <w:rPr>
          <w:rFonts w:eastAsiaTheme="minorEastAsia"/>
          <w:color w:val="4C94D8" w:themeColor="text2" w:themeTint="80"/>
          <w:kern w:val="2"/>
          <w:lang w:eastAsia="en-US"/>
          <w14:ligatures w14:val="standardContextual"/>
        </w:rPr>
      </w:pPr>
      <w:r w:rsidRPr="006B65DE">
        <w:rPr>
          <w:rFonts w:eastAsiaTheme="minorEastAsia"/>
          <w:b/>
          <w:color w:val="4C94D8" w:themeColor="text2" w:themeTint="80"/>
          <w:kern w:val="2"/>
          <w:lang w:eastAsia="en-US"/>
          <w14:ligatures w14:val="standardContextual"/>
        </w:rPr>
        <w:t xml:space="preserve">La disposizione in commento non determina nuovi o maggiori oneri a carico della finanza pubblica, tenuto conto le risorse in parola derivano da economie di spesa maturate dalle Amministrazioni centrali titolari di interventi inclusi nel PNRR e </w:t>
      </w:r>
      <w:r w:rsidRPr="006B65DE" w:rsidR="00F32287">
        <w:rPr>
          <w:rFonts w:eastAsiaTheme="minorEastAsia"/>
          <w:b/>
          <w:color w:val="4C94D8" w:themeColor="text2" w:themeTint="80"/>
          <w:kern w:val="2"/>
          <w:lang w:eastAsia="en-US"/>
          <w14:ligatures w14:val="standardContextual"/>
        </w:rPr>
        <w:t>da</w:t>
      </w:r>
      <w:r w:rsidRPr="006B65DE">
        <w:rPr>
          <w:rFonts w:eastAsiaTheme="minorEastAsia"/>
          <w:b/>
          <w:color w:val="4C94D8" w:themeColor="text2" w:themeTint="80"/>
          <w:kern w:val="2"/>
          <w:lang w:eastAsia="en-US"/>
          <w14:ligatures w14:val="standardContextual"/>
        </w:rPr>
        <w:t>i soggetti attuatori dei medesimi</w:t>
      </w:r>
      <w:r w:rsidRPr="006B65DE">
        <w:rPr>
          <w:rFonts w:eastAsiaTheme="minorEastAsia"/>
          <w:color w:val="4C94D8" w:themeColor="text2" w:themeTint="80"/>
          <w:kern w:val="2"/>
          <w:lang w:eastAsia="en-US"/>
          <w14:ligatures w14:val="standardContextual"/>
        </w:rPr>
        <w:t>;</w:t>
      </w:r>
    </w:p>
    <w:p w:rsidR="00190BD7" w:rsidRPr="006B65DE" w:rsidP="002B03F6" w14:paraId="0A93BD37" w14:textId="77777777">
      <w:pPr>
        <w:numPr>
          <w:ilvl w:val="0"/>
          <w:numId w:val="16"/>
        </w:numPr>
        <w:spacing w:after="120"/>
        <w:ind w:left="357" w:hanging="357"/>
        <w:jc w:val="both"/>
        <w:rPr>
          <w:rFonts w:eastAsiaTheme="minorEastAsia"/>
          <w:color w:val="4C94D8" w:themeColor="text2" w:themeTint="80"/>
          <w:kern w:val="2"/>
          <w:lang w:eastAsia="en-US"/>
          <w14:ligatures w14:val="standardContextual"/>
        </w:rPr>
      </w:pPr>
      <w:r w:rsidRPr="006B65DE">
        <w:rPr>
          <w:rFonts w:eastAsiaTheme="minorEastAsia"/>
          <w:color w:val="4C94D8" w:themeColor="text2" w:themeTint="80"/>
          <w:kern w:val="2"/>
          <w:lang w:eastAsia="en-US"/>
          <w14:ligatures w14:val="standardContextual"/>
        </w:rPr>
        <w:t xml:space="preserve">al </w:t>
      </w:r>
      <w:r w:rsidRPr="006B65DE">
        <w:rPr>
          <w:rFonts w:eastAsiaTheme="minorEastAsia"/>
          <w:b/>
          <w:color w:val="4C94D8" w:themeColor="text2" w:themeTint="80"/>
          <w:kern w:val="2"/>
          <w:u w:val="single"/>
          <w:lang w:eastAsia="en-US"/>
          <w14:ligatures w14:val="standardContextual"/>
        </w:rPr>
        <w:t>comma 3</w:t>
      </w:r>
      <w:r w:rsidRPr="006B65DE">
        <w:rPr>
          <w:rFonts w:eastAsiaTheme="minorEastAsia"/>
          <w:color w:val="4C94D8" w:themeColor="text2" w:themeTint="80"/>
          <w:kern w:val="2"/>
          <w:lang w:eastAsia="en-US"/>
          <w14:ligatures w14:val="standardContextual"/>
        </w:rPr>
        <w:t>, l’accertamento</w:t>
      </w:r>
      <w:r w:rsidRPr="006B65DE">
        <w:rPr>
          <w:color w:val="4C94D8" w:themeColor="text2" w:themeTint="80"/>
        </w:rPr>
        <w:t xml:space="preserve"> </w:t>
      </w:r>
      <w:r w:rsidRPr="006B65DE">
        <w:rPr>
          <w:rFonts w:eastAsiaTheme="minorEastAsia"/>
          <w:color w:val="4C94D8" w:themeColor="text2" w:themeTint="80"/>
          <w:kern w:val="2"/>
          <w:lang w:eastAsia="en-US"/>
          <w14:ligatures w14:val="standardContextual"/>
        </w:rPr>
        <w:t>delle risorse libere da obbligazioni giuridicamente vincolanti e non necessarie per il conseguimento degli obiettivi PNRR oggetto di rendicontazione all'Unione europea ad opera di ad uno o più decreti del Ministro dell'economia e delle finanze, di concerto con il Ministro degli affari europei, il PNRR e le politiche di coesione.</w:t>
      </w:r>
    </w:p>
    <w:p w:rsidR="00190BD7" w:rsidRPr="006B65DE" w:rsidP="00190BD7" w14:paraId="60CE8D91" w14:textId="3ABA66E8">
      <w:pPr>
        <w:spacing w:after="120"/>
        <w:ind w:left="357"/>
        <w:jc w:val="both"/>
        <w:rPr>
          <w:rFonts w:eastAsiaTheme="minorEastAsia"/>
          <w:b/>
          <w:color w:val="4C94D8" w:themeColor="text2" w:themeTint="80"/>
          <w:kern w:val="2"/>
          <w:lang w:eastAsia="en-US"/>
          <w14:ligatures w14:val="standardContextual"/>
        </w:rPr>
      </w:pPr>
      <w:r w:rsidRPr="006B65DE">
        <w:rPr>
          <w:rFonts w:eastAsiaTheme="minorEastAsia"/>
          <w:b/>
          <w:color w:val="4C94D8" w:themeColor="text2" w:themeTint="80"/>
          <w:kern w:val="2"/>
          <w:lang w:eastAsia="en-US"/>
          <w14:ligatures w14:val="standardContextual"/>
        </w:rPr>
        <w:t>La disposizione in commento non è suscettibile di generare nuovi o maggiori oneri a carico della finanza pubblica</w:t>
      </w:r>
      <w:r w:rsidRPr="006B65DE" w:rsidR="00F32287">
        <w:rPr>
          <w:rFonts w:eastAsiaTheme="minorEastAsia"/>
          <w:b/>
          <w:color w:val="4C94D8" w:themeColor="text2" w:themeTint="80"/>
          <w:kern w:val="2"/>
          <w:lang w:eastAsia="en-US"/>
          <w14:ligatures w14:val="standardContextual"/>
        </w:rPr>
        <w:t>, limitandosi a disciplinare le modalità di accertamento delle economie maturate</w:t>
      </w:r>
      <w:r w:rsidRPr="006B65DE">
        <w:rPr>
          <w:rFonts w:eastAsiaTheme="minorEastAsia"/>
          <w:b/>
          <w:color w:val="4C94D8" w:themeColor="text2" w:themeTint="80"/>
          <w:kern w:val="2"/>
          <w:lang w:eastAsia="en-US"/>
          <w14:ligatures w14:val="standardContextual"/>
        </w:rPr>
        <w:t>;</w:t>
      </w:r>
    </w:p>
    <w:p w:rsidR="00190BD7" w:rsidRPr="006B65DE" w:rsidP="002B03F6" w14:paraId="6F19E26B" w14:textId="0CD63534">
      <w:pPr>
        <w:numPr>
          <w:ilvl w:val="0"/>
          <w:numId w:val="16"/>
        </w:numPr>
        <w:spacing w:after="120"/>
        <w:ind w:left="357" w:hanging="357"/>
        <w:jc w:val="both"/>
        <w:rPr>
          <w:rFonts w:eastAsiaTheme="minorEastAsia"/>
          <w:color w:val="4C94D8" w:themeColor="text2" w:themeTint="80"/>
          <w:kern w:val="2"/>
          <w:lang w:eastAsia="en-US"/>
          <w14:ligatures w14:val="standardContextual"/>
        </w:rPr>
      </w:pPr>
      <w:r w:rsidRPr="006B65DE">
        <w:rPr>
          <w:rFonts w:eastAsiaTheme="minorEastAsia"/>
          <w:color w:val="4C94D8" w:themeColor="text2" w:themeTint="80"/>
          <w:kern w:val="2"/>
          <w:lang w:eastAsia="en-US"/>
          <w14:ligatures w14:val="standardContextual"/>
        </w:rPr>
        <w:t xml:space="preserve">al </w:t>
      </w:r>
      <w:r w:rsidRPr="006B65DE">
        <w:rPr>
          <w:rFonts w:eastAsiaTheme="minorEastAsia"/>
          <w:b/>
          <w:color w:val="4C94D8" w:themeColor="text2" w:themeTint="80"/>
          <w:kern w:val="2"/>
          <w:u w:val="single"/>
          <w:lang w:eastAsia="en-US"/>
          <w14:ligatures w14:val="standardContextual"/>
        </w:rPr>
        <w:t>comma 4</w:t>
      </w:r>
      <w:r w:rsidRPr="006B65DE">
        <w:rPr>
          <w:rFonts w:eastAsiaTheme="minorEastAsia"/>
          <w:color w:val="4C94D8" w:themeColor="text2" w:themeTint="80"/>
          <w:kern w:val="2"/>
          <w:lang w:eastAsia="en-US"/>
          <w14:ligatures w14:val="standardContextual"/>
        </w:rPr>
        <w:t>, l</w:t>
      </w:r>
      <w:r w:rsidRPr="006B65DE" w:rsidR="00F32287">
        <w:rPr>
          <w:rFonts w:eastAsiaTheme="minorEastAsia"/>
          <w:color w:val="4C94D8" w:themeColor="text2" w:themeTint="80"/>
          <w:kern w:val="2"/>
          <w:lang w:eastAsia="en-US"/>
          <w14:ligatures w14:val="standardContextual"/>
        </w:rPr>
        <w:t>a</w:t>
      </w:r>
      <w:r w:rsidRPr="006B65DE">
        <w:rPr>
          <w:rFonts w:eastAsiaTheme="minorEastAsia"/>
          <w:color w:val="4C94D8" w:themeColor="text2" w:themeTint="80"/>
          <w:kern w:val="2"/>
          <w:lang w:eastAsia="en-US"/>
          <w14:ligatures w14:val="standardContextual"/>
        </w:rPr>
        <w:t xml:space="preserve"> destinazione delle risorse individuate ai sensi del comma 3 a </w:t>
      </w:r>
      <w:r w:rsidRPr="006B65DE" w:rsidR="002B03F6">
        <w:rPr>
          <w:rFonts w:eastAsiaTheme="minorEastAsia"/>
          <w:color w:val="4C94D8" w:themeColor="text2" w:themeTint="80"/>
          <w:kern w:val="2"/>
          <w:lang w:eastAsia="en-US"/>
          <w14:ligatures w14:val="standardContextual"/>
        </w:rPr>
        <w:t>specifiche iniziative</w:t>
      </w:r>
      <w:r w:rsidRPr="006B65DE">
        <w:rPr>
          <w:rFonts w:eastAsiaTheme="minorEastAsia"/>
          <w:color w:val="4C94D8" w:themeColor="text2" w:themeTint="80"/>
          <w:kern w:val="2"/>
          <w:lang w:eastAsia="en-US"/>
          <w14:ligatures w14:val="standardContextual"/>
        </w:rPr>
        <w:t xml:space="preserve"> </w:t>
      </w:r>
      <w:r w:rsidRPr="006B65DE" w:rsidR="00F32287">
        <w:rPr>
          <w:rFonts w:eastAsiaTheme="minorEastAsia"/>
          <w:color w:val="4C94D8" w:themeColor="text2" w:themeTint="80"/>
          <w:kern w:val="2"/>
          <w:lang w:eastAsia="en-US"/>
          <w14:ligatures w14:val="standardContextual"/>
        </w:rPr>
        <w:t xml:space="preserve">e interventi </w:t>
      </w:r>
      <w:r w:rsidRPr="006B65DE">
        <w:rPr>
          <w:rFonts w:eastAsiaTheme="minorEastAsia"/>
          <w:color w:val="4C94D8" w:themeColor="text2" w:themeTint="80"/>
          <w:kern w:val="2"/>
          <w:lang w:eastAsia="en-US"/>
          <w14:ligatures w14:val="standardContextual"/>
        </w:rPr>
        <w:t xml:space="preserve">mediante </w:t>
      </w:r>
      <w:r w:rsidRPr="006B65DE">
        <w:rPr>
          <w:rFonts w:eastAsiaTheme="majorEastAsia"/>
          <w:color w:val="4C94D8" w:themeColor="text2" w:themeTint="80"/>
          <w:kern w:val="2"/>
          <w:lang w:eastAsia="en-US"/>
          <w14:ligatures w14:val="standardContextual"/>
        </w:rPr>
        <w:t xml:space="preserve">apposito </w:t>
      </w:r>
      <w:r w:rsidRPr="006B65DE">
        <w:rPr>
          <w:rFonts w:eastAsiaTheme="majorEastAsia"/>
          <w:color w:val="4C94D8" w:themeColor="text2" w:themeTint="80"/>
          <w:kern w:val="2"/>
          <w:lang w:eastAsia="en-US"/>
          <w14:ligatures w14:val="standardContextual"/>
        </w:rPr>
        <w:t>dPCM</w:t>
      </w:r>
      <w:r w:rsidRPr="006B65DE">
        <w:rPr>
          <w:rFonts w:eastAsiaTheme="majorEastAsia"/>
          <w:color w:val="4C94D8" w:themeColor="text2" w:themeTint="80"/>
          <w:kern w:val="2"/>
          <w:lang w:eastAsia="en-US"/>
          <w14:ligatures w14:val="standardContextual"/>
        </w:rPr>
        <w:t xml:space="preserve">, </w:t>
      </w:r>
      <w:r w:rsidRPr="006B65DE">
        <w:rPr>
          <w:rFonts w:eastAsiaTheme="minorEastAsia"/>
          <w:color w:val="4C94D8" w:themeColor="text2" w:themeTint="80"/>
          <w:kern w:val="2"/>
          <w:lang w:eastAsia="en-US"/>
          <w14:ligatures w14:val="standardContextual"/>
        </w:rPr>
        <w:t>adottato</w:t>
      </w:r>
      <w:r w:rsidRPr="006B65DE">
        <w:rPr>
          <w:rFonts w:eastAsiaTheme="majorEastAsia"/>
          <w:color w:val="4C94D8" w:themeColor="text2" w:themeTint="80"/>
          <w:kern w:val="2"/>
          <w:lang w:eastAsia="en-US"/>
          <w14:ligatures w14:val="standardContextual"/>
        </w:rPr>
        <w:t xml:space="preserve">, </w:t>
      </w:r>
      <w:r w:rsidRPr="006B65DE">
        <w:rPr>
          <w:rFonts w:eastAsiaTheme="minorEastAsia"/>
          <w:color w:val="4C94D8" w:themeColor="text2" w:themeTint="80"/>
          <w:kern w:val="2"/>
          <w:lang w:eastAsia="en-US"/>
          <w14:ligatures w14:val="standardContextual"/>
        </w:rPr>
        <w:t>in coerenza con i saldi di finanza pubblica</w:t>
      </w:r>
      <w:r w:rsidRPr="006B65DE">
        <w:rPr>
          <w:rFonts w:eastAsiaTheme="majorEastAsia"/>
          <w:color w:val="4C94D8" w:themeColor="text2" w:themeTint="80"/>
          <w:kern w:val="2"/>
          <w:lang w:eastAsia="en-US"/>
          <w14:ligatures w14:val="standardContextual"/>
        </w:rPr>
        <w:t>,</w:t>
      </w:r>
      <w:r w:rsidRPr="006B65DE">
        <w:rPr>
          <w:rFonts w:eastAsiaTheme="minorEastAsia"/>
          <w:color w:val="4C94D8" w:themeColor="text2" w:themeTint="80"/>
          <w:kern w:val="2"/>
          <w:lang w:eastAsia="en-US"/>
          <w14:ligatures w14:val="standardContextual"/>
        </w:rPr>
        <w:t xml:space="preserve"> su proposta del Ministro per gli affari europei, il PNRR e le politiche di coesione, di concerto con il Ministro dell’economia e delle finanze</w:t>
      </w:r>
      <w:r w:rsidRPr="006B65DE">
        <w:rPr>
          <w:rFonts w:eastAsiaTheme="majorEastAsia"/>
          <w:color w:val="4C94D8" w:themeColor="text2" w:themeTint="80"/>
          <w:kern w:val="2"/>
          <w:lang w:eastAsia="en-US"/>
          <w14:ligatures w14:val="standardContextual"/>
        </w:rPr>
        <w:t xml:space="preserve">. </w:t>
      </w:r>
    </w:p>
    <w:p w:rsidR="00190BD7" w:rsidRPr="006B65DE" w:rsidP="00190BD7" w14:paraId="4F100E8B" w14:textId="77777777">
      <w:pPr>
        <w:spacing w:after="120"/>
        <w:ind w:left="360"/>
        <w:jc w:val="both"/>
        <w:rPr>
          <w:rFonts w:eastAsiaTheme="minorEastAsia"/>
          <w:b/>
          <w:color w:val="4C94D8" w:themeColor="text2" w:themeTint="80"/>
          <w:kern w:val="2"/>
          <w:lang w:eastAsia="en-US"/>
          <w14:ligatures w14:val="standardContextual"/>
        </w:rPr>
      </w:pPr>
      <w:r w:rsidRPr="006B65DE">
        <w:rPr>
          <w:rFonts w:eastAsiaTheme="minorEastAsia"/>
          <w:b/>
          <w:color w:val="4C94D8" w:themeColor="text2" w:themeTint="80"/>
          <w:kern w:val="2"/>
          <w:lang w:eastAsia="en-US"/>
          <w14:ligatures w14:val="standardContextual"/>
        </w:rPr>
        <w:t>La previsione in esame non determina nuovi o maggiori oneri a carico della finanza pubblica;</w:t>
      </w:r>
    </w:p>
    <w:p w:rsidR="00F60C1C" w:rsidRPr="006B65DE" w14:paraId="288BBC8B" w14:textId="6FF1E95A">
      <w:pPr>
        <w:pStyle w:val="ListParagraph"/>
        <w:numPr>
          <w:ilvl w:val="0"/>
          <w:numId w:val="16"/>
        </w:numPr>
        <w:spacing w:after="120"/>
        <w:ind w:hanging="357"/>
        <w:contextualSpacing w:val="0"/>
        <w:jc w:val="both"/>
        <w:rPr>
          <w:rFonts w:eastAsiaTheme="minorEastAsia"/>
          <w:b/>
          <w:color w:val="4C94D8" w:themeColor="text2" w:themeTint="80"/>
          <w:kern w:val="2"/>
          <w:lang w:eastAsia="en-US"/>
          <w14:ligatures w14:val="standardContextual"/>
        </w:rPr>
      </w:pPr>
      <w:r w:rsidRPr="006B65DE">
        <w:rPr>
          <w:rFonts w:eastAsiaTheme="minorEastAsia"/>
          <w:color w:val="4C94D8" w:themeColor="text2" w:themeTint="80"/>
          <w:kern w:val="2"/>
          <w:lang w:eastAsia="en-US"/>
          <w14:ligatures w14:val="standardContextual"/>
        </w:rPr>
        <w:t xml:space="preserve">al </w:t>
      </w:r>
      <w:r w:rsidRPr="006B65DE">
        <w:rPr>
          <w:rFonts w:eastAsiaTheme="minorEastAsia"/>
          <w:b/>
          <w:color w:val="4C94D8" w:themeColor="text2" w:themeTint="80"/>
          <w:kern w:val="2"/>
          <w:u w:val="single"/>
          <w:lang w:eastAsia="en-US"/>
          <w14:ligatures w14:val="standardContextual"/>
        </w:rPr>
        <w:t>comma 5</w:t>
      </w:r>
      <w:r w:rsidRPr="006B65DE">
        <w:rPr>
          <w:rFonts w:eastAsiaTheme="minorEastAsia"/>
          <w:color w:val="4C94D8" w:themeColor="text2" w:themeTint="80"/>
          <w:kern w:val="2"/>
          <w:lang w:eastAsia="en-US"/>
          <w14:ligatures w14:val="standardContextual"/>
        </w:rPr>
        <w:t xml:space="preserve">, </w:t>
      </w:r>
      <w:r w:rsidRPr="006B65DE" w:rsidR="001D6356">
        <w:rPr>
          <w:rFonts w:eastAsiaTheme="minorEastAsia"/>
          <w:color w:val="4C94D8" w:themeColor="text2" w:themeTint="80"/>
          <w:kern w:val="2"/>
          <w:lang w:eastAsia="en-US"/>
          <w14:ligatures w14:val="standardContextual"/>
        </w:rPr>
        <w:t xml:space="preserve">al fine di assicurare idonea </w:t>
      </w:r>
      <w:r w:rsidRPr="006B65DE" w:rsidR="008D4293">
        <w:rPr>
          <w:rFonts w:eastAsiaTheme="minorEastAsia"/>
          <w:color w:val="4C94D8" w:themeColor="text2" w:themeTint="80"/>
          <w:kern w:val="2"/>
          <w:lang w:eastAsia="en-US"/>
          <w14:ligatures w14:val="standardContextual"/>
        </w:rPr>
        <w:t xml:space="preserve">compensazione alla </w:t>
      </w:r>
      <w:r w:rsidRPr="006B65DE" w:rsidR="001D6356">
        <w:rPr>
          <w:rFonts w:eastAsiaTheme="minorEastAsia"/>
          <w:color w:val="4C94D8" w:themeColor="text2" w:themeTint="80"/>
          <w:kern w:val="2"/>
          <w:lang w:eastAsia="en-US"/>
          <w14:ligatures w14:val="standardContextual"/>
        </w:rPr>
        <w:t xml:space="preserve">copertura </w:t>
      </w:r>
      <w:r w:rsidRPr="006B65DE" w:rsidR="00B75BB8">
        <w:rPr>
          <w:rFonts w:eastAsiaTheme="minorHAnsi"/>
          <w:color w:val="4C94D8" w:themeColor="text2" w:themeTint="80"/>
          <w:kern w:val="2"/>
          <w:lang w:eastAsia="en-US"/>
          <w14:ligatures w14:val="standardContextual"/>
        </w:rPr>
        <w:t xml:space="preserve"> </w:t>
      </w:r>
      <w:r w:rsidRPr="006B65DE" w:rsidR="00B75BB8">
        <w:rPr>
          <w:rFonts w:eastAsiaTheme="minorEastAsia"/>
          <w:color w:val="4C94D8" w:themeColor="text2" w:themeTint="80"/>
          <w:kern w:val="2"/>
          <w:lang w:eastAsia="en-US"/>
          <w14:ligatures w14:val="standardContextual"/>
        </w:rPr>
        <w:t xml:space="preserve">individuata </w:t>
      </w:r>
      <w:r w:rsidRPr="006B65DE" w:rsidR="00E00EC8">
        <w:rPr>
          <w:rFonts w:eastAsiaTheme="minorEastAsia"/>
          <w:color w:val="4C94D8" w:themeColor="text2" w:themeTint="80"/>
          <w:kern w:val="2"/>
          <w:lang w:eastAsia="en-US"/>
          <w14:ligatures w14:val="standardContextual"/>
        </w:rPr>
        <w:t>ai sensi del</w:t>
      </w:r>
      <w:r w:rsidRPr="006B65DE" w:rsidR="00B75BB8">
        <w:rPr>
          <w:rFonts w:eastAsiaTheme="minorEastAsia"/>
          <w:color w:val="4C94D8" w:themeColor="text2" w:themeTint="80"/>
          <w:kern w:val="2"/>
          <w:lang w:eastAsia="en-US"/>
          <w14:ligatures w14:val="standardContextual"/>
        </w:rPr>
        <w:t xml:space="preserve"> dell’articolo 2</w:t>
      </w:r>
      <w:r w:rsidRPr="006B65DE" w:rsidR="00E00EC8">
        <w:rPr>
          <w:rFonts w:eastAsiaTheme="minorEastAsia"/>
          <w:color w:val="4C94D8" w:themeColor="text2" w:themeTint="80"/>
          <w:kern w:val="2"/>
          <w:lang w:eastAsia="en-US"/>
          <w14:ligatures w14:val="standardContextual"/>
        </w:rPr>
        <w:t>,</w:t>
      </w:r>
      <w:r w:rsidRPr="006B65DE" w:rsidR="00B75BB8">
        <w:rPr>
          <w:rFonts w:eastAsiaTheme="minorEastAsia"/>
          <w:color w:val="4C94D8" w:themeColor="text2" w:themeTint="80"/>
          <w:kern w:val="2"/>
          <w:lang w:eastAsia="en-US"/>
          <w14:ligatures w14:val="standardContextual"/>
        </w:rPr>
        <w:t xml:space="preserve"> </w:t>
      </w:r>
      <w:r w:rsidRPr="006B65DE" w:rsidR="00E00EC8">
        <w:rPr>
          <w:rFonts w:eastAsiaTheme="minorEastAsia"/>
          <w:color w:val="4C94D8" w:themeColor="text2" w:themeTint="80"/>
          <w:kern w:val="2"/>
          <w:lang w:eastAsia="en-US"/>
          <w14:ligatures w14:val="standardContextual"/>
        </w:rPr>
        <w:t xml:space="preserve">comma 4 </w:t>
      </w:r>
      <w:r w:rsidRPr="006B65DE" w:rsidR="00B75BB8">
        <w:rPr>
          <w:rFonts w:eastAsiaTheme="minorEastAsia"/>
          <w:color w:val="4C94D8" w:themeColor="text2" w:themeTint="80"/>
          <w:kern w:val="2"/>
          <w:lang w:eastAsia="en-US"/>
          <w14:ligatures w14:val="standardContextual"/>
        </w:rPr>
        <w:t xml:space="preserve">del presente decreto, pari complessivamente a </w:t>
      </w:r>
      <w:r w:rsidRPr="006B65DE" w:rsidR="00E00EC8">
        <w:rPr>
          <w:rFonts w:eastAsiaTheme="minorEastAsia"/>
          <w:color w:val="4C94D8" w:themeColor="text2" w:themeTint="80"/>
          <w:kern w:val="2"/>
          <w:lang w:eastAsia="en-US"/>
          <w14:ligatures w14:val="standardContextual"/>
        </w:rPr>
        <w:t xml:space="preserve">euro </w:t>
      </w:r>
      <w:r w:rsidRPr="006B65DE" w:rsidR="00B75BB8">
        <w:rPr>
          <w:rFonts w:eastAsiaTheme="minorEastAsia"/>
          <w:color w:val="4C94D8" w:themeColor="text2" w:themeTint="80"/>
          <w:kern w:val="2"/>
          <w:lang w:eastAsia="en-US"/>
          <w14:ligatures w14:val="standardContextual"/>
        </w:rPr>
        <w:t>31.995.278,52</w:t>
      </w:r>
      <w:r w:rsidRPr="006B65DE" w:rsidR="00027EC9">
        <w:rPr>
          <w:rFonts w:eastAsiaTheme="minorEastAsia"/>
          <w:color w:val="4C94D8" w:themeColor="text2" w:themeTint="80"/>
          <w:kern w:val="2"/>
          <w:lang w:eastAsia="en-US"/>
          <w14:ligatures w14:val="standardContextual"/>
        </w:rPr>
        <w:t>,</w:t>
      </w:r>
      <w:r w:rsidRPr="006B65DE" w:rsidR="00E274F3">
        <w:rPr>
          <w:rFonts w:eastAsiaTheme="minorEastAsia"/>
          <w:color w:val="4C94D8" w:themeColor="text2" w:themeTint="80"/>
          <w:kern w:val="2"/>
          <w:lang w:eastAsia="en-US"/>
          <w14:ligatures w14:val="standardContextual"/>
        </w:rPr>
        <w:t xml:space="preserve"> ai fini della </w:t>
      </w:r>
      <w:r w:rsidRPr="006B65DE" w:rsidR="001D6356">
        <w:rPr>
          <w:rFonts w:eastAsiaTheme="minorEastAsia"/>
          <w:color w:val="4C94D8" w:themeColor="text2" w:themeTint="80"/>
          <w:kern w:val="2"/>
          <w:lang w:eastAsia="en-US"/>
          <w14:ligatures w14:val="standardContextual"/>
        </w:rPr>
        <w:t>proroga delle Unità di missione PNRR delle Amministrazioni centrali, della Struttura di missione PNRR della Presidenza del Consiglio dei ministri e del Nucleo PNRR Stato-Regioni del Dipartimento per gli Affari regionali e le autonomie sino al 2029</w:t>
      </w:r>
      <w:r w:rsidRPr="006B65DE" w:rsidR="00566616">
        <w:rPr>
          <w:rFonts w:eastAsiaTheme="minorEastAsia"/>
          <w:color w:val="4C94D8" w:themeColor="text2" w:themeTint="80"/>
          <w:kern w:val="2"/>
          <w:lang w:eastAsia="en-US"/>
          <w14:ligatures w14:val="standardContextual"/>
        </w:rPr>
        <w:t xml:space="preserve"> (</w:t>
      </w:r>
      <w:r w:rsidRPr="006B65DE" w:rsidR="008E3F24">
        <w:rPr>
          <w:rFonts w:eastAsiaTheme="minorEastAsia"/>
          <w:color w:val="4C94D8" w:themeColor="text2" w:themeTint="80"/>
          <w:kern w:val="2"/>
          <w:lang w:eastAsia="en-US"/>
          <w14:ligatures w14:val="standardContextual"/>
        </w:rPr>
        <w:t>prevista al comma 2 del medesimo articolo</w:t>
      </w:r>
      <w:r w:rsidRPr="006B65DE" w:rsidR="00566616">
        <w:rPr>
          <w:rFonts w:eastAsiaTheme="minorEastAsia"/>
          <w:color w:val="4C94D8" w:themeColor="text2" w:themeTint="80"/>
          <w:kern w:val="2"/>
          <w:lang w:eastAsia="en-US"/>
          <w14:ligatures w14:val="standardContextual"/>
        </w:rPr>
        <w:t>)</w:t>
      </w:r>
      <w:r w:rsidRPr="006B65DE" w:rsidR="008E3F24">
        <w:rPr>
          <w:rFonts w:eastAsiaTheme="minorEastAsia"/>
          <w:color w:val="4C94D8" w:themeColor="text2" w:themeTint="80"/>
          <w:kern w:val="2"/>
          <w:lang w:eastAsia="en-US"/>
          <w14:ligatures w14:val="standardContextual"/>
        </w:rPr>
        <w:t xml:space="preserve"> è </w:t>
      </w:r>
      <w:r w:rsidRPr="006B65DE" w:rsidR="005863CC">
        <w:rPr>
          <w:rFonts w:eastAsiaTheme="minorEastAsia"/>
          <w:color w:val="4C94D8" w:themeColor="text2" w:themeTint="80"/>
          <w:kern w:val="2"/>
          <w:lang w:eastAsia="en-US"/>
          <w14:ligatures w14:val="standardContextual"/>
        </w:rPr>
        <w:t>garantita la destinazione</w:t>
      </w:r>
      <w:r w:rsidRPr="006B65DE" w:rsidR="00A856C6">
        <w:rPr>
          <w:rFonts w:eastAsiaTheme="minorEastAsia"/>
          <w:color w:val="4C94D8" w:themeColor="text2" w:themeTint="80"/>
          <w:kern w:val="2"/>
          <w:lang w:eastAsia="en-US"/>
          <w14:ligatures w14:val="standardContextual"/>
        </w:rPr>
        <w:t xml:space="preserve"> di euro 14.418.279 </w:t>
      </w:r>
      <w:r w:rsidRPr="006B65DE" w:rsidR="005863CC">
        <w:rPr>
          <w:rFonts w:eastAsiaTheme="minorEastAsia"/>
          <w:color w:val="4C94D8" w:themeColor="text2" w:themeTint="80"/>
          <w:kern w:val="2"/>
          <w:lang w:eastAsia="en-US"/>
          <w14:ligatures w14:val="standardContextual"/>
        </w:rPr>
        <w:t>al</w:t>
      </w:r>
      <w:r w:rsidRPr="006B65DE" w:rsidR="00B64794">
        <w:rPr>
          <w:rFonts w:eastAsiaTheme="minorEastAsia"/>
          <w:color w:val="4C94D8" w:themeColor="text2" w:themeTint="80"/>
          <w:kern w:val="2"/>
          <w:lang w:eastAsia="en-US"/>
          <w14:ligatures w14:val="standardContextual"/>
        </w:rPr>
        <w:t xml:space="preserve"> </w:t>
      </w:r>
      <w:r w:rsidRPr="006B65DE" w:rsidR="001D6356">
        <w:rPr>
          <w:rFonts w:eastAsiaTheme="minorEastAsia"/>
          <w:color w:val="4C94D8" w:themeColor="text2" w:themeTint="80"/>
          <w:kern w:val="2"/>
          <w:lang w:eastAsia="en-US"/>
          <w14:ligatures w14:val="standardContextual"/>
        </w:rPr>
        <w:t xml:space="preserve">Fondo </w:t>
      </w:r>
      <w:r w:rsidRPr="006B65DE" w:rsidR="00813D8A">
        <w:rPr>
          <w:rFonts w:eastAsiaTheme="minorEastAsia"/>
          <w:color w:val="4C94D8" w:themeColor="text2" w:themeTint="80"/>
          <w:kern w:val="2"/>
          <w:lang w:eastAsia="en-US"/>
          <w14:ligatures w14:val="standardContextual"/>
        </w:rPr>
        <w:t xml:space="preserve">per le </w:t>
      </w:r>
      <w:r w:rsidRPr="006B65DE" w:rsidR="001D6356">
        <w:rPr>
          <w:rFonts w:eastAsiaTheme="minorEastAsia"/>
          <w:color w:val="4C94D8" w:themeColor="text2" w:themeTint="80"/>
          <w:kern w:val="2"/>
          <w:lang w:eastAsia="en-US"/>
          <w14:ligatures w14:val="standardContextual"/>
        </w:rPr>
        <w:t xml:space="preserve">esigenze indifferibili </w:t>
      </w:r>
      <w:r w:rsidRPr="006B65DE" w:rsidR="00A856C6">
        <w:rPr>
          <w:rFonts w:eastAsiaTheme="minorEastAsia"/>
          <w:color w:val="4C94D8" w:themeColor="text2" w:themeTint="80"/>
          <w:kern w:val="2"/>
          <w:lang w:eastAsia="en-US"/>
          <w14:ligatures w14:val="standardContextual"/>
        </w:rPr>
        <w:t>e di euro 17.577.000 al</w:t>
      </w:r>
      <w:r w:rsidRPr="006B65DE" w:rsidR="00A856C6">
        <w:rPr>
          <w:rFonts w:eastAsiaTheme="minorEastAsia"/>
          <w:b/>
          <w:color w:val="4C94D8" w:themeColor="text2" w:themeTint="80"/>
          <w:kern w:val="2"/>
          <w:lang w:eastAsia="en-US"/>
          <w14:ligatures w14:val="standardContextual"/>
        </w:rPr>
        <w:t xml:space="preserve"> </w:t>
      </w:r>
      <w:r w:rsidRPr="006B65DE" w:rsidR="00B60350">
        <w:rPr>
          <w:rFonts w:eastAsiaTheme="minorEastAsia"/>
          <w:b/>
          <w:color w:val="4C94D8" w:themeColor="text2" w:themeTint="80"/>
          <w:kern w:val="2"/>
          <w:highlight w:val="yellow"/>
          <w:lang w:eastAsia="en-US"/>
          <w14:ligatures w14:val="standardContextual"/>
        </w:rPr>
        <w:t>Fondo XXX</w:t>
      </w:r>
      <w:r w:rsidRPr="006B65DE" w:rsidR="00B60350">
        <w:rPr>
          <w:rFonts w:eastAsiaTheme="minorEastAsia"/>
          <w:b/>
          <w:color w:val="4C94D8" w:themeColor="text2" w:themeTint="80"/>
          <w:kern w:val="2"/>
          <w:lang w:eastAsia="en-US"/>
          <w14:ligatures w14:val="standardContextual"/>
        </w:rPr>
        <w:t xml:space="preserve"> </w:t>
      </w:r>
      <w:r w:rsidRPr="006B65DE" w:rsidR="006530B5">
        <w:rPr>
          <w:rFonts w:eastAsiaTheme="minorEastAsia"/>
          <w:color w:val="4C94D8" w:themeColor="text2" w:themeTint="80"/>
          <w:kern w:val="2"/>
          <w:lang w:eastAsia="en-US"/>
          <w14:ligatures w14:val="standardContextual"/>
        </w:rPr>
        <w:t>rinvenienti dalle economie accerta</w:t>
      </w:r>
      <w:r w:rsidRPr="006B65DE" w:rsidR="00566616">
        <w:rPr>
          <w:rFonts w:eastAsiaTheme="minorEastAsia"/>
          <w:color w:val="4C94D8" w:themeColor="text2" w:themeTint="80"/>
          <w:kern w:val="2"/>
          <w:lang w:eastAsia="en-US"/>
          <w14:ligatures w14:val="standardContextual"/>
        </w:rPr>
        <w:t>t</w:t>
      </w:r>
      <w:r w:rsidRPr="006B65DE" w:rsidR="006530B5">
        <w:rPr>
          <w:rFonts w:eastAsiaTheme="minorEastAsia"/>
          <w:color w:val="4C94D8" w:themeColor="text2" w:themeTint="80"/>
          <w:kern w:val="2"/>
          <w:lang w:eastAsia="en-US"/>
          <w14:ligatures w14:val="standardContextual"/>
        </w:rPr>
        <w:t xml:space="preserve">e </w:t>
      </w:r>
      <w:r w:rsidRPr="006B65DE" w:rsidR="00F76E1F">
        <w:rPr>
          <w:rFonts w:eastAsiaTheme="minorEastAsia"/>
          <w:color w:val="4C94D8" w:themeColor="text2" w:themeTint="80"/>
          <w:kern w:val="2"/>
          <w:lang w:eastAsia="en-US"/>
          <w14:ligatures w14:val="standardContextual"/>
        </w:rPr>
        <w:t xml:space="preserve">ai sensi del comma 3 </w:t>
      </w:r>
      <w:r w:rsidRPr="006B65DE" w:rsidR="006530B5">
        <w:rPr>
          <w:rFonts w:eastAsiaTheme="minorEastAsia"/>
          <w:color w:val="4C94D8" w:themeColor="text2" w:themeTint="80"/>
          <w:kern w:val="2"/>
          <w:lang w:eastAsia="en-US"/>
          <w14:ligatures w14:val="standardContextual"/>
        </w:rPr>
        <w:t xml:space="preserve">a decorrere </w:t>
      </w:r>
      <w:r w:rsidRPr="006B65DE">
        <w:rPr>
          <w:rFonts w:eastAsiaTheme="minorEastAsia"/>
          <w:color w:val="4C94D8" w:themeColor="text2" w:themeTint="80"/>
          <w:kern w:val="2"/>
          <w:lang w:eastAsia="en-US"/>
          <w14:ligatures w14:val="standardContextual"/>
        </w:rPr>
        <w:t>dal 30 giugno 2026.</w:t>
      </w:r>
      <w:r w:rsidRPr="006B65DE">
        <w:rPr>
          <w:rFonts w:eastAsiaTheme="minorEastAsia"/>
          <w:b/>
          <w:color w:val="4C94D8" w:themeColor="text2" w:themeTint="80"/>
          <w:kern w:val="2"/>
          <w:lang w:eastAsia="en-US"/>
          <w14:ligatures w14:val="standardContextual"/>
        </w:rPr>
        <w:t xml:space="preserve"> </w:t>
      </w:r>
    </w:p>
    <w:p w:rsidR="009B6845" w:rsidRPr="006B65DE" w:rsidP="00F60C1C" w14:paraId="34671C66" w14:textId="5710B614">
      <w:pPr>
        <w:pStyle w:val="ListParagraph"/>
        <w:spacing w:after="120"/>
        <w:ind w:left="360"/>
        <w:contextualSpacing w:val="0"/>
        <w:jc w:val="both"/>
        <w:rPr>
          <w:rFonts w:eastAsiaTheme="minorEastAsia"/>
          <w:b/>
          <w:color w:val="4C94D8" w:themeColor="text2" w:themeTint="80"/>
          <w:kern w:val="2"/>
          <w:lang w:eastAsia="en-US"/>
          <w14:ligatures w14:val="standardContextual"/>
        </w:rPr>
      </w:pPr>
      <w:r w:rsidRPr="006B65DE">
        <w:rPr>
          <w:rFonts w:eastAsiaTheme="minorHAnsi"/>
          <w:b/>
          <w:color w:val="4C94D8" w:themeColor="text2" w:themeTint="80"/>
          <w:kern w:val="2"/>
          <w:lang w:eastAsia="en-US"/>
          <w14:ligatures w14:val="standardContextual"/>
        </w:rPr>
        <w:t>La disposizione in rassegna non determina nuo</w:t>
      </w:r>
      <w:r w:rsidRPr="006B65DE" w:rsidR="00FD33EC">
        <w:rPr>
          <w:rFonts w:eastAsiaTheme="minorHAnsi"/>
          <w:b/>
          <w:color w:val="4C94D8" w:themeColor="text2" w:themeTint="80"/>
          <w:kern w:val="2"/>
          <w:lang w:eastAsia="en-US"/>
          <w14:ligatures w14:val="standardContextual"/>
        </w:rPr>
        <w:t xml:space="preserve">vi o maggiori oneri a carico della finanza pubblica, atteso che le risorse </w:t>
      </w:r>
      <w:r w:rsidRPr="006B65DE" w:rsidR="00813D8A">
        <w:rPr>
          <w:rFonts w:eastAsiaTheme="minorHAnsi"/>
          <w:b/>
          <w:color w:val="4C94D8" w:themeColor="text2" w:themeTint="80"/>
          <w:kern w:val="2"/>
          <w:lang w:eastAsia="en-US"/>
          <w14:ligatures w14:val="standardContextual"/>
        </w:rPr>
        <w:t>da destinare all’alimentazione del Fondo per le esigenze indifferibili</w:t>
      </w:r>
      <w:r w:rsidRPr="006B65DE" w:rsidR="00EB6102">
        <w:rPr>
          <w:rFonts w:eastAsiaTheme="minorHAnsi"/>
          <w:b/>
          <w:color w:val="4C94D8" w:themeColor="text2" w:themeTint="80"/>
          <w:kern w:val="2"/>
          <w:lang w:eastAsia="en-US"/>
          <w14:ligatures w14:val="standardContextual"/>
        </w:rPr>
        <w:t xml:space="preserve"> </w:t>
      </w:r>
      <w:r w:rsidRPr="006B65DE" w:rsidR="00591EB8">
        <w:rPr>
          <w:rFonts w:eastAsiaTheme="minorHAnsi"/>
          <w:b/>
          <w:color w:val="4C94D8" w:themeColor="text2" w:themeTint="80"/>
          <w:kern w:val="2"/>
          <w:highlight w:val="yellow"/>
          <w:lang w:eastAsia="en-US"/>
          <w14:ligatures w14:val="standardContextual"/>
        </w:rPr>
        <w:t>e al Fondo xxx</w:t>
      </w:r>
      <w:r w:rsidRPr="006B65DE" w:rsidR="00591EB8">
        <w:rPr>
          <w:rFonts w:eastAsiaTheme="minorHAnsi"/>
          <w:b/>
          <w:color w:val="4C94D8" w:themeColor="text2" w:themeTint="80"/>
          <w:kern w:val="2"/>
          <w:lang w:eastAsia="en-US"/>
          <w14:ligatures w14:val="standardContextual"/>
        </w:rPr>
        <w:t xml:space="preserve"> </w:t>
      </w:r>
      <w:r w:rsidRPr="006B65DE" w:rsidR="00EB6102">
        <w:rPr>
          <w:rFonts w:eastAsiaTheme="minorHAnsi"/>
          <w:b/>
          <w:color w:val="4C94D8" w:themeColor="text2" w:themeTint="80"/>
          <w:kern w:val="2"/>
          <w:lang w:eastAsia="en-US"/>
          <w14:ligatures w14:val="standardContextual"/>
        </w:rPr>
        <w:t xml:space="preserve">sono costituite </w:t>
      </w:r>
      <w:r w:rsidRPr="006B65DE" w:rsidR="00DA71F6">
        <w:rPr>
          <w:rFonts w:eastAsiaTheme="minorHAnsi"/>
          <w:b/>
          <w:color w:val="4C94D8" w:themeColor="text2" w:themeTint="80"/>
          <w:kern w:val="2"/>
          <w:lang w:eastAsia="en-US"/>
          <w14:ligatures w14:val="standardContextual"/>
        </w:rPr>
        <w:t xml:space="preserve">unicamente </w:t>
      </w:r>
      <w:r w:rsidRPr="006B65DE" w:rsidR="00EB6102">
        <w:rPr>
          <w:rFonts w:eastAsiaTheme="minorHAnsi"/>
          <w:b/>
          <w:color w:val="4C94D8" w:themeColor="text2" w:themeTint="80"/>
          <w:kern w:val="2"/>
          <w:lang w:eastAsia="en-US"/>
          <w14:ligatures w14:val="standardContextual"/>
        </w:rPr>
        <w:t>da economie di spesa</w:t>
      </w:r>
      <w:r w:rsidRPr="006B65DE" w:rsidR="00DF398B">
        <w:rPr>
          <w:rFonts w:eastAsiaTheme="minorHAnsi"/>
          <w:b/>
          <w:color w:val="4C94D8" w:themeColor="text2" w:themeTint="80"/>
          <w:kern w:val="2"/>
          <w:lang w:eastAsia="en-US"/>
          <w14:ligatures w14:val="standardContextual"/>
        </w:rPr>
        <w:t xml:space="preserve"> </w:t>
      </w:r>
      <w:r w:rsidRPr="006B65DE" w:rsidR="00A47B72">
        <w:rPr>
          <w:rFonts w:eastAsiaTheme="minorHAnsi"/>
          <w:b/>
          <w:color w:val="4C94D8" w:themeColor="text2" w:themeTint="80"/>
          <w:kern w:val="2"/>
          <w:lang w:eastAsia="en-US"/>
          <w14:ligatures w14:val="standardContextual"/>
        </w:rPr>
        <w:t>accertate</w:t>
      </w:r>
      <w:r w:rsidRPr="006B65DE" w:rsidR="00EF5AF6">
        <w:rPr>
          <w:rFonts w:eastAsiaTheme="minorHAnsi"/>
          <w:b/>
          <w:color w:val="4C94D8" w:themeColor="text2" w:themeTint="80"/>
          <w:kern w:val="2"/>
          <w:lang w:eastAsia="en-US"/>
          <w14:ligatures w14:val="standardContextual"/>
        </w:rPr>
        <w:t xml:space="preserve"> </w:t>
      </w:r>
      <w:r w:rsidRPr="006B65DE" w:rsidR="00D21C1F">
        <w:rPr>
          <w:rFonts w:eastAsiaTheme="minorHAnsi"/>
          <w:b/>
          <w:color w:val="4C94D8" w:themeColor="text2" w:themeTint="80"/>
          <w:kern w:val="2"/>
          <w:lang w:eastAsia="en-US"/>
          <w14:ligatures w14:val="standardContextual"/>
        </w:rPr>
        <w:t>e</w:t>
      </w:r>
      <w:r w:rsidRPr="006B65DE" w:rsidR="00DF398B">
        <w:rPr>
          <w:rFonts w:eastAsiaTheme="minorHAnsi"/>
          <w:b/>
          <w:color w:val="4C94D8" w:themeColor="text2" w:themeTint="80"/>
          <w:kern w:val="2"/>
          <w:lang w:eastAsia="en-US"/>
          <w14:ligatures w14:val="standardContextual"/>
        </w:rPr>
        <w:t>,</w:t>
      </w:r>
      <w:r w:rsidRPr="006B65DE" w:rsidR="00D21C1F">
        <w:rPr>
          <w:rFonts w:eastAsiaTheme="minorHAnsi"/>
          <w:b/>
          <w:color w:val="4C94D8" w:themeColor="text2" w:themeTint="80"/>
          <w:kern w:val="2"/>
          <w:lang w:eastAsia="en-US"/>
          <w14:ligatures w14:val="standardContextual"/>
        </w:rPr>
        <w:t xml:space="preserve"> dunque</w:t>
      </w:r>
      <w:r w:rsidRPr="006B65DE" w:rsidR="00DF398B">
        <w:rPr>
          <w:rFonts w:eastAsiaTheme="minorHAnsi"/>
          <w:b/>
          <w:color w:val="4C94D8" w:themeColor="text2" w:themeTint="80"/>
          <w:kern w:val="2"/>
          <w:lang w:eastAsia="en-US"/>
          <w14:ligatures w14:val="standardContextual"/>
        </w:rPr>
        <w:t>,</w:t>
      </w:r>
      <w:r w:rsidRPr="006B65DE" w:rsidR="00D21C1F">
        <w:rPr>
          <w:rFonts w:eastAsiaTheme="minorHAnsi"/>
          <w:b/>
          <w:color w:val="4C94D8" w:themeColor="text2" w:themeTint="80"/>
          <w:kern w:val="2"/>
          <w:lang w:eastAsia="en-US"/>
          <w14:ligatures w14:val="standardContextual"/>
        </w:rPr>
        <w:t xml:space="preserve"> </w:t>
      </w:r>
      <w:r w:rsidRPr="006B65DE" w:rsidR="00DF398B">
        <w:rPr>
          <w:rFonts w:eastAsiaTheme="minorHAnsi"/>
          <w:b/>
          <w:color w:val="4C94D8" w:themeColor="text2" w:themeTint="80"/>
          <w:kern w:val="2"/>
          <w:lang w:eastAsia="en-US"/>
          <w14:ligatures w14:val="standardContextual"/>
        </w:rPr>
        <w:t>da</w:t>
      </w:r>
      <w:r w:rsidRPr="006B65DE" w:rsidR="00E4688D">
        <w:rPr>
          <w:rFonts w:eastAsiaTheme="minorHAnsi"/>
          <w:b/>
          <w:color w:val="4C94D8" w:themeColor="text2" w:themeTint="80"/>
          <w:kern w:val="2"/>
          <w:lang w:eastAsia="en-US"/>
          <w14:ligatures w14:val="standardContextual"/>
        </w:rPr>
        <w:t xml:space="preserve"> risorse</w:t>
      </w:r>
      <w:r w:rsidRPr="006B65DE" w:rsidR="00DF398B">
        <w:rPr>
          <w:rFonts w:eastAsiaTheme="minorHAnsi"/>
          <w:b/>
          <w:color w:val="4C94D8" w:themeColor="text2" w:themeTint="80"/>
          <w:kern w:val="2"/>
          <w:lang w:eastAsia="en-US"/>
          <w14:ligatures w14:val="standardContextual"/>
        </w:rPr>
        <w:t xml:space="preserve"> </w:t>
      </w:r>
      <w:r w:rsidRPr="006B65DE" w:rsidR="00E4688D">
        <w:rPr>
          <w:rFonts w:eastAsiaTheme="minorHAnsi"/>
          <w:b/>
          <w:color w:val="4C94D8" w:themeColor="text2" w:themeTint="80"/>
          <w:kern w:val="2"/>
          <w:lang w:eastAsia="en-US"/>
          <w14:ligatures w14:val="standardContextual"/>
        </w:rPr>
        <w:t>prive di obbligazioni giuridicamente vincolanti e non destinate al finanziamento di interventi ricompresi nel PNRR</w:t>
      </w:r>
      <w:r w:rsidRPr="006B65DE" w:rsidR="00EF5AF6">
        <w:rPr>
          <w:rFonts w:eastAsiaTheme="minorHAnsi"/>
          <w:b/>
          <w:color w:val="4C94D8" w:themeColor="text2" w:themeTint="80"/>
          <w:kern w:val="2"/>
          <w:lang w:eastAsia="en-US"/>
          <w14:ligatures w14:val="standardContextual"/>
        </w:rPr>
        <w:t>.</w:t>
      </w:r>
      <w:r w:rsidRPr="006B65DE" w:rsidR="00AE1FDF">
        <w:rPr>
          <w:rFonts w:eastAsiaTheme="minorHAnsi"/>
          <w:b/>
          <w:color w:val="4C94D8" w:themeColor="text2" w:themeTint="80"/>
          <w:kern w:val="2"/>
          <w:lang w:eastAsia="en-US"/>
          <w14:ligatures w14:val="standardContextual"/>
        </w:rPr>
        <w:t xml:space="preserve"> </w:t>
      </w:r>
    </w:p>
    <w:p w:rsidR="00190BD7" w:rsidRPr="006B65DE" w:rsidP="002B03F6" w14:paraId="360AC516" w14:textId="00D58D49">
      <w:pPr>
        <w:numPr>
          <w:ilvl w:val="0"/>
          <w:numId w:val="16"/>
        </w:numPr>
        <w:spacing w:after="120"/>
        <w:jc w:val="both"/>
        <w:rPr>
          <w:rFonts w:eastAsiaTheme="minorEastAsia"/>
          <w:color w:val="4C94D8" w:themeColor="text2" w:themeTint="80"/>
          <w:kern w:val="2"/>
          <w:lang w:eastAsia="en-US"/>
          <w14:ligatures w14:val="standardContextual"/>
        </w:rPr>
      </w:pPr>
      <w:r w:rsidRPr="006B65DE">
        <w:rPr>
          <w:rFonts w:eastAsiaTheme="minorEastAsia"/>
          <w:color w:val="4C94D8" w:themeColor="text2" w:themeTint="80"/>
          <w:kern w:val="2"/>
          <w:lang w:eastAsia="en-US"/>
          <w14:ligatures w14:val="standardContextual"/>
        </w:rPr>
        <w:t xml:space="preserve">al </w:t>
      </w:r>
      <w:r w:rsidRPr="006B65DE">
        <w:rPr>
          <w:rFonts w:eastAsiaTheme="minorEastAsia"/>
          <w:b/>
          <w:color w:val="4C94D8" w:themeColor="text2" w:themeTint="80"/>
          <w:kern w:val="2"/>
          <w:u w:val="single"/>
          <w:lang w:eastAsia="en-US"/>
          <w14:ligatures w14:val="standardContextual"/>
        </w:rPr>
        <w:t xml:space="preserve">comma </w:t>
      </w:r>
      <w:r w:rsidRPr="006B65DE" w:rsidR="002B03F6">
        <w:rPr>
          <w:rFonts w:eastAsiaTheme="minorEastAsia"/>
          <w:b/>
          <w:color w:val="4C94D8" w:themeColor="text2" w:themeTint="80"/>
          <w:kern w:val="2"/>
          <w:u w:val="single"/>
          <w:lang w:eastAsia="en-US"/>
          <w14:ligatures w14:val="standardContextual"/>
        </w:rPr>
        <w:t>6</w:t>
      </w:r>
      <w:r w:rsidRPr="006B65DE">
        <w:rPr>
          <w:rFonts w:eastAsiaTheme="minorEastAsia"/>
          <w:color w:val="4C94D8" w:themeColor="text2" w:themeTint="80"/>
          <w:kern w:val="2"/>
          <w:lang w:eastAsia="en-US"/>
          <w14:ligatures w14:val="standardContextual"/>
        </w:rPr>
        <w:t>, l’estensione alle risorse finalizzate all'attuazione del Piano nella disponibilità dei soggetti attuatori degli interventi PNRR, della disciplina dell'articolo 9, comma 13, del decreto-legge n. 152 del 2021, rendendo tali risorse, di conseguenza:</w:t>
      </w:r>
    </w:p>
    <w:p w:rsidR="00190BD7" w:rsidRPr="006B65DE" w:rsidP="002B03F6" w14:paraId="5637A79F" w14:textId="537C8DB1">
      <w:pPr>
        <w:numPr>
          <w:ilvl w:val="0"/>
          <w:numId w:val="17"/>
        </w:numPr>
        <w:spacing w:after="120"/>
        <w:ind w:left="709" w:hanging="283"/>
        <w:jc w:val="both"/>
        <w:rPr>
          <w:color w:val="4C94D8" w:themeColor="text2" w:themeTint="80"/>
        </w:rPr>
      </w:pPr>
      <w:r w:rsidRPr="006B65DE">
        <w:rPr>
          <w:color w:val="4C94D8" w:themeColor="text2" w:themeTint="80"/>
        </w:rPr>
        <w:t>non assoggettabili ad esecuzione forzata;</w:t>
      </w:r>
    </w:p>
    <w:p w:rsidR="00190BD7" w:rsidRPr="006B65DE" w:rsidP="002B03F6" w14:paraId="3026554E" w14:textId="4777CE4E">
      <w:pPr>
        <w:numPr>
          <w:ilvl w:val="0"/>
          <w:numId w:val="17"/>
        </w:numPr>
        <w:spacing w:after="120"/>
        <w:ind w:left="709" w:hanging="283"/>
        <w:jc w:val="both"/>
        <w:rPr>
          <w:color w:val="4C94D8" w:themeColor="text2" w:themeTint="80"/>
        </w:rPr>
      </w:pPr>
      <w:r w:rsidRPr="006B65DE">
        <w:rPr>
          <w:color w:val="4C94D8" w:themeColor="text2" w:themeTint="80"/>
        </w:rPr>
        <w:t>non sequestrabili e non pignorabili, a pena di nullità rilevabile anche d'ufficio.</w:t>
      </w:r>
    </w:p>
    <w:p w:rsidR="00B81E00" w:rsidRPr="006B65DE" w:rsidP="00DF7D84" w14:paraId="25FD9AF9" w14:textId="6A199A62">
      <w:pPr>
        <w:spacing w:after="120"/>
        <w:ind w:left="360"/>
        <w:jc w:val="both"/>
        <w:rPr>
          <w:rFonts w:eastAsiaTheme="minorEastAsia"/>
          <w:color w:val="4C94D8" w:themeColor="text2" w:themeTint="80"/>
          <w:kern w:val="2"/>
          <w:lang w:eastAsia="en-US"/>
          <w14:ligatures w14:val="standardContextual"/>
        </w:rPr>
      </w:pPr>
      <w:r w:rsidRPr="006B65DE">
        <w:rPr>
          <w:rFonts w:eastAsiaTheme="minorEastAsia"/>
          <w:b/>
          <w:color w:val="4C94D8" w:themeColor="text2" w:themeTint="80"/>
          <w:kern w:val="2"/>
          <w:lang w:eastAsia="en-US"/>
          <w14:ligatures w14:val="standardContextual"/>
        </w:rPr>
        <w:t>La disposizione in rassegna non determina nuovi o maggiori oneri a carico della finanza pubblica</w:t>
      </w:r>
      <w:r w:rsidRPr="006B65DE" w:rsidR="00DF7D84">
        <w:rPr>
          <w:rFonts w:eastAsiaTheme="minorEastAsia"/>
          <w:color w:val="4C94D8" w:themeColor="text2" w:themeTint="80"/>
          <w:kern w:val="2"/>
          <w:lang w:eastAsia="en-US"/>
          <w14:ligatures w14:val="standardContextual"/>
        </w:rPr>
        <w:t>;</w:t>
      </w:r>
    </w:p>
    <w:p w:rsidR="004E4A40" w:rsidRPr="006B65DE" w:rsidP="00B304F6" w14:paraId="434A32B3" w14:textId="3A9CFAB0">
      <w:pPr>
        <w:numPr>
          <w:ilvl w:val="0"/>
          <w:numId w:val="18"/>
        </w:numPr>
        <w:spacing w:after="120"/>
        <w:jc w:val="both"/>
        <w:rPr>
          <w:rFonts w:eastAsiaTheme="minorEastAsia"/>
          <w:color w:val="4C94D8" w:themeColor="text2" w:themeTint="80"/>
          <w:kern w:val="2"/>
          <w:lang w:eastAsia="en-US"/>
          <w14:ligatures w14:val="standardContextual"/>
        </w:rPr>
      </w:pPr>
      <w:r w:rsidRPr="006B65DE">
        <w:rPr>
          <w:rFonts w:eastAsiaTheme="minorEastAsia"/>
          <w:b/>
          <w:color w:val="4C94D8" w:themeColor="text2" w:themeTint="80"/>
          <w:kern w:val="2"/>
          <w:lang w:eastAsia="en-US"/>
          <w14:ligatures w14:val="standardContextual"/>
        </w:rPr>
        <w:t xml:space="preserve">al </w:t>
      </w:r>
      <w:r w:rsidRPr="006B65DE">
        <w:rPr>
          <w:rFonts w:eastAsiaTheme="minorEastAsia"/>
          <w:b/>
          <w:color w:val="4C94D8" w:themeColor="text2" w:themeTint="80"/>
          <w:kern w:val="2"/>
          <w:u w:val="single"/>
          <w:lang w:eastAsia="en-US"/>
          <w14:ligatures w14:val="standardContextual"/>
        </w:rPr>
        <w:t xml:space="preserve">comma </w:t>
      </w:r>
      <w:r w:rsidRPr="006B65DE" w:rsidR="00FA52F6">
        <w:rPr>
          <w:rFonts w:eastAsiaTheme="minorEastAsia"/>
          <w:b/>
          <w:color w:val="4C94D8" w:themeColor="text2" w:themeTint="80"/>
          <w:kern w:val="2"/>
          <w:u w:val="single"/>
          <w:lang w:eastAsia="en-US"/>
          <w14:ligatures w14:val="standardContextual"/>
        </w:rPr>
        <w:t>7</w:t>
      </w:r>
      <w:r w:rsidRPr="006B65DE" w:rsidR="002E5476">
        <w:rPr>
          <w:rFonts w:eastAsiaTheme="minorEastAsia"/>
          <w:b/>
          <w:color w:val="4C94D8" w:themeColor="text2" w:themeTint="80"/>
          <w:kern w:val="2"/>
          <w:lang w:eastAsia="en-US"/>
          <w14:ligatures w14:val="standardContextual"/>
        </w:rPr>
        <w:t xml:space="preserve">, </w:t>
      </w:r>
      <w:r w:rsidRPr="006B65DE">
        <w:rPr>
          <w:rFonts w:eastAsiaTheme="minorEastAsia"/>
          <w:color w:val="4C94D8" w:themeColor="text2" w:themeTint="80"/>
          <w:kern w:val="2"/>
          <w:lang w:eastAsia="en-US"/>
          <w14:ligatures w14:val="standardContextual"/>
        </w:rPr>
        <w:t>l’onere in</w:t>
      </w:r>
      <w:r w:rsidRPr="006B65DE">
        <w:rPr>
          <w:rFonts w:eastAsiaTheme="minorEastAsia"/>
          <w:color w:val="4C94D8" w:themeColor="text2" w:themeTint="80"/>
          <w:kern w:val="2"/>
          <w:lang w:eastAsia="en-US"/>
          <w14:ligatures w14:val="standardContextual"/>
        </w:rPr>
        <w:t xml:space="preserve"> capo ai soggetti gestori degli strumenti finanziari attivati nell'ambito del PNRR l’onere di provvedere alle relative attività di monitoraggio, rendicontazione e controllo, assicurando il corretto, efficace e tempestivo utilizzo delle risorse finanziarie assegnate in attuazione dei rispettivi accordi di finanziamento</w:t>
      </w:r>
      <w:r w:rsidRPr="006B65DE">
        <w:rPr>
          <w:rFonts w:eastAsiaTheme="minorEastAsia"/>
          <w:color w:val="4C94D8" w:themeColor="text2" w:themeTint="80"/>
          <w:kern w:val="2"/>
          <w:lang w:eastAsia="en-US"/>
          <w14:ligatures w14:val="standardContextual"/>
        </w:rPr>
        <w:t>;</w:t>
      </w:r>
    </w:p>
    <w:p w:rsidR="00B304F6" w:rsidRPr="006B65DE" w:rsidP="00B304F6" w14:paraId="6622698E" w14:textId="28019071">
      <w:pPr>
        <w:spacing w:after="120"/>
        <w:ind w:left="360"/>
        <w:jc w:val="both"/>
        <w:rPr>
          <w:rFonts w:eastAsiaTheme="minorEastAsia"/>
          <w:color w:val="4C94D8" w:themeColor="text2" w:themeTint="80"/>
          <w:kern w:val="2"/>
          <w:lang w:eastAsia="en-US"/>
          <w14:ligatures w14:val="standardContextual"/>
        </w:rPr>
      </w:pPr>
      <w:r w:rsidRPr="006B65DE">
        <w:rPr>
          <w:rFonts w:eastAsiaTheme="minorEastAsia"/>
          <w:b/>
          <w:color w:val="4C94D8" w:themeColor="text2" w:themeTint="80"/>
          <w:kern w:val="2"/>
          <w:lang w:eastAsia="en-US"/>
          <w14:ligatures w14:val="standardContextual"/>
        </w:rPr>
        <w:t>La disposizione in rassegna non determina nuovi o maggiori oneri a carico della finanza pubblica</w:t>
      </w:r>
      <w:r w:rsidRPr="006B65DE">
        <w:rPr>
          <w:rFonts w:eastAsiaTheme="minorEastAsia"/>
          <w:color w:val="4C94D8" w:themeColor="text2" w:themeTint="80"/>
          <w:kern w:val="2"/>
          <w:lang w:eastAsia="en-US"/>
          <w14:ligatures w14:val="standardContextual"/>
        </w:rPr>
        <w:t>;</w:t>
      </w:r>
    </w:p>
    <w:p w:rsidR="005B0716" w:rsidRPr="006B65DE" w:rsidP="00A42770" w14:paraId="5475F75A" w14:textId="577D698C">
      <w:pPr>
        <w:numPr>
          <w:ilvl w:val="0"/>
          <w:numId w:val="18"/>
        </w:numPr>
        <w:spacing w:after="120"/>
        <w:jc w:val="both"/>
        <w:rPr>
          <w:rFonts w:eastAsiaTheme="minorHAnsi"/>
          <w:color w:val="4C94D8" w:themeColor="text2" w:themeTint="80"/>
          <w:kern w:val="2"/>
          <w:lang w:eastAsia="en-US"/>
          <w14:ligatures w14:val="standardContextual"/>
        </w:rPr>
      </w:pPr>
      <w:r w:rsidRPr="006B65DE">
        <w:rPr>
          <w:rFonts w:eastAsiaTheme="minorHAnsi"/>
          <w:color w:val="4C94D8" w:themeColor="text2" w:themeTint="80"/>
          <w:kern w:val="2"/>
          <w:lang w:eastAsia="en-US"/>
          <w14:ligatures w14:val="standardContextual"/>
        </w:rPr>
        <w:t xml:space="preserve">al </w:t>
      </w:r>
      <w:r w:rsidRPr="006B65DE">
        <w:rPr>
          <w:rFonts w:eastAsiaTheme="minorHAnsi"/>
          <w:b/>
          <w:color w:val="4C94D8" w:themeColor="text2" w:themeTint="80"/>
          <w:kern w:val="2"/>
          <w:u w:val="single"/>
          <w:lang w:eastAsia="en-US"/>
          <w14:ligatures w14:val="standardContextual"/>
        </w:rPr>
        <w:t xml:space="preserve">comma </w:t>
      </w:r>
      <w:r w:rsidRPr="006B65DE" w:rsidR="00B73104">
        <w:rPr>
          <w:rFonts w:eastAsiaTheme="minorHAnsi"/>
          <w:b/>
          <w:color w:val="4C94D8" w:themeColor="text2" w:themeTint="80"/>
          <w:kern w:val="2"/>
          <w:u w:val="single"/>
          <w:lang w:eastAsia="en-US"/>
          <w14:ligatures w14:val="standardContextual"/>
        </w:rPr>
        <w:t>8</w:t>
      </w:r>
      <w:r w:rsidRPr="006B65DE">
        <w:rPr>
          <w:rFonts w:eastAsiaTheme="minorHAnsi"/>
          <w:color w:val="4C94D8" w:themeColor="text2" w:themeTint="80"/>
          <w:kern w:val="2"/>
          <w:lang w:eastAsia="en-US"/>
          <w14:ligatures w14:val="standardContextual"/>
        </w:rPr>
        <w:t xml:space="preserve">, l’onere di supervisionare, da parte delle Amministrazioni centrali titolari delle misure PNRR realizzate attraverso gli strumenti finanziari, l'espletamento degli adempimenti di cui al comma </w:t>
      </w:r>
      <w:r w:rsidRPr="006B65DE" w:rsidR="002E5476">
        <w:rPr>
          <w:rFonts w:eastAsiaTheme="minorHAnsi"/>
          <w:color w:val="4C94D8" w:themeColor="text2" w:themeTint="80"/>
          <w:kern w:val="2"/>
          <w:lang w:eastAsia="en-US"/>
          <w14:ligatures w14:val="standardContextual"/>
        </w:rPr>
        <w:t>7</w:t>
      </w:r>
      <w:r w:rsidRPr="006B65DE">
        <w:rPr>
          <w:rFonts w:eastAsiaTheme="minorHAnsi"/>
          <w:color w:val="4C94D8" w:themeColor="text2" w:themeTint="80"/>
          <w:kern w:val="2"/>
          <w:lang w:eastAsia="en-US"/>
          <w14:ligatures w14:val="standardContextual"/>
        </w:rPr>
        <w:t xml:space="preserve"> a carico dei soggetti gestori, aggiornando i relativi dati sul sistema Regis anche oltre il 31 dicembre 2026 e fino alla completa realizzazione degli interventi finanziati.</w:t>
      </w:r>
    </w:p>
    <w:p w:rsidR="005B0716" w:rsidRPr="006B65DE" w:rsidP="005B0716" w14:paraId="4C9F0805" w14:textId="6A42120D">
      <w:pPr>
        <w:spacing w:after="120"/>
        <w:ind w:left="360"/>
        <w:jc w:val="both"/>
        <w:rPr>
          <w:rFonts w:eastAsiaTheme="minorHAnsi"/>
          <w:b/>
          <w:color w:val="4C94D8" w:themeColor="text2" w:themeTint="80"/>
          <w:kern w:val="2"/>
          <w:lang w:eastAsia="en-US"/>
          <w14:ligatures w14:val="standardContextual"/>
        </w:rPr>
      </w:pPr>
      <w:r w:rsidRPr="006B65DE">
        <w:rPr>
          <w:rFonts w:eastAsiaTheme="minorHAnsi"/>
          <w:b/>
          <w:color w:val="4C94D8" w:themeColor="text2" w:themeTint="80"/>
          <w:kern w:val="2"/>
          <w:lang w:eastAsia="en-US"/>
          <w14:ligatures w14:val="standardContextual"/>
        </w:rPr>
        <w:t>Anche la norma in rassegna presenta un contenuto ordinamentale, senza comportare nuovi o maggiori oneri a carico della finanza pubblica</w:t>
      </w:r>
      <w:r w:rsidRPr="006B65DE" w:rsidR="008C3920">
        <w:rPr>
          <w:rFonts w:eastAsiaTheme="minorHAnsi"/>
          <w:b/>
          <w:color w:val="4C94D8" w:themeColor="text2" w:themeTint="80"/>
          <w:kern w:val="2"/>
          <w:lang w:eastAsia="en-US"/>
          <w14:ligatures w14:val="standardContextual"/>
        </w:rPr>
        <w:t>;</w:t>
      </w:r>
      <w:r w:rsidRPr="006B65DE">
        <w:rPr>
          <w:rFonts w:eastAsiaTheme="minorHAnsi"/>
          <w:b/>
          <w:color w:val="4C94D8" w:themeColor="text2" w:themeTint="80"/>
          <w:kern w:val="2"/>
          <w:lang w:eastAsia="en-US"/>
          <w14:ligatures w14:val="standardContextual"/>
        </w:rPr>
        <w:t xml:space="preserve"> </w:t>
      </w:r>
    </w:p>
    <w:p w:rsidR="005B0716" w:rsidRPr="006B65DE" w:rsidP="00A42770" w14:paraId="0C0376DF" w14:textId="356C303E">
      <w:pPr>
        <w:numPr>
          <w:ilvl w:val="0"/>
          <w:numId w:val="18"/>
        </w:numPr>
        <w:spacing w:after="120"/>
        <w:jc w:val="both"/>
        <w:rPr>
          <w:rFonts w:eastAsiaTheme="minorHAnsi"/>
          <w:color w:val="4C94D8" w:themeColor="text2" w:themeTint="80"/>
          <w:kern w:val="2"/>
          <w:lang w:eastAsia="en-US"/>
          <w14:ligatures w14:val="standardContextual"/>
        </w:rPr>
      </w:pPr>
      <w:r w:rsidRPr="006B65DE">
        <w:rPr>
          <w:rFonts w:eastAsiaTheme="minorHAnsi"/>
          <w:color w:val="4C94D8" w:themeColor="text2" w:themeTint="80"/>
          <w:kern w:val="2"/>
          <w:lang w:eastAsia="en-US"/>
          <w14:ligatures w14:val="standardContextual"/>
        </w:rPr>
        <w:t xml:space="preserve">al </w:t>
      </w:r>
      <w:r w:rsidRPr="006B65DE">
        <w:rPr>
          <w:rFonts w:eastAsiaTheme="minorHAnsi"/>
          <w:b/>
          <w:color w:val="4C94D8" w:themeColor="text2" w:themeTint="80"/>
          <w:kern w:val="2"/>
          <w:u w:val="single"/>
          <w:lang w:eastAsia="en-US"/>
          <w14:ligatures w14:val="standardContextual"/>
        </w:rPr>
        <w:t xml:space="preserve">comma </w:t>
      </w:r>
      <w:r w:rsidRPr="006B65DE" w:rsidR="00B73104">
        <w:rPr>
          <w:rFonts w:eastAsiaTheme="minorHAnsi"/>
          <w:b/>
          <w:color w:val="4C94D8" w:themeColor="text2" w:themeTint="80"/>
          <w:kern w:val="2"/>
          <w:u w:val="single"/>
          <w:lang w:eastAsia="en-US"/>
          <w14:ligatures w14:val="standardContextual"/>
        </w:rPr>
        <w:t>9</w:t>
      </w:r>
      <w:r w:rsidRPr="006B65DE">
        <w:rPr>
          <w:rFonts w:eastAsiaTheme="minorHAnsi"/>
          <w:color w:val="4C94D8" w:themeColor="text2" w:themeTint="80"/>
          <w:kern w:val="2"/>
          <w:lang w:eastAsia="en-US"/>
          <w14:ligatures w14:val="standardContextual"/>
        </w:rPr>
        <w:t>, l’obbligo di recupero delle risorse rimaste in tutto o in parte inutilizzate a causa della mancata o parziale realizzazione degli interventi, ovvero dell’indebito o mancato utilizzo delle risorse medesime, da parte delle Amministrazioni centrali titolare delle misure.</w:t>
      </w:r>
    </w:p>
    <w:p w:rsidR="005B0716" w:rsidRPr="006B65DE" w:rsidP="005B0716" w14:paraId="7BF3EE53" w14:textId="42F68CC7">
      <w:pPr>
        <w:spacing w:after="120"/>
        <w:ind w:left="360"/>
        <w:jc w:val="both"/>
        <w:rPr>
          <w:rFonts w:eastAsiaTheme="minorHAnsi"/>
          <w:color w:val="4C94D8" w:themeColor="text2" w:themeTint="80"/>
          <w:kern w:val="2"/>
          <w:lang w:eastAsia="en-US"/>
          <w14:ligatures w14:val="standardContextual"/>
        </w:rPr>
      </w:pPr>
      <w:r w:rsidRPr="006B65DE">
        <w:rPr>
          <w:rFonts w:eastAsiaTheme="minorHAnsi"/>
          <w:b/>
          <w:color w:val="4C94D8" w:themeColor="text2" w:themeTint="80"/>
          <w:kern w:val="2"/>
          <w:lang w:eastAsia="en-US"/>
          <w14:ligatures w14:val="standardContextual"/>
        </w:rPr>
        <w:t>Le previsioni contenute nel comma in rassegna presentano natura meramente ordinamentale e non determinano nuovi o maggiori oneri a carico della finanza pubblica;</w:t>
      </w:r>
    </w:p>
    <w:p w:rsidR="005B0716" w:rsidRPr="006B65DE" w:rsidP="00A42770" w14:paraId="580AD186" w14:textId="558A8471">
      <w:pPr>
        <w:numPr>
          <w:ilvl w:val="0"/>
          <w:numId w:val="18"/>
        </w:numPr>
        <w:spacing w:after="120"/>
        <w:jc w:val="both"/>
        <w:rPr>
          <w:rFonts w:eastAsiaTheme="minorHAnsi"/>
          <w:color w:val="4C94D8" w:themeColor="text2" w:themeTint="80"/>
          <w:kern w:val="2"/>
          <w:lang w:eastAsia="en-US"/>
          <w14:ligatures w14:val="standardContextual"/>
        </w:rPr>
      </w:pPr>
      <w:r w:rsidRPr="006B65DE">
        <w:rPr>
          <w:rFonts w:eastAsiaTheme="minorHAnsi"/>
          <w:color w:val="4C94D8" w:themeColor="text2" w:themeTint="80"/>
          <w:kern w:val="2"/>
          <w:lang w:eastAsia="en-US"/>
          <w14:ligatures w14:val="standardContextual"/>
        </w:rPr>
        <w:t xml:space="preserve">al </w:t>
      </w:r>
      <w:r w:rsidRPr="006B65DE">
        <w:rPr>
          <w:rFonts w:eastAsiaTheme="minorHAnsi"/>
          <w:b/>
          <w:color w:val="4C94D8" w:themeColor="text2" w:themeTint="80"/>
          <w:kern w:val="2"/>
          <w:u w:val="single"/>
          <w:lang w:eastAsia="en-US"/>
          <w14:ligatures w14:val="standardContextual"/>
        </w:rPr>
        <w:t xml:space="preserve">comma </w:t>
      </w:r>
      <w:r w:rsidRPr="006B65DE" w:rsidR="00B73104">
        <w:rPr>
          <w:rFonts w:eastAsiaTheme="minorHAnsi"/>
          <w:b/>
          <w:color w:val="4C94D8" w:themeColor="text2" w:themeTint="80"/>
          <w:kern w:val="2"/>
          <w:u w:val="single"/>
          <w:lang w:eastAsia="en-US"/>
          <w14:ligatures w14:val="standardContextual"/>
        </w:rPr>
        <w:t>10</w:t>
      </w:r>
      <w:r w:rsidRPr="006B65DE">
        <w:rPr>
          <w:rFonts w:eastAsiaTheme="minorHAnsi"/>
          <w:color w:val="4C94D8" w:themeColor="text2" w:themeTint="80"/>
          <w:kern w:val="2"/>
          <w:lang w:eastAsia="en-US"/>
          <w14:ligatures w14:val="standardContextual"/>
        </w:rPr>
        <w:t xml:space="preserve">, il ricorso alle procedure delineate al comma 3 nell’ipotesi di riprogrammazione delle eventuali risorse rimaste inutilizzate presso i soggetti gestori. </w:t>
      </w:r>
    </w:p>
    <w:p w:rsidR="00406921" w:rsidRPr="006B65DE" w:rsidP="005B0716" w14:paraId="6C9B324D" w14:textId="52BF904B">
      <w:pPr>
        <w:spacing w:after="120"/>
        <w:ind w:left="360"/>
        <w:jc w:val="both"/>
        <w:rPr>
          <w:rFonts w:eastAsiaTheme="minorHAnsi"/>
          <w:b/>
          <w:strike/>
          <w:color w:val="4C94D8" w:themeColor="text2" w:themeTint="80"/>
          <w:kern w:val="2"/>
          <w:lang w:eastAsia="en-US"/>
          <w14:ligatures w14:val="standardContextual"/>
        </w:rPr>
      </w:pPr>
      <w:r w:rsidRPr="006B65DE">
        <w:rPr>
          <w:b/>
          <w:color w:val="4C94D8" w:themeColor="text2" w:themeTint="80"/>
        </w:rPr>
        <w:t>Il comma in esame non comporta nuovi o più gravosi oneri a carico della finanza pubblica.</w:t>
      </w:r>
    </w:p>
    <w:p w:rsidR="00C429B1" w:rsidRPr="00452E0E" w:rsidP="00461703" w14:paraId="463C0764" w14:textId="316C7214">
      <w:pPr>
        <w:spacing w:after="120"/>
        <w:jc w:val="both"/>
        <w:rPr>
          <w:color w:val="FF0000"/>
        </w:rPr>
      </w:pPr>
      <w:r w:rsidRPr="00452E0E">
        <w:rPr>
          <w:color w:val="FF0000"/>
        </w:rPr>
        <w:t xml:space="preserve">Quanto, infine, al </w:t>
      </w:r>
      <w:r w:rsidRPr="00452E0E">
        <w:rPr>
          <w:b/>
          <w:color w:val="FF0000"/>
          <w:u w:val="single"/>
        </w:rPr>
        <w:t>comma</w:t>
      </w:r>
      <w:r w:rsidRPr="00452E0E" w:rsidR="00187C14">
        <w:rPr>
          <w:b/>
          <w:color w:val="FF0000"/>
          <w:u w:val="single"/>
        </w:rPr>
        <w:t xml:space="preserve"> 11</w:t>
      </w:r>
      <w:r w:rsidRPr="00452E0E" w:rsidR="00461703">
        <w:rPr>
          <w:color w:val="FF0000"/>
        </w:rPr>
        <w:t xml:space="preserve">, </w:t>
      </w:r>
      <w:r w:rsidRPr="00452E0E" w:rsidR="00917C85">
        <w:rPr>
          <w:color w:val="FF0000"/>
        </w:rPr>
        <w:t xml:space="preserve">le previsioni ivi contenute intervengono </w:t>
      </w:r>
      <w:r w:rsidRPr="00452E0E" w:rsidR="00461703">
        <w:rPr>
          <w:color w:val="FF0000"/>
        </w:rPr>
        <w:t>sull’articolo 24, comma 2, del decreto-legge n. 34</w:t>
      </w:r>
      <w:r w:rsidRPr="00452E0E" w:rsidR="005A4E52">
        <w:rPr>
          <w:color w:val="FF0000"/>
        </w:rPr>
        <w:t xml:space="preserve"> del 2023</w:t>
      </w:r>
      <w:r w:rsidRPr="00452E0E" w:rsidR="00461703">
        <w:rPr>
          <w:color w:val="FF0000"/>
        </w:rPr>
        <w:t xml:space="preserve">, con l’obiettivo di </w:t>
      </w:r>
      <w:r w:rsidRPr="00452E0E" w:rsidR="00461703">
        <w:rPr>
          <w:b/>
          <w:color w:val="FF0000"/>
        </w:rPr>
        <w:t>semplificare e razionalizzare le procedure di erogazione del Fondo per le vittime dell’amianto</w:t>
      </w:r>
      <w:r w:rsidRPr="00452E0E" w:rsidR="00461703">
        <w:rPr>
          <w:color w:val="FF0000"/>
        </w:rPr>
        <w:t>, garantendo al contempo la continuità dei procedimenti amministrativi già avviati, la certezza giuridica per i soggetti interessati e l’adeguamento della disciplina nazionale ai rilievi formulati informalmente in sede europea, rafforzandone la coerenza con i principi di trasparenza, neutralità economica e non selettività.</w:t>
      </w:r>
    </w:p>
    <w:p w:rsidR="005F2848" w:rsidRPr="00452E0E" w:rsidP="005F2848" w14:paraId="0DA132FC" w14:textId="6E85BEE3">
      <w:pPr>
        <w:spacing w:after="120" w:line="259" w:lineRule="auto"/>
        <w:jc w:val="both"/>
        <w:rPr>
          <w:rFonts w:eastAsia="Calibri"/>
          <w:b/>
          <w:color w:val="FF0000"/>
          <w:kern w:val="2"/>
          <w:lang w:eastAsia="en-US"/>
          <w14:ligatures w14:val="standardContextual"/>
        </w:rPr>
      </w:pPr>
      <w:r w:rsidRPr="00452E0E">
        <w:rPr>
          <w:rFonts w:eastAsia="Calibri"/>
          <w:b/>
          <w:color w:val="FF0000"/>
          <w:kern w:val="2"/>
          <w:lang w:eastAsia="en-US"/>
          <w14:ligatures w14:val="standardContextual"/>
        </w:rPr>
        <w:t>La disposizione in rassegna non comporta nuovi o maggiori oneri a carico della finanza pubblica, non incidendo sulla dotazione del Fondo, fissata in 20 milioni di euro per ciascuno degli anni 2023, 2024, 2025 e 2026. Essa si limita infatti a precisare i criteri soggettivi e le priorità di utilizzo delle risorse già stanziate, lasciando inalterato il quadro finanziario vigente.</w:t>
      </w:r>
    </w:p>
    <w:p w:rsidR="005F2848" w:rsidRPr="00452E0E" w:rsidP="005F2848" w14:paraId="7C2DB6C0" w14:textId="03D0AF61">
      <w:pPr>
        <w:spacing w:after="120" w:line="259" w:lineRule="auto"/>
        <w:jc w:val="both"/>
        <w:rPr>
          <w:rFonts w:eastAsia="Calibri"/>
          <w:color w:val="FF0000"/>
          <w:kern w:val="2"/>
          <w:lang w:eastAsia="en-US"/>
          <w14:ligatures w14:val="standardContextual"/>
        </w:rPr>
      </w:pPr>
      <w:r w:rsidRPr="00452E0E">
        <w:rPr>
          <w:rFonts w:eastAsia="Calibri"/>
          <w:color w:val="FF0000"/>
          <w:kern w:val="2"/>
          <w:lang w:eastAsia="en-US"/>
          <w14:ligatures w14:val="standardContextual"/>
        </w:rPr>
        <w:t>La disciplina dei residui introdotta dai nuovi commi non determina l’insorgenza di nuovi diritti soggettivi, ma si limita a precisare l’ordine di priorità nell’utilizzo delle risorse già stanziate, garantendo l’invarianza finanziaria della misura; vale a dire, non introduce nuovi obblighi giuridici, ma definisce un ordine di destinazione delle risorse eventualmente non utilizzate all’esito dei pagamenti relativi agli esercizi 2023</w:t>
      </w:r>
      <w:r w:rsidRPr="00452E0E" w:rsidR="00361267">
        <w:rPr>
          <w:rFonts w:eastAsia="Calibri"/>
          <w:color w:val="FF0000"/>
          <w:kern w:val="2"/>
          <w:lang w:eastAsia="en-US"/>
          <w14:ligatures w14:val="standardContextual"/>
        </w:rPr>
        <w:t>,</w:t>
      </w:r>
      <w:r w:rsidRPr="00452E0E">
        <w:rPr>
          <w:rFonts w:eastAsia="Calibri"/>
          <w:color w:val="FF0000"/>
          <w:kern w:val="2"/>
          <w:lang w:eastAsia="en-US"/>
          <w14:ligatures w14:val="standardContextual"/>
        </w:rPr>
        <w:t xml:space="preserve"> 2024</w:t>
      </w:r>
      <w:r w:rsidRPr="00452E0E" w:rsidR="00361267">
        <w:rPr>
          <w:rFonts w:eastAsia="Calibri"/>
          <w:color w:val="FF0000"/>
          <w:kern w:val="2"/>
          <w:lang w:eastAsia="en-US"/>
          <w14:ligatures w14:val="standardContextual"/>
        </w:rPr>
        <w:t xml:space="preserve"> e 2025</w:t>
      </w:r>
      <w:r w:rsidRPr="00452E0E">
        <w:rPr>
          <w:rFonts w:eastAsia="Calibri"/>
          <w:color w:val="FF0000"/>
          <w:kern w:val="2"/>
          <w:lang w:eastAsia="en-US"/>
          <w14:ligatures w14:val="standardContextual"/>
        </w:rPr>
        <w:t>, nel rispetto del limite di spesa annualmente autorizzato.</w:t>
      </w:r>
    </w:p>
    <w:p w:rsidR="005F2848" w:rsidRPr="00452E0E" w:rsidP="005A4E52" w14:paraId="00C8CF5A" w14:textId="1F118B20">
      <w:pPr>
        <w:spacing w:after="120"/>
        <w:jc w:val="both"/>
        <w:rPr>
          <w:rFonts w:eastAsia="Calibri"/>
          <w:color w:val="FF0000"/>
          <w:kern w:val="2"/>
          <w:lang w:eastAsia="en-US"/>
          <w14:ligatures w14:val="standardContextual"/>
        </w:rPr>
      </w:pPr>
      <w:r w:rsidRPr="00452E0E">
        <w:rPr>
          <w:rFonts w:eastAsia="Calibri"/>
          <w:b/>
          <w:color w:val="FF0000"/>
          <w:kern w:val="2"/>
          <w:lang w:eastAsia="en-US"/>
          <w14:ligatures w14:val="standardContextual"/>
        </w:rPr>
        <w:t>Ne consegue che la disposizione in rassegna è totalmente neutr</w:t>
      </w:r>
      <w:r w:rsidRPr="00452E0E" w:rsidR="008058CD">
        <w:rPr>
          <w:rFonts w:eastAsia="Calibri"/>
          <w:b/>
          <w:color w:val="FF0000"/>
          <w:kern w:val="2"/>
          <w:lang w:eastAsia="en-US"/>
          <w14:ligatures w14:val="standardContextual"/>
        </w:rPr>
        <w:t>a</w:t>
      </w:r>
      <w:r w:rsidRPr="00452E0E">
        <w:rPr>
          <w:rFonts w:eastAsia="Calibri"/>
          <w:b/>
          <w:color w:val="FF0000"/>
          <w:kern w:val="2"/>
          <w:lang w:eastAsia="en-US"/>
          <w14:ligatures w14:val="standardContextual"/>
        </w:rPr>
        <w:t xml:space="preserve"> sotto il profilo finanziario e non richiede alcuna copertura.</w:t>
      </w:r>
      <w:r w:rsidRPr="00452E0E">
        <w:rPr>
          <w:rFonts w:eastAsia="Calibri"/>
          <w:color w:val="FF0000"/>
          <w:kern w:val="2"/>
          <w:lang w:eastAsia="en-US"/>
          <w14:ligatures w14:val="standardContextual"/>
        </w:rPr>
        <w:t xml:space="preserve"> L’attuazione avverrà nel rispetto del limite delle risorse disponibili attraverso eventuale aggiornamento del decreto interministeriale già previsto dall’articolo 23, comma 2, terzo periodo e del decreto di cui all’articolo 1, comma 204, della legge n. 213</w:t>
      </w:r>
      <w:r w:rsidRPr="00452E0E" w:rsidR="00745968">
        <w:rPr>
          <w:rFonts w:eastAsia="Calibri"/>
          <w:color w:val="FF0000"/>
          <w:kern w:val="2"/>
          <w:lang w:eastAsia="en-US"/>
          <w14:ligatures w14:val="standardContextual"/>
        </w:rPr>
        <w:t xml:space="preserve"> del 2023</w:t>
      </w:r>
      <w:r w:rsidRPr="00452E0E">
        <w:rPr>
          <w:rFonts w:eastAsia="Calibri"/>
          <w:color w:val="FF0000"/>
          <w:kern w:val="2"/>
          <w:lang w:eastAsia="en-US"/>
          <w14:ligatures w14:val="standardContextual"/>
        </w:rPr>
        <w:t>, senza determinare effetti sul fabbisogno o sull’indebitamento netto della pubblica amministrazione.</w:t>
      </w:r>
    </w:p>
    <w:p w:rsidR="00917C85" w:rsidRPr="00917C85" w:rsidP="00917C85" w14:paraId="16461F72" w14:textId="77777777">
      <w:pPr>
        <w:spacing w:after="120"/>
        <w:jc w:val="both"/>
      </w:pPr>
    </w:p>
    <w:p w:rsidR="00B937C7" w:rsidRPr="004C0573" w:rsidP="00B937C7" w14:paraId="7D1F3438" w14:textId="60C34311">
      <w:pPr>
        <w:pStyle w:val="Heading3"/>
      </w:pPr>
      <w:bookmarkStart w:id="87" w:name="_Toc213844856"/>
      <w:bookmarkStart w:id="88" w:name="_Toc217379874"/>
      <w:bookmarkStart w:id="89" w:name="_Toc220077574"/>
      <w:r w:rsidRPr="004C0573">
        <w:t xml:space="preserve">ART. </w:t>
      </w:r>
      <w:r w:rsidRPr="004C0573" w:rsidR="00A702C8">
        <w:t>3</w:t>
      </w:r>
      <w:r w:rsidR="00B87A48">
        <w:t>1</w:t>
      </w:r>
      <w:r w:rsidRPr="004C0573" w:rsidR="00BA5C30">
        <w:rPr>
          <w:color w:val="00B050"/>
        </w:rPr>
        <w:t xml:space="preserve">                                                               </w:t>
      </w:r>
      <w:r w:rsidRPr="004C0573" w:rsidR="004461A7">
        <w:rPr>
          <w:color w:val="00B050"/>
        </w:rPr>
        <w:t xml:space="preserve">                                                                                                                                           </w:t>
      </w:r>
      <w:r w:rsidRPr="004C0573" w:rsidR="004461A7">
        <w:rPr>
          <w:color w:val="00B050"/>
        </w:rPr>
        <w:t xml:space="preserve">   </w:t>
      </w:r>
      <w:bookmarkEnd w:id="85"/>
      <w:bookmarkEnd w:id="86"/>
      <w:bookmarkEnd w:id="87"/>
      <w:r w:rsidRPr="004C0573">
        <w:t>(</w:t>
      </w:r>
      <w:r w:rsidRPr="004C0573">
        <w:t>Clausola di salvaguardia)</w:t>
      </w:r>
      <w:bookmarkEnd w:id="88"/>
      <w:bookmarkEnd w:id="89"/>
    </w:p>
    <w:p w:rsidR="0098320A" w:rsidRPr="00987C41" w:rsidP="00FA029E" w14:paraId="17894331" w14:textId="64A304E8">
      <w:pPr>
        <w:shd w:val="clear" w:color="auto" w:fill="FFFFFF" w:themeFill="background1"/>
        <w:spacing w:after="120"/>
        <w:jc w:val="both"/>
        <w:rPr>
          <w:b/>
          <w:lang w:eastAsia="en-US"/>
        </w:rPr>
      </w:pPr>
      <w:r w:rsidRPr="004C0573">
        <w:t>1.</w:t>
      </w:r>
      <w:r w:rsidRPr="004C0573">
        <w:rPr>
          <w:b/>
          <w:bCs/>
        </w:rPr>
        <w:t xml:space="preserve"> </w:t>
      </w:r>
      <w:r w:rsidRPr="004C0573">
        <w:t xml:space="preserve">La disposizione chiarisce l'ambito territoriale di applicazione del decreto, prevedendo che le relative norme operino anche nelle regioni a statuto speciale e nelle province autonome di Trento e di </w:t>
      </w:r>
      <w:r w:rsidRPr="00B92B4E">
        <w:rPr>
          <w:shd w:val="clear" w:color="auto" w:fill="FFFFFF" w:themeFill="background1"/>
        </w:rPr>
        <w:t>Bolzano</w:t>
      </w:r>
      <w:r w:rsidRPr="00B92B4E" w:rsidR="00FA029E">
        <w:rPr>
          <w:shd w:val="clear" w:color="auto" w:fill="FFFFFF" w:themeFill="background1"/>
        </w:rPr>
        <w:t xml:space="preserve">. </w:t>
      </w:r>
      <w:r w:rsidRPr="00FF6ED8">
        <w:rPr>
          <w:b/>
          <w:bCs/>
          <w:lang w:eastAsia="en-US"/>
        </w:rPr>
        <w:t>La</w:t>
      </w:r>
      <w:r w:rsidRPr="00B92B4E">
        <w:rPr>
          <w:b/>
          <w:shd w:val="clear" w:color="auto" w:fill="FFFFFF" w:themeFill="background1"/>
          <w:lang w:eastAsia="en-US"/>
        </w:rPr>
        <w:t xml:space="preserve"> disposizione</w:t>
      </w:r>
      <w:r w:rsidRPr="004C0573">
        <w:rPr>
          <w:b/>
          <w:bCs/>
          <w:lang w:eastAsia="en-US"/>
        </w:rPr>
        <w:t xml:space="preserve"> ha carattere ordinamentale e, pertanto, non determina nuovi o maggiori oneri a carico della finanza pubblica.</w:t>
      </w:r>
    </w:p>
    <w:p w:rsidR="00B937C7" w:rsidRPr="00987C41" w:rsidP="00987C41" w14:paraId="596EBCB3" w14:textId="77777777">
      <w:pPr>
        <w:spacing w:after="120"/>
      </w:pPr>
    </w:p>
    <w:p w:rsidR="004461A7" w:rsidRPr="00987C41" w:rsidP="00987C41" w14:paraId="771372F7" w14:textId="5839AC7E">
      <w:pPr>
        <w:pStyle w:val="Heading3"/>
        <w:spacing w:before="0" w:after="120"/>
        <w:rPr>
          <w:rFonts w:cs="Times New Roman"/>
        </w:rPr>
      </w:pPr>
      <w:bookmarkStart w:id="90" w:name="_Toc220077575"/>
      <w:r w:rsidRPr="00987C41">
        <w:rPr>
          <w:rFonts w:cs="Times New Roman"/>
        </w:rPr>
        <w:t xml:space="preserve">ART. </w:t>
      </w:r>
      <w:r w:rsidR="00A702C8">
        <w:rPr>
          <w:rFonts w:cs="Times New Roman"/>
        </w:rPr>
        <w:t>3</w:t>
      </w:r>
      <w:r w:rsidR="00B87A48">
        <w:rPr>
          <w:rFonts w:cs="Times New Roman"/>
        </w:rPr>
        <w:t>2</w:t>
      </w:r>
      <w:r w:rsidRPr="00987C41">
        <w:rPr>
          <w:rFonts w:cs="Times New Roman"/>
        </w:rPr>
        <w:t xml:space="preserve"> </w:t>
      </w:r>
      <w:r w:rsidRPr="00987C41" w:rsidR="00BA5C30">
        <w:rPr>
          <w:rFonts w:cs="Times New Roman"/>
        </w:rPr>
        <w:t xml:space="preserve">                                                               </w:t>
      </w:r>
      <w:r w:rsidRPr="00987C41">
        <w:rPr>
          <w:rFonts w:cs="Times New Roman"/>
        </w:rPr>
        <w:t xml:space="preserve">                                                                                                                                             </w:t>
      </w:r>
      <w:r w:rsidRPr="00987C41">
        <w:rPr>
          <w:rFonts w:cs="Times New Roman"/>
        </w:rPr>
        <w:t xml:space="preserve">   </w:t>
      </w:r>
      <w:bookmarkStart w:id="91" w:name="_Toc1473225694"/>
      <w:r w:rsidRPr="00987C41">
        <w:rPr>
          <w:rFonts w:cs="Times New Roman"/>
        </w:rPr>
        <w:t>(</w:t>
      </w:r>
      <w:r w:rsidRPr="00987C41">
        <w:rPr>
          <w:rFonts w:cs="Times New Roman"/>
        </w:rPr>
        <w:t>Entrata in vigore)</w:t>
      </w:r>
      <w:bookmarkEnd w:id="90"/>
      <w:bookmarkEnd w:id="91"/>
    </w:p>
    <w:p w:rsidR="00AE352D" w:rsidRPr="00987C41" w:rsidP="00685A8D" w14:paraId="48451249" w14:textId="0041DF42">
      <w:pPr>
        <w:spacing w:after="120"/>
        <w:jc w:val="both"/>
      </w:pPr>
      <w:r w:rsidRPr="00987C41">
        <w:rPr>
          <w:lang w:eastAsia="en-US"/>
        </w:rPr>
        <w:t>L’articolo reca disposizioni per l’entrata in vigore del provvedimento.</w:t>
      </w:r>
      <w:r w:rsidRPr="00987C41" w:rsidR="00525A05">
        <w:t xml:space="preserve"> </w:t>
      </w:r>
      <w:r w:rsidRPr="00987C41" w:rsidR="00525A05">
        <w:rPr>
          <w:b/>
          <w:bCs/>
          <w:lang w:eastAsia="en-US"/>
        </w:rPr>
        <w:t>La disposizione ha carattere ordinamentale e, pertanto, non determina nuovi o maggiori oneri a carico della finanza pubblica.</w:t>
      </w:r>
    </w:p>
    <w:sectPr w:rsidSect="004461A7">
      <w:footerReference w:type="default" r:id="rId29"/>
      <w:pgSz w:w="11906" w:h="16838"/>
      <w:pgMar w:top="1417" w:right="1134" w:bottom="993"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Book Antiqua&quot;,serif">
    <w:altName w:val="Cambria"/>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Fira Sans">
    <w:charset w:val="00"/>
    <w:family w:val="swiss"/>
    <w:pitch w:val="variable"/>
    <w:sig w:usb0="600002FF"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039895652"/>
      <w:docPartObj>
        <w:docPartGallery w:val="Page Numbers (Bottom of Page)"/>
        <w:docPartUnique/>
      </w:docPartObj>
    </w:sdtPr>
    <w:sdtContent>
      <w:p w:rsidR="004C3FCB" w14:paraId="6FBCC6BE" w14:textId="77777777">
        <w:pPr>
          <w:pStyle w:val="Footer"/>
          <w:jc w:val="right"/>
        </w:pPr>
        <w:r>
          <w:fldChar w:fldCharType="begin"/>
        </w:r>
        <w:r>
          <w:instrText>PAGE   \* MERGEFORMAT</w:instrText>
        </w:r>
        <w:r>
          <w:fldChar w:fldCharType="separate"/>
        </w:r>
        <w:r>
          <w:t>2</w:t>
        </w:r>
        <w:r>
          <w:fldChar w:fldCharType="end"/>
        </w:r>
      </w:p>
    </w:sdtContent>
  </w:sdt>
  <w:p w:rsidR="004C3FCB" w14:paraId="38214C1A" w14:textId="011FE0E0">
    <w:r>
      <w:fldChar w:fldCharType="begin"/>
    </w:r>
    <w:r>
      <w:instrText xml:space="preserve"> TIME \@ "dd/MM/yyyy HH:mm:ss" </w:instrText>
    </w:r>
    <w:r>
      <w:fldChar w:fldCharType="separate"/>
    </w:r>
    <w:r w:rsidR="00EF5BED">
      <w:rPr>
        <w:noProof/>
      </w:rPr>
      <w:t>27/01/2026 13:45:02</w:t>
    </w:r>
    <w:r>
      <w:fldChar w:fldCharType="end"/>
    </w:r>
    <w:r w:rsidR="00D468CE">
      <w:tab/>
    </w:r>
    <w:r w:rsidR="00D468CE">
      <w:tab/>
    </w:r>
    <w:r w:rsidRPr="002D7C91" w:rsidR="002D7C91">
      <w:rPr>
        <w:b/>
        <w:bCs/>
      </w:rPr>
      <w:t>nome file:</w:t>
    </w:r>
    <w:r w:rsidRPr="002D7C91" w:rsidR="002D7C91">
      <w:rPr>
        <w:b/>
        <w:bCs/>
        <w:i/>
        <w:iCs/>
      </w:rPr>
      <w:t xml:space="preserve"> </w:t>
    </w:r>
    <w:r>
      <w:fldChar w:fldCharType="begin"/>
    </w:r>
    <w:r>
      <w:instrText>FILENAME   \* MERGEFORMAT</w:instrText>
    </w:r>
    <w:r>
      <w:fldChar w:fldCharType="separate"/>
    </w:r>
    <w:r w:rsidR="008301BC">
      <w:rPr>
        <w:noProof/>
      </w:rPr>
      <w:t>relazione tecnica dl PNRR</w:t>
    </w:r>
    <w:r w:rsidR="008301BC">
      <w:rPr>
        <w:noProof/>
      </w:rP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15:restartNumberingAfterBreak="0">
    <w:nsid w:val="0D66D95D"/>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38040F6"/>
    <w:multiLevelType w:val="hybridMultilevel"/>
    <w:tmpl w:val="B2F4CE44"/>
    <w:lvl w:ilvl="0">
      <w:start w:val="1"/>
      <w:numFmt w:val="bullet"/>
      <w:lvlText w:val=""/>
      <w:lvlJc w:val="left"/>
      <w:pPr>
        <w:ind w:left="72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720" w:hanging="360"/>
      </w:pPr>
      <w:rPr>
        <w:rFonts w:ascii="Symbol" w:hAnsi="Symbol"/>
      </w:rPr>
    </w:lvl>
    <w:lvl w:ilvl="3">
      <w:start w:val="1"/>
      <w:numFmt w:val="bullet"/>
      <w:lvlText w:val=""/>
      <w:lvlJc w:val="left"/>
      <w:pPr>
        <w:ind w:left="720" w:hanging="360"/>
      </w:pPr>
      <w:rPr>
        <w:rFonts w:ascii="Symbol" w:hAnsi="Symbol"/>
      </w:rPr>
    </w:lvl>
    <w:lvl w:ilvl="4">
      <w:start w:val="1"/>
      <w:numFmt w:val="bullet"/>
      <w:lvlText w:val=""/>
      <w:lvlJc w:val="left"/>
      <w:pPr>
        <w:ind w:left="720" w:hanging="360"/>
      </w:pPr>
      <w:rPr>
        <w:rFonts w:ascii="Symbol" w:hAnsi="Symbol"/>
      </w:rPr>
    </w:lvl>
    <w:lvl w:ilvl="5">
      <w:start w:val="1"/>
      <w:numFmt w:val="bullet"/>
      <w:lvlText w:val=""/>
      <w:lvlJc w:val="left"/>
      <w:pPr>
        <w:ind w:left="720" w:hanging="360"/>
      </w:pPr>
      <w:rPr>
        <w:rFonts w:ascii="Symbol" w:hAnsi="Symbol"/>
      </w:rPr>
    </w:lvl>
    <w:lvl w:ilvl="6">
      <w:start w:val="1"/>
      <w:numFmt w:val="bullet"/>
      <w:lvlText w:val=""/>
      <w:lvlJc w:val="left"/>
      <w:pPr>
        <w:ind w:left="720" w:hanging="360"/>
      </w:pPr>
      <w:rPr>
        <w:rFonts w:ascii="Symbol" w:hAnsi="Symbol"/>
      </w:rPr>
    </w:lvl>
    <w:lvl w:ilvl="7">
      <w:start w:val="1"/>
      <w:numFmt w:val="bullet"/>
      <w:lvlText w:val=""/>
      <w:lvlJc w:val="left"/>
      <w:pPr>
        <w:ind w:left="720" w:hanging="360"/>
      </w:pPr>
      <w:rPr>
        <w:rFonts w:ascii="Symbol" w:hAnsi="Symbol"/>
      </w:rPr>
    </w:lvl>
    <w:lvl w:ilvl="8">
      <w:start w:val="1"/>
      <w:numFmt w:val="bullet"/>
      <w:lvlText w:val=""/>
      <w:lvlJc w:val="left"/>
      <w:pPr>
        <w:ind w:left="720" w:hanging="360"/>
      </w:pPr>
      <w:rPr>
        <w:rFonts w:ascii="Symbol" w:hAnsi="Symbol"/>
      </w:rPr>
    </w:lvl>
  </w:abstractNum>
  <w:abstractNum w:abstractNumId="2" w15:restartNumberingAfterBreak="0">
    <w:nsid w:val="16A8EC31"/>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7BC473B"/>
    <w:multiLevelType w:val="hybridMultilevel"/>
    <w:tmpl w:val="D78EE9CA"/>
    <w:lvl w:ilvl="0">
      <w:start w:val="1"/>
      <w:numFmt w:val="bullet"/>
      <w:lvlText w:val=""/>
      <w:lvlJc w:val="left"/>
      <w:pPr>
        <w:ind w:left="72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720" w:hanging="360"/>
      </w:pPr>
      <w:rPr>
        <w:rFonts w:ascii="Symbol" w:hAnsi="Symbol"/>
      </w:rPr>
    </w:lvl>
    <w:lvl w:ilvl="3">
      <w:start w:val="1"/>
      <w:numFmt w:val="bullet"/>
      <w:lvlText w:val=""/>
      <w:lvlJc w:val="left"/>
      <w:pPr>
        <w:ind w:left="720" w:hanging="360"/>
      </w:pPr>
      <w:rPr>
        <w:rFonts w:ascii="Symbol" w:hAnsi="Symbol"/>
      </w:rPr>
    </w:lvl>
    <w:lvl w:ilvl="4">
      <w:start w:val="1"/>
      <w:numFmt w:val="bullet"/>
      <w:lvlText w:val=""/>
      <w:lvlJc w:val="left"/>
      <w:pPr>
        <w:ind w:left="720" w:hanging="360"/>
      </w:pPr>
      <w:rPr>
        <w:rFonts w:ascii="Symbol" w:hAnsi="Symbol"/>
      </w:rPr>
    </w:lvl>
    <w:lvl w:ilvl="5">
      <w:start w:val="1"/>
      <w:numFmt w:val="bullet"/>
      <w:lvlText w:val=""/>
      <w:lvlJc w:val="left"/>
      <w:pPr>
        <w:ind w:left="720" w:hanging="360"/>
      </w:pPr>
      <w:rPr>
        <w:rFonts w:ascii="Symbol" w:hAnsi="Symbol"/>
      </w:rPr>
    </w:lvl>
    <w:lvl w:ilvl="6">
      <w:start w:val="1"/>
      <w:numFmt w:val="bullet"/>
      <w:lvlText w:val=""/>
      <w:lvlJc w:val="left"/>
      <w:pPr>
        <w:ind w:left="720" w:hanging="360"/>
      </w:pPr>
      <w:rPr>
        <w:rFonts w:ascii="Symbol" w:hAnsi="Symbol"/>
      </w:rPr>
    </w:lvl>
    <w:lvl w:ilvl="7">
      <w:start w:val="1"/>
      <w:numFmt w:val="bullet"/>
      <w:lvlText w:val=""/>
      <w:lvlJc w:val="left"/>
      <w:pPr>
        <w:ind w:left="720" w:hanging="360"/>
      </w:pPr>
      <w:rPr>
        <w:rFonts w:ascii="Symbol" w:hAnsi="Symbol"/>
      </w:rPr>
    </w:lvl>
    <w:lvl w:ilvl="8">
      <w:start w:val="1"/>
      <w:numFmt w:val="bullet"/>
      <w:lvlText w:val=""/>
      <w:lvlJc w:val="left"/>
      <w:pPr>
        <w:ind w:left="720" w:hanging="360"/>
      </w:pPr>
      <w:rPr>
        <w:rFonts w:ascii="Symbol" w:hAnsi="Symbol"/>
      </w:rPr>
    </w:lvl>
  </w:abstractNum>
  <w:abstractNum w:abstractNumId="4" w15:restartNumberingAfterBreak="0">
    <w:nsid w:val="188268E7"/>
    <w:multiLevelType w:val="hybridMultilevel"/>
    <w:tmpl w:val="42CC1F0A"/>
    <w:lvl w:ilvl="0">
      <w:start w:val="0"/>
      <w:numFmt w:val="bullet"/>
      <w:lvlText w:val="-"/>
      <w:lvlJc w:val="left"/>
      <w:pPr>
        <w:ind w:left="927" w:hanging="360"/>
      </w:pPr>
      <w:rPr>
        <w:rFonts w:ascii="Times New Roman" w:hAnsi="Times New Roman" w:hint="default"/>
      </w:rPr>
    </w:lvl>
    <w:lvl w:ilvl="1" w:tentative="1">
      <w:start w:val="1"/>
      <w:numFmt w:val="bullet"/>
      <w:lvlText w:val="o"/>
      <w:lvlJc w:val="left"/>
      <w:pPr>
        <w:ind w:left="1647" w:hanging="360"/>
      </w:pPr>
      <w:rPr>
        <w:rFonts w:ascii="Courier New" w:hAnsi="Courier New" w:hint="default"/>
      </w:rPr>
    </w:lvl>
    <w:lvl w:ilvl="2" w:tentative="1">
      <w:start w:val="1"/>
      <w:numFmt w:val="bullet"/>
      <w:lvlText w:val=""/>
      <w:lvlJc w:val="left"/>
      <w:pPr>
        <w:ind w:left="2367" w:hanging="360"/>
      </w:pPr>
      <w:rPr>
        <w:rFonts w:ascii="Wingdings" w:hAnsi="Wingdings" w:hint="default"/>
      </w:rPr>
    </w:lvl>
    <w:lvl w:ilvl="3" w:tentative="1">
      <w:start w:val="1"/>
      <w:numFmt w:val="bullet"/>
      <w:lvlText w:val=""/>
      <w:lvlJc w:val="left"/>
      <w:pPr>
        <w:ind w:left="3087" w:hanging="360"/>
      </w:pPr>
      <w:rPr>
        <w:rFonts w:ascii="Symbol" w:hAnsi="Symbol" w:hint="default"/>
      </w:rPr>
    </w:lvl>
    <w:lvl w:ilvl="4" w:tentative="1">
      <w:start w:val="1"/>
      <w:numFmt w:val="bullet"/>
      <w:lvlText w:val="o"/>
      <w:lvlJc w:val="left"/>
      <w:pPr>
        <w:ind w:left="3807" w:hanging="360"/>
      </w:pPr>
      <w:rPr>
        <w:rFonts w:ascii="Courier New" w:hAnsi="Courier New" w:hint="default"/>
      </w:rPr>
    </w:lvl>
    <w:lvl w:ilvl="5" w:tentative="1">
      <w:start w:val="1"/>
      <w:numFmt w:val="bullet"/>
      <w:lvlText w:val=""/>
      <w:lvlJc w:val="left"/>
      <w:pPr>
        <w:ind w:left="4527" w:hanging="360"/>
      </w:pPr>
      <w:rPr>
        <w:rFonts w:ascii="Wingdings" w:hAnsi="Wingdings" w:hint="default"/>
      </w:rPr>
    </w:lvl>
    <w:lvl w:ilvl="6" w:tentative="1">
      <w:start w:val="1"/>
      <w:numFmt w:val="bullet"/>
      <w:lvlText w:val=""/>
      <w:lvlJc w:val="left"/>
      <w:pPr>
        <w:ind w:left="5247" w:hanging="360"/>
      </w:pPr>
      <w:rPr>
        <w:rFonts w:ascii="Symbol" w:hAnsi="Symbol" w:hint="default"/>
      </w:rPr>
    </w:lvl>
    <w:lvl w:ilvl="7" w:tentative="1">
      <w:start w:val="1"/>
      <w:numFmt w:val="bullet"/>
      <w:lvlText w:val="o"/>
      <w:lvlJc w:val="left"/>
      <w:pPr>
        <w:ind w:left="5967" w:hanging="360"/>
      </w:pPr>
      <w:rPr>
        <w:rFonts w:ascii="Courier New" w:hAnsi="Courier New" w:hint="default"/>
      </w:rPr>
    </w:lvl>
    <w:lvl w:ilvl="8" w:tentative="1">
      <w:start w:val="1"/>
      <w:numFmt w:val="bullet"/>
      <w:lvlText w:val=""/>
      <w:lvlJc w:val="left"/>
      <w:pPr>
        <w:ind w:left="6687" w:hanging="360"/>
      </w:pPr>
      <w:rPr>
        <w:rFonts w:ascii="Wingdings" w:hAnsi="Wingdings" w:hint="default"/>
      </w:rPr>
    </w:lvl>
  </w:abstractNum>
  <w:abstractNum w:abstractNumId="5" w15:restartNumberingAfterBreak="0">
    <w:nsid w:val="1BD27452"/>
    <w:multiLevelType w:val="hybridMultilevel"/>
    <w:tmpl w:val="1A12A7B6"/>
    <w:lvl w:ilvl="0">
      <w:start w:val="2"/>
      <w:numFmt w:val="bullet"/>
      <w:lvlText w:val="-"/>
      <w:lvlJc w:val="left"/>
      <w:pPr>
        <w:ind w:left="360" w:hanging="360"/>
      </w:pPr>
      <w:rPr>
        <w:rFonts w:ascii="Times New Roman" w:hAnsi="Times New Roman" w:hint="default"/>
      </w:rPr>
    </w:lvl>
    <w:lvl w:ilvl="1">
      <w:start w:val="3"/>
      <w:numFmt w:val="bullet"/>
      <w:lvlText w:val="-"/>
      <w:lvlJc w:val="left"/>
      <w:pPr>
        <w:ind w:left="1080" w:hanging="360"/>
      </w:pPr>
      <w:rPr>
        <w:rFonts w:ascii="Times New Roman" w:hAnsi="Times New Roman"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6" w15:restartNumberingAfterBreak="0">
    <w:nsid w:val="1F7047E7"/>
    <w:multiLevelType w:val="hybridMultilevel"/>
    <w:tmpl w:val="11C8706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7" w15:restartNumberingAfterBreak="0">
    <w:nsid w:val="20C4496F"/>
    <w:multiLevelType w:val="multilevel"/>
    <w:tmpl w:val="E626F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0E5357"/>
    <w:multiLevelType w:val="hybridMultilevel"/>
    <w:tmpl w:val="0B6C9FA6"/>
    <w:lvl w:ilvl="0">
      <w:start w:val="0"/>
      <w:numFmt w:val="bullet"/>
      <w:lvlText w:val="-"/>
      <w:lvlJc w:val="left"/>
      <w:pPr>
        <w:ind w:left="360" w:hanging="360"/>
      </w:pPr>
      <w:rPr>
        <w:rFonts w:ascii="Times New Roman" w:hAnsi="Times New Roman" w:hint="default"/>
      </w:rPr>
    </w:lvl>
    <w:lvl w:ilvl="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9" w15:restartNumberingAfterBreak="0">
    <w:nsid w:val="28C83408"/>
    <w:multiLevelType w:val="hybridMultilevel"/>
    <w:tmpl w:val="6222100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10" w15:restartNumberingAfterBreak="0">
    <w:nsid w:val="2A511743"/>
    <w:multiLevelType w:val="hybridMultilevel"/>
    <w:tmpl w:val="1D128E1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15:restartNumberingAfterBreak="0">
    <w:nsid w:val="30740FE9"/>
    <w:multiLevelType w:val="hybridMultilevel"/>
    <w:tmpl w:val="1B1089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12" w15:restartNumberingAfterBreak="0">
    <w:nsid w:val="33964237"/>
    <w:multiLevelType w:val="hybridMultilevel"/>
    <w:tmpl w:val="A8820768"/>
    <w:lvl w:ilvl="0">
      <w:start w:val="1"/>
      <w:numFmt w:val="bullet"/>
      <w:lvlText w:val=""/>
      <w:lvlJc w:val="left"/>
      <w:pPr>
        <w:ind w:left="360" w:hanging="360"/>
      </w:pPr>
      <w:rPr>
        <w:rFonts w:ascii="Symbol" w:hAnsi="Symbol" w:hint="default"/>
        <w:strike w:val="0"/>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13" w15:restartNumberingAfterBreak="0">
    <w:nsid w:val="35733D3C"/>
    <w:multiLevelType w:val="hybridMultilevel"/>
    <w:tmpl w:val="DD86085E"/>
    <w:lvl w:ilvl="0">
      <w:start w:val="1"/>
      <w:numFmt w:val="decimal"/>
      <w:lvlText w:val="ART. %1"/>
      <w:lvlJc w:val="center"/>
      <w:pPr>
        <w:ind w:left="4472" w:hanging="360"/>
      </w:pPr>
      <w:rPr>
        <w:rFonts w:ascii="Times New Roman" w:hAnsi="Times New Roman" w:hint="default"/>
        <w:b/>
        <w:i w:val="0"/>
        <w:caps w:val="0"/>
        <w:strike w:val="0"/>
        <w:dstrike w:val="0"/>
        <w:vanish w:val="0"/>
        <w:color w:val="auto"/>
        <w:sz w:val="24"/>
        <w:vertAlign w:val="baseline"/>
      </w:rPr>
    </w:lvl>
    <w:lvl w:ilvl="1" w:tentative="1">
      <w:start w:val="1"/>
      <w:numFmt w:val="lowerLetter"/>
      <w:lvlText w:val="%2."/>
      <w:lvlJc w:val="left"/>
      <w:pPr>
        <w:ind w:left="3216" w:hanging="360"/>
      </w:pPr>
    </w:lvl>
    <w:lvl w:ilvl="2" w:tentative="1">
      <w:start w:val="1"/>
      <w:numFmt w:val="lowerRoman"/>
      <w:lvlText w:val="%3."/>
      <w:lvlJc w:val="right"/>
      <w:pPr>
        <w:ind w:left="3936" w:hanging="180"/>
      </w:pPr>
    </w:lvl>
    <w:lvl w:ilvl="3" w:tentative="1">
      <w:start w:val="1"/>
      <w:numFmt w:val="decimal"/>
      <w:lvlText w:val="%4."/>
      <w:lvlJc w:val="left"/>
      <w:pPr>
        <w:ind w:left="4656" w:hanging="360"/>
      </w:pPr>
    </w:lvl>
    <w:lvl w:ilvl="4" w:tentative="1">
      <w:start w:val="1"/>
      <w:numFmt w:val="lowerLetter"/>
      <w:lvlText w:val="%5."/>
      <w:lvlJc w:val="left"/>
      <w:pPr>
        <w:ind w:left="5376" w:hanging="360"/>
      </w:pPr>
    </w:lvl>
    <w:lvl w:ilvl="5" w:tentative="1">
      <w:start w:val="1"/>
      <w:numFmt w:val="lowerRoman"/>
      <w:lvlText w:val="%6."/>
      <w:lvlJc w:val="right"/>
      <w:pPr>
        <w:ind w:left="6096" w:hanging="180"/>
      </w:pPr>
    </w:lvl>
    <w:lvl w:ilvl="6" w:tentative="1">
      <w:start w:val="1"/>
      <w:numFmt w:val="decimal"/>
      <w:lvlText w:val="%7."/>
      <w:lvlJc w:val="left"/>
      <w:pPr>
        <w:ind w:left="6816" w:hanging="360"/>
      </w:pPr>
    </w:lvl>
    <w:lvl w:ilvl="7" w:tentative="1">
      <w:start w:val="1"/>
      <w:numFmt w:val="lowerLetter"/>
      <w:lvlText w:val="%8."/>
      <w:lvlJc w:val="left"/>
      <w:pPr>
        <w:ind w:left="7536" w:hanging="360"/>
      </w:pPr>
    </w:lvl>
    <w:lvl w:ilvl="8" w:tentative="1">
      <w:start w:val="1"/>
      <w:numFmt w:val="lowerRoman"/>
      <w:lvlText w:val="%9."/>
      <w:lvlJc w:val="right"/>
      <w:pPr>
        <w:ind w:left="8256" w:hanging="180"/>
      </w:pPr>
    </w:lvl>
  </w:abstractNum>
  <w:abstractNum w:abstractNumId="14" w15:restartNumberingAfterBreak="0">
    <w:nsid w:val="3BE52FAA"/>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5951B5B"/>
    <w:multiLevelType w:val="hybridMultilevel"/>
    <w:tmpl w:val="D7380FCA"/>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16" w15:restartNumberingAfterBreak="0">
    <w:nsid w:val="5129BCD7"/>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65015A7"/>
    <w:multiLevelType w:val="hybridMultilevel"/>
    <w:tmpl w:val="B53421C4"/>
    <w:lvl w:ilvl="0">
      <w:start w:val="1"/>
      <w:numFmt w:val="bullet"/>
      <w:lvlText w:val=""/>
      <w:lvlJc w:val="left"/>
      <w:pPr>
        <w:ind w:left="72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720" w:hanging="360"/>
      </w:pPr>
      <w:rPr>
        <w:rFonts w:ascii="Symbol" w:hAnsi="Symbol"/>
      </w:rPr>
    </w:lvl>
    <w:lvl w:ilvl="3">
      <w:start w:val="1"/>
      <w:numFmt w:val="bullet"/>
      <w:lvlText w:val=""/>
      <w:lvlJc w:val="left"/>
      <w:pPr>
        <w:ind w:left="720" w:hanging="360"/>
      </w:pPr>
      <w:rPr>
        <w:rFonts w:ascii="Symbol" w:hAnsi="Symbol"/>
      </w:rPr>
    </w:lvl>
    <w:lvl w:ilvl="4">
      <w:start w:val="1"/>
      <w:numFmt w:val="bullet"/>
      <w:lvlText w:val=""/>
      <w:lvlJc w:val="left"/>
      <w:pPr>
        <w:ind w:left="720" w:hanging="360"/>
      </w:pPr>
      <w:rPr>
        <w:rFonts w:ascii="Symbol" w:hAnsi="Symbol"/>
      </w:rPr>
    </w:lvl>
    <w:lvl w:ilvl="5">
      <w:start w:val="1"/>
      <w:numFmt w:val="bullet"/>
      <w:lvlText w:val=""/>
      <w:lvlJc w:val="left"/>
      <w:pPr>
        <w:ind w:left="720" w:hanging="360"/>
      </w:pPr>
      <w:rPr>
        <w:rFonts w:ascii="Symbol" w:hAnsi="Symbol"/>
      </w:rPr>
    </w:lvl>
    <w:lvl w:ilvl="6">
      <w:start w:val="1"/>
      <w:numFmt w:val="bullet"/>
      <w:lvlText w:val=""/>
      <w:lvlJc w:val="left"/>
      <w:pPr>
        <w:ind w:left="720" w:hanging="360"/>
      </w:pPr>
      <w:rPr>
        <w:rFonts w:ascii="Symbol" w:hAnsi="Symbol"/>
      </w:rPr>
    </w:lvl>
    <w:lvl w:ilvl="7">
      <w:start w:val="1"/>
      <w:numFmt w:val="bullet"/>
      <w:lvlText w:val=""/>
      <w:lvlJc w:val="left"/>
      <w:pPr>
        <w:ind w:left="720" w:hanging="360"/>
      </w:pPr>
      <w:rPr>
        <w:rFonts w:ascii="Symbol" w:hAnsi="Symbol"/>
      </w:rPr>
    </w:lvl>
    <w:lvl w:ilvl="8">
      <w:start w:val="1"/>
      <w:numFmt w:val="bullet"/>
      <w:lvlText w:val=""/>
      <w:lvlJc w:val="left"/>
      <w:pPr>
        <w:ind w:left="720" w:hanging="360"/>
      </w:pPr>
      <w:rPr>
        <w:rFonts w:ascii="Symbol" w:hAnsi="Symbol"/>
      </w:rPr>
    </w:lvl>
  </w:abstractNum>
  <w:abstractNum w:abstractNumId="18" w15:restartNumberingAfterBreak="0">
    <w:nsid w:val="597D5D3C"/>
    <w:multiLevelType w:val="hybridMultilevel"/>
    <w:tmpl w:val="3F286A58"/>
    <w:lvl w:ilvl="0">
      <w:start w:val="1"/>
      <w:numFmt w:val="bullet"/>
      <w:lvlText w:val=""/>
      <w:lvlJc w:val="left"/>
      <w:pPr>
        <w:ind w:left="72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720" w:hanging="360"/>
      </w:pPr>
      <w:rPr>
        <w:rFonts w:ascii="Symbol" w:hAnsi="Symbol"/>
      </w:rPr>
    </w:lvl>
    <w:lvl w:ilvl="3">
      <w:start w:val="1"/>
      <w:numFmt w:val="bullet"/>
      <w:lvlText w:val=""/>
      <w:lvlJc w:val="left"/>
      <w:pPr>
        <w:ind w:left="720" w:hanging="360"/>
      </w:pPr>
      <w:rPr>
        <w:rFonts w:ascii="Symbol" w:hAnsi="Symbol"/>
      </w:rPr>
    </w:lvl>
    <w:lvl w:ilvl="4">
      <w:start w:val="1"/>
      <w:numFmt w:val="bullet"/>
      <w:lvlText w:val=""/>
      <w:lvlJc w:val="left"/>
      <w:pPr>
        <w:ind w:left="720" w:hanging="360"/>
      </w:pPr>
      <w:rPr>
        <w:rFonts w:ascii="Symbol" w:hAnsi="Symbol"/>
      </w:rPr>
    </w:lvl>
    <w:lvl w:ilvl="5">
      <w:start w:val="1"/>
      <w:numFmt w:val="bullet"/>
      <w:lvlText w:val=""/>
      <w:lvlJc w:val="left"/>
      <w:pPr>
        <w:ind w:left="720" w:hanging="360"/>
      </w:pPr>
      <w:rPr>
        <w:rFonts w:ascii="Symbol" w:hAnsi="Symbol"/>
      </w:rPr>
    </w:lvl>
    <w:lvl w:ilvl="6">
      <w:start w:val="1"/>
      <w:numFmt w:val="bullet"/>
      <w:lvlText w:val=""/>
      <w:lvlJc w:val="left"/>
      <w:pPr>
        <w:ind w:left="720" w:hanging="360"/>
      </w:pPr>
      <w:rPr>
        <w:rFonts w:ascii="Symbol" w:hAnsi="Symbol"/>
      </w:rPr>
    </w:lvl>
    <w:lvl w:ilvl="7">
      <w:start w:val="1"/>
      <w:numFmt w:val="bullet"/>
      <w:lvlText w:val=""/>
      <w:lvlJc w:val="left"/>
      <w:pPr>
        <w:ind w:left="720" w:hanging="360"/>
      </w:pPr>
      <w:rPr>
        <w:rFonts w:ascii="Symbol" w:hAnsi="Symbol"/>
      </w:rPr>
    </w:lvl>
    <w:lvl w:ilvl="8">
      <w:start w:val="1"/>
      <w:numFmt w:val="bullet"/>
      <w:lvlText w:val=""/>
      <w:lvlJc w:val="left"/>
      <w:pPr>
        <w:ind w:left="720" w:hanging="360"/>
      </w:pPr>
      <w:rPr>
        <w:rFonts w:ascii="Symbol" w:hAnsi="Symbol"/>
      </w:rPr>
    </w:lvl>
  </w:abstractNum>
  <w:abstractNum w:abstractNumId="19" w15:restartNumberingAfterBreak="0">
    <w:nsid w:val="5A0401BA"/>
    <w:multiLevelType w:val="hybridMultilevel"/>
    <w:tmpl w:val="F4481EE0"/>
    <w:lvl w:ilvl="0">
      <w:start w:val="1"/>
      <w:numFmt w:val="bullet"/>
      <w:lvlText w:val="-"/>
      <w:lvlJc w:val="left"/>
      <w:pPr>
        <w:ind w:left="720" w:hanging="360"/>
      </w:pPr>
      <w:rPr>
        <w:rFonts w:ascii="Times New Roman" w:hAnsi="Times New Roman"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0" w15:restartNumberingAfterBreak="0">
    <w:nsid w:val="5A64652E"/>
    <w:multiLevelType w:val="hybridMultilevel"/>
    <w:tmpl w:val="FFFFFFFF"/>
    <w:lvl w:ilvl="0">
      <w:start w:val="1"/>
      <w:numFmt w:val="bullet"/>
      <w:lvlText w:val="-"/>
      <w:lvlJc w:val="left"/>
      <w:pPr>
        <w:ind w:left="720" w:hanging="360"/>
      </w:pPr>
      <w:rPr>
        <w:rFonts w:ascii="&quot;Book Antiqua&quot;,serif" w:hAnsi="&quot;Book Antiqua&quot;,serif"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B494236"/>
    <w:multiLevelType w:val="hybridMultilevel"/>
    <w:tmpl w:val="2138DF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F41118A"/>
    <w:multiLevelType w:val="multilevel"/>
    <w:tmpl w:val="8C7878CC"/>
    <w:lvl w:ilvl="0">
      <w:start w:val="1"/>
      <w:numFmt w:val="decimal"/>
      <w:pStyle w:val="tnarticolo"/>
      <w:suff w:val="space"/>
      <w:lvlText w:val="ART. %1"/>
      <w:lvlJc w:val="left"/>
      <w:rPr>
        <w:rFonts w:ascii="Times New Roman" w:hAnsi="Times New Roman" w:cs="Times New Roman"/>
        <w:b w:val="0"/>
        <w:bCs w:val="0"/>
        <w:i w:val="0"/>
        <w:iCs w:val="0"/>
        <w:caps w:val="0"/>
        <w:smallCaps w:val="0"/>
        <w:strike w:val="0"/>
        <w:dstrike w:val="0"/>
        <w:noProof w:val="0"/>
        <w:vanish w:val="0"/>
        <w:spacing w:val="0"/>
        <w:kern w:val="0"/>
        <w:position w:val="0"/>
        <w:u w:val="none"/>
        <w:effect w:val="none"/>
        <w:vertAlign w:val="baseline"/>
        <w:specVanish w:val="0"/>
      </w:rPr>
    </w:lvl>
    <w:lvl w:ilvl="1">
      <w:start w:val="1"/>
      <w:numFmt w:val="decimal"/>
      <w:suff w:val="space"/>
      <w:lvlText w:val="%2."/>
      <w:lvlJc w:val="left"/>
      <w:pPr>
        <w:ind w:left="14965" w:hanging="283"/>
      </w:pPr>
      <w:rPr>
        <w:rFonts w:ascii="Times New Roman" w:hAnsi="Times New Roman" w:cs="Times New Roman" w:hint="default"/>
        <w:b w:val="0"/>
        <w:bCs w:val="0"/>
        <w:i w:val="0"/>
        <w:iCs w:val="0"/>
        <w:caps w:val="0"/>
        <w:strike w:val="0"/>
        <w:dstrike w:val="0"/>
        <w:vanish w:val="0"/>
        <w:color w:val="000000"/>
        <w:sz w:val="24"/>
        <w:szCs w:val="24"/>
        <w:vertAlign w:val="baseline"/>
      </w:rPr>
    </w:lvl>
    <w:lvl w:ilvl="2">
      <w:start w:val="1"/>
      <w:numFmt w:val="lowerLetter"/>
      <w:suff w:val="space"/>
      <w:lvlText w:val="%3)"/>
      <w:lvlJc w:val="left"/>
      <w:pPr>
        <w:ind w:left="15249" w:hanging="284"/>
      </w:pPr>
      <w:rPr>
        <w:rFonts w:ascii="Times New Roman" w:hAnsi="Times New Roman" w:cs="Times New Roman" w:hint="default"/>
        <w:b w:val="0"/>
        <w:bCs w:val="0"/>
        <w:i w:val="0"/>
        <w:iCs w:val="0"/>
        <w:caps w:val="0"/>
        <w:strike w:val="0"/>
        <w:dstrike w:val="0"/>
        <w:vanish w:val="0"/>
        <w:color w:val="000000"/>
        <w:sz w:val="24"/>
        <w:szCs w:val="24"/>
        <w:vertAlign w:val="baseline"/>
      </w:rPr>
    </w:lvl>
    <w:lvl w:ilvl="3">
      <w:start w:val="1"/>
      <w:numFmt w:val="decimal"/>
      <w:suff w:val="space"/>
      <w:lvlText w:val="%4)"/>
      <w:lvlJc w:val="left"/>
      <w:pPr>
        <w:ind w:left="15532" w:hanging="283"/>
      </w:pPr>
      <w:rPr>
        <w:rFonts w:ascii="Times New Roman" w:hAnsi="Times New Roman" w:cs="Times New Roman" w:hint="default"/>
        <w:b w:val="0"/>
        <w:bCs w:val="0"/>
        <w:i w:val="0"/>
        <w:iCs w:val="0"/>
        <w:caps w:val="0"/>
        <w:strike w:val="0"/>
        <w:dstrike w:val="0"/>
        <w:vanish w:val="0"/>
        <w:color w:val="auto"/>
        <w:sz w:val="24"/>
        <w:szCs w:val="24"/>
        <w:vertAlign w:val="baseline"/>
      </w:rPr>
    </w:lvl>
    <w:lvl w:ilvl="4">
      <w:start w:val="1"/>
      <w:numFmt w:val="decimal"/>
      <w:suff w:val="space"/>
      <w:lvlText w:val="%4.%5)"/>
      <w:lvlJc w:val="left"/>
      <w:pPr>
        <w:ind w:left="15816" w:hanging="284"/>
      </w:pPr>
      <w:rPr>
        <w:rFonts w:ascii="Times New Roman" w:hAnsi="Times New Roman" w:cs="Times New Roman" w:hint="default"/>
        <w:b w:val="0"/>
        <w:bCs w:val="0"/>
        <w:i w:val="0"/>
        <w:iCs w:val="0"/>
        <w:color w:val="auto"/>
        <w:sz w:val="24"/>
        <w:szCs w:val="24"/>
      </w:rPr>
    </w:lvl>
    <w:lvl w:ilvl="5">
      <w:start w:val="1"/>
      <w:numFmt w:val="decimal"/>
      <w:suff w:val="space"/>
      <w:lvlText w:val="%4.%5.%6)"/>
      <w:lvlJc w:val="left"/>
      <w:pPr>
        <w:ind w:left="16099" w:hanging="283"/>
      </w:pPr>
      <w:rPr>
        <w:rFonts w:ascii="Times New Roman" w:hAnsi="Times New Roman" w:cs="Times New Roman" w:hint="default"/>
        <w:b w:val="0"/>
        <w:bCs w:val="0"/>
        <w:i w:val="0"/>
        <w:iCs w:val="0"/>
        <w:color w:val="auto"/>
        <w:sz w:val="24"/>
        <w:szCs w:val="24"/>
      </w:rPr>
    </w:lvl>
    <w:lvl w:ilvl="6">
      <w:start w:val="1"/>
      <w:numFmt w:val="decimal"/>
      <w:suff w:val="space"/>
      <w:lvlText w:val="%4.%5.%6.%7"/>
      <w:lvlJc w:val="left"/>
      <w:pPr>
        <w:ind w:left="16383" w:hanging="284"/>
      </w:pPr>
      <w:rPr>
        <w:rFonts w:ascii="Times New Roman" w:hAnsi="Times New Roman" w:cs="Times New Roman" w:hint="default"/>
        <w:i w:val="0"/>
        <w:iCs w:val="0"/>
        <w:caps w:val="0"/>
        <w:strike w:val="0"/>
        <w:dstrike w:val="0"/>
        <w:vanish w:val="0"/>
        <w:color w:val="auto"/>
        <w:spacing w:val="0"/>
        <w:kern w:val="0"/>
        <w:position w:val="0"/>
        <w:sz w:val="24"/>
        <w:szCs w:val="24"/>
        <w:u w:val="none"/>
        <w:vertAlign w:val="baseline"/>
      </w:rPr>
    </w:lvl>
    <w:lvl w:ilvl="7">
      <w:start w:val="1"/>
      <w:numFmt w:val="decimal"/>
      <w:suff w:val="space"/>
      <w:lvlText w:val="%4.%5.%6.%7.%8"/>
      <w:lvlJc w:val="left"/>
      <w:pPr>
        <w:ind w:left="16666" w:hanging="283"/>
      </w:pPr>
      <w:rPr>
        <w:rFonts w:hint="default"/>
      </w:rPr>
    </w:lvl>
    <w:lvl w:ilvl="8">
      <w:start w:val="1"/>
      <w:numFmt w:val="decimal"/>
      <w:suff w:val="space"/>
      <w:lvlText w:val="%4.%5.%6.%7.%8.%9"/>
      <w:lvlJc w:val="left"/>
      <w:pPr>
        <w:ind w:left="16950" w:hanging="284"/>
      </w:pPr>
      <w:rPr>
        <w:rFonts w:hint="default"/>
      </w:rPr>
    </w:lvl>
  </w:abstractNum>
  <w:abstractNum w:abstractNumId="23" w15:restartNumberingAfterBreak="0">
    <w:nsid w:val="6004EB24"/>
    <w:multiLevelType w:val="hybridMultilevel"/>
    <w:tmpl w:val="4D1456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00B5B90"/>
    <w:multiLevelType w:val="hybridMultilevel"/>
    <w:tmpl w:val="FFFFFFFF"/>
    <w:lvl w:ilvl="0">
      <w:start w:val="2"/>
      <w:numFmt w:val="bullet"/>
      <w:lvlText w:val="-"/>
      <w:lvlJc w:val="left"/>
      <w:pPr>
        <w:ind w:left="360" w:hanging="360"/>
      </w:pPr>
      <w:rPr>
        <w:rFonts w:ascii="Book Antiqua" w:hAnsi="Book Antiqua"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1540DDD"/>
    <w:multiLevelType w:val="hybridMultilevel"/>
    <w:tmpl w:val="0AF46EAA"/>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26" w15:restartNumberingAfterBreak="0">
    <w:nsid w:val="63B4E534"/>
    <w:multiLevelType w:val="hybridMultilevel"/>
    <w:tmpl w:val="0C2C4E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74C2D01"/>
    <w:multiLevelType w:val="hybridMultilevel"/>
    <w:tmpl w:val="7D640A60"/>
    <w:lvl w:ilvl="0">
      <w:start w:val="1"/>
      <w:numFmt w:val="bullet"/>
      <w:lvlText w:val=""/>
      <w:lvlJc w:val="left"/>
      <w:pPr>
        <w:ind w:left="72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720" w:hanging="360"/>
      </w:pPr>
      <w:rPr>
        <w:rFonts w:ascii="Symbol" w:hAnsi="Symbol"/>
      </w:rPr>
    </w:lvl>
    <w:lvl w:ilvl="3">
      <w:start w:val="1"/>
      <w:numFmt w:val="bullet"/>
      <w:lvlText w:val=""/>
      <w:lvlJc w:val="left"/>
      <w:pPr>
        <w:ind w:left="720" w:hanging="360"/>
      </w:pPr>
      <w:rPr>
        <w:rFonts w:ascii="Symbol" w:hAnsi="Symbol"/>
      </w:rPr>
    </w:lvl>
    <w:lvl w:ilvl="4">
      <w:start w:val="1"/>
      <w:numFmt w:val="bullet"/>
      <w:lvlText w:val=""/>
      <w:lvlJc w:val="left"/>
      <w:pPr>
        <w:ind w:left="720" w:hanging="360"/>
      </w:pPr>
      <w:rPr>
        <w:rFonts w:ascii="Symbol" w:hAnsi="Symbol"/>
      </w:rPr>
    </w:lvl>
    <w:lvl w:ilvl="5">
      <w:start w:val="1"/>
      <w:numFmt w:val="bullet"/>
      <w:lvlText w:val=""/>
      <w:lvlJc w:val="left"/>
      <w:pPr>
        <w:ind w:left="720" w:hanging="360"/>
      </w:pPr>
      <w:rPr>
        <w:rFonts w:ascii="Symbol" w:hAnsi="Symbol"/>
      </w:rPr>
    </w:lvl>
    <w:lvl w:ilvl="6">
      <w:start w:val="1"/>
      <w:numFmt w:val="bullet"/>
      <w:lvlText w:val=""/>
      <w:lvlJc w:val="left"/>
      <w:pPr>
        <w:ind w:left="720" w:hanging="360"/>
      </w:pPr>
      <w:rPr>
        <w:rFonts w:ascii="Symbol" w:hAnsi="Symbol"/>
      </w:rPr>
    </w:lvl>
    <w:lvl w:ilvl="7">
      <w:start w:val="1"/>
      <w:numFmt w:val="bullet"/>
      <w:lvlText w:val=""/>
      <w:lvlJc w:val="left"/>
      <w:pPr>
        <w:ind w:left="720" w:hanging="360"/>
      </w:pPr>
      <w:rPr>
        <w:rFonts w:ascii="Symbol" w:hAnsi="Symbol"/>
      </w:rPr>
    </w:lvl>
    <w:lvl w:ilvl="8">
      <w:start w:val="1"/>
      <w:numFmt w:val="bullet"/>
      <w:lvlText w:val=""/>
      <w:lvlJc w:val="left"/>
      <w:pPr>
        <w:ind w:left="720" w:hanging="360"/>
      </w:pPr>
      <w:rPr>
        <w:rFonts w:ascii="Symbol" w:hAnsi="Symbol"/>
      </w:rPr>
    </w:lvl>
  </w:abstractNum>
  <w:abstractNum w:abstractNumId="28" w15:restartNumberingAfterBreak="0">
    <w:nsid w:val="6FE45C40"/>
    <w:multiLevelType w:val="multilevel"/>
    <w:tmpl w:val="4098989E"/>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19C3E74"/>
    <w:multiLevelType w:val="hybridMultilevel"/>
    <w:tmpl w:val="3AAE77C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30" w15:restartNumberingAfterBreak="0">
    <w:nsid w:val="73AD0EB2"/>
    <w:multiLevelType w:val="hybridMultilevel"/>
    <w:tmpl w:val="0A3E667E"/>
    <w:lvl w:ilvl="0">
      <w:start w:val="1"/>
      <w:numFmt w:val="bullet"/>
      <w:lvlText w:val=""/>
      <w:lvlJc w:val="left"/>
      <w:pPr>
        <w:ind w:left="1140" w:hanging="360"/>
      </w:pPr>
      <w:rPr>
        <w:rFonts w:ascii="Wingdings" w:hAnsi="Wingdings" w:hint="default"/>
      </w:rPr>
    </w:lvl>
    <w:lvl w:ilvl="1" w:tentative="1">
      <w:start w:val="1"/>
      <w:numFmt w:val="bullet"/>
      <w:lvlText w:val="o"/>
      <w:lvlJc w:val="left"/>
      <w:pPr>
        <w:ind w:left="1860" w:hanging="360"/>
      </w:pPr>
      <w:rPr>
        <w:rFonts w:ascii="Courier New" w:hAnsi="Courier New" w:hint="default"/>
      </w:rPr>
    </w:lvl>
    <w:lvl w:ilvl="2" w:tentative="1">
      <w:start w:val="1"/>
      <w:numFmt w:val="bullet"/>
      <w:lvlText w:val=""/>
      <w:lvlJc w:val="left"/>
      <w:pPr>
        <w:ind w:left="2580" w:hanging="360"/>
      </w:pPr>
      <w:rPr>
        <w:rFonts w:ascii="Wingdings" w:hAnsi="Wingdings" w:hint="default"/>
      </w:rPr>
    </w:lvl>
    <w:lvl w:ilvl="3" w:tentative="1">
      <w:start w:val="1"/>
      <w:numFmt w:val="bullet"/>
      <w:lvlText w:val=""/>
      <w:lvlJc w:val="left"/>
      <w:pPr>
        <w:ind w:left="3300" w:hanging="360"/>
      </w:pPr>
      <w:rPr>
        <w:rFonts w:ascii="Symbol" w:hAnsi="Symbol" w:hint="default"/>
      </w:rPr>
    </w:lvl>
    <w:lvl w:ilvl="4" w:tentative="1">
      <w:start w:val="1"/>
      <w:numFmt w:val="bullet"/>
      <w:lvlText w:val="o"/>
      <w:lvlJc w:val="left"/>
      <w:pPr>
        <w:ind w:left="4020" w:hanging="360"/>
      </w:pPr>
      <w:rPr>
        <w:rFonts w:ascii="Courier New" w:hAnsi="Courier New" w:hint="default"/>
      </w:rPr>
    </w:lvl>
    <w:lvl w:ilvl="5" w:tentative="1">
      <w:start w:val="1"/>
      <w:numFmt w:val="bullet"/>
      <w:lvlText w:val=""/>
      <w:lvlJc w:val="left"/>
      <w:pPr>
        <w:ind w:left="4740" w:hanging="360"/>
      </w:pPr>
      <w:rPr>
        <w:rFonts w:ascii="Wingdings" w:hAnsi="Wingdings" w:hint="default"/>
      </w:rPr>
    </w:lvl>
    <w:lvl w:ilvl="6" w:tentative="1">
      <w:start w:val="1"/>
      <w:numFmt w:val="bullet"/>
      <w:lvlText w:val=""/>
      <w:lvlJc w:val="left"/>
      <w:pPr>
        <w:ind w:left="5460" w:hanging="360"/>
      </w:pPr>
      <w:rPr>
        <w:rFonts w:ascii="Symbol" w:hAnsi="Symbol" w:hint="default"/>
      </w:rPr>
    </w:lvl>
    <w:lvl w:ilvl="7" w:tentative="1">
      <w:start w:val="1"/>
      <w:numFmt w:val="bullet"/>
      <w:lvlText w:val="o"/>
      <w:lvlJc w:val="left"/>
      <w:pPr>
        <w:ind w:left="6180" w:hanging="360"/>
      </w:pPr>
      <w:rPr>
        <w:rFonts w:ascii="Courier New" w:hAnsi="Courier New" w:hint="default"/>
      </w:rPr>
    </w:lvl>
    <w:lvl w:ilvl="8" w:tentative="1">
      <w:start w:val="1"/>
      <w:numFmt w:val="bullet"/>
      <w:lvlText w:val=""/>
      <w:lvlJc w:val="left"/>
      <w:pPr>
        <w:ind w:left="6900" w:hanging="360"/>
      </w:pPr>
      <w:rPr>
        <w:rFonts w:ascii="Wingdings" w:hAnsi="Wingdings" w:hint="default"/>
      </w:rPr>
    </w:lvl>
  </w:abstractNum>
  <w:abstractNum w:abstractNumId="31" w15:restartNumberingAfterBreak="0">
    <w:nsid w:val="744849EB"/>
    <w:multiLevelType w:val="hybridMultilevel"/>
    <w:tmpl w:val="74681F88"/>
    <w:lvl w:ilvl="0">
      <w:start w:val="0"/>
      <w:numFmt w:val="bullet"/>
      <w:lvlText w:val="-"/>
      <w:lvlJc w:val="left"/>
      <w:pPr>
        <w:ind w:left="360" w:hanging="360"/>
      </w:pPr>
      <w:rPr>
        <w:rFonts w:ascii="Times New Roman" w:hAnsi="Times New Roman"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32" w15:restartNumberingAfterBreak="0">
    <w:nsid w:val="74E11CA5"/>
    <w:multiLevelType w:val="hybridMultilevel"/>
    <w:tmpl w:val="09F09D8E"/>
    <w:lvl w:ilvl="0">
      <w:start w:val="3"/>
      <w:numFmt w:val="bullet"/>
      <w:lvlText w:val="-"/>
      <w:lvlJc w:val="left"/>
      <w:pPr>
        <w:ind w:left="720" w:hanging="360"/>
      </w:pPr>
      <w:rPr>
        <w:rFonts w:ascii="Times New Roman" w:hAnsi="Times New Roman"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33" w15:restartNumberingAfterBreak="0">
    <w:nsid w:val="7D9D447D"/>
    <w:multiLevelType w:val="hybridMultilevel"/>
    <w:tmpl w:val="0C6862E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445615300">
    <w:abstractNumId w:val="0"/>
  </w:num>
  <w:num w:numId="2" w16cid:durableId="933637037">
    <w:abstractNumId w:val="20"/>
  </w:num>
  <w:num w:numId="3" w16cid:durableId="1655137110">
    <w:abstractNumId w:val="22"/>
  </w:num>
  <w:num w:numId="4" w16cid:durableId="454912605">
    <w:abstractNumId w:val="13"/>
  </w:num>
  <w:num w:numId="5" w16cid:durableId="1639534271">
    <w:abstractNumId w:val="11"/>
  </w:num>
  <w:num w:numId="6" w16cid:durableId="1752502257">
    <w:abstractNumId w:val="12"/>
  </w:num>
  <w:num w:numId="7" w16cid:durableId="589658159">
    <w:abstractNumId w:val="33"/>
  </w:num>
  <w:num w:numId="8" w16cid:durableId="633800808">
    <w:abstractNumId w:val="14"/>
  </w:num>
  <w:num w:numId="9" w16cid:durableId="1462848389">
    <w:abstractNumId w:val="23"/>
  </w:num>
  <w:num w:numId="10" w16cid:durableId="1982733102">
    <w:abstractNumId w:val="21"/>
  </w:num>
  <w:num w:numId="11" w16cid:durableId="1058941583">
    <w:abstractNumId w:val="26"/>
  </w:num>
  <w:num w:numId="12" w16cid:durableId="1660226102">
    <w:abstractNumId w:val="15"/>
  </w:num>
  <w:num w:numId="13" w16cid:durableId="1505167335">
    <w:abstractNumId w:val="25"/>
  </w:num>
  <w:num w:numId="14" w16cid:durableId="1776435971">
    <w:abstractNumId w:val="32"/>
  </w:num>
  <w:num w:numId="15" w16cid:durableId="283082641">
    <w:abstractNumId w:val="8"/>
  </w:num>
  <w:num w:numId="16" w16cid:durableId="1739747124">
    <w:abstractNumId w:val="29"/>
  </w:num>
  <w:num w:numId="17" w16cid:durableId="1196623842">
    <w:abstractNumId w:val="5"/>
  </w:num>
  <w:num w:numId="18" w16cid:durableId="1880124023">
    <w:abstractNumId w:val="9"/>
  </w:num>
  <w:num w:numId="19" w16cid:durableId="1040209862">
    <w:abstractNumId w:val="6"/>
  </w:num>
  <w:num w:numId="20" w16cid:durableId="2135246471">
    <w:abstractNumId w:val="4"/>
  </w:num>
  <w:num w:numId="21" w16cid:durableId="1143473498">
    <w:abstractNumId w:val="30"/>
  </w:num>
  <w:num w:numId="22" w16cid:durableId="1410889294">
    <w:abstractNumId w:val="31"/>
  </w:num>
  <w:num w:numId="23" w16cid:durableId="1915699462">
    <w:abstractNumId w:val="28"/>
  </w:num>
  <w:num w:numId="24" w16cid:durableId="1625113252">
    <w:abstractNumId w:val="1"/>
  </w:num>
  <w:num w:numId="25" w16cid:durableId="521820317">
    <w:abstractNumId w:val="18"/>
  </w:num>
  <w:num w:numId="26" w16cid:durableId="44642441">
    <w:abstractNumId w:val="27"/>
  </w:num>
  <w:num w:numId="27" w16cid:durableId="767122119">
    <w:abstractNumId w:val="3"/>
  </w:num>
  <w:num w:numId="28" w16cid:durableId="1223105742">
    <w:abstractNumId w:val="17"/>
  </w:num>
  <w:num w:numId="29" w16cid:durableId="1500584000">
    <w:abstractNumId w:val="2"/>
  </w:num>
  <w:num w:numId="30" w16cid:durableId="268659971">
    <w:abstractNumId w:val="19"/>
  </w:num>
  <w:num w:numId="31" w16cid:durableId="1838809995">
    <w:abstractNumId w:val="24"/>
  </w:num>
  <w:num w:numId="32" w16cid:durableId="1109736031">
    <w:abstractNumId w:val="16"/>
  </w:num>
  <w:num w:numId="33" w16cid:durableId="1173640886">
    <w:abstractNumId w:val="7"/>
  </w:num>
  <w:num w:numId="34" w16cid:durableId="1367559871">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1A7"/>
    <w:rsid w:val="000005D2"/>
    <w:rsid w:val="00000993"/>
    <w:rsid w:val="0000099D"/>
    <w:rsid w:val="00000E5E"/>
    <w:rsid w:val="00000E76"/>
    <w:rsid w:val="00001118"/>
    <w:rsid w:val="0000124F"/>
    <w:rsid w:val="00001502"/>
    <w:rsid w:val="00001561"/>
    <w:rsid w:val="000018C3"/>
    <w:rsid w:val="00001D06"/>
    <w:rsid w:val="00001D9C"/>
    <w:rsid w:val="00001EC1"/>
    <w:rsid w:val="00002033"/>
    <w:rsid w:val="0000207B"/>
    <w:rsid w:val="000023A4"/>
    <w:rsid w:val="00002FBB"/>
    <w:rsid w:val="0000319F"/>
    <w:rsid w:val="00003338"/>
    <w:rsid w:val="0000356A"/>
    <w:rsid w:val="00003978"/>
    <w:rsid w:val="00003C6B"/>
    <w:rsid w:val="00003F8C"/>
    <w:rsid w:val="000043BE"/>
    <w:rsid w:val="000045AC"/>
    <w:rsid w:val="000046DA"/>
    <w:rsid w:val="0000470C"/>
    <w:rsid w:val="00004B32"/>
    <w:rsid w:val="00004C8F"/>
    <w:rsid w:val="00004DC4"/>
    <w:rsid w:val="00004E49"/>
    <w:rsid w:val="000052E8"/>
    <w:rsid w:val="00005308"/>
    <w:rsid w:val="00005429"/>
    <w:rsid w:val="00005931"/>
    <w:rsid w:val="00005D46"/>
    <w:rsid w:val="00005D64"/>
    <w:rsid w:val="00005EDB"/>
    <w:rsid w:val="0000636A"/>
    <w:rsid w:val="000064E3"/>
    <w:rsid w:val="00006A36"/>
    <w:rsid w:val="00006D3F"/>
    <w:rsid w:val="00006F6E"/>
    <w:rsid w:val="000070BD"/>
    <w:rsid w:val="00007570"/>
    <w:rsid w:val="00007A69"/>
    <w:rsid w:val="00007C2F"/>
    <w:rsid w:val="00007DBE"/>
    <w:rsid w:val="00007E8E"/>
    <w:rsid w:val="00010005"/>
    <w:rsid w:val="00010197"/>
    <w:rsid w:val="00010450"/>
    <w:rsid w:val="0001048E"/>
    <w:rsid w:val="000106E7"/>
    <w:rsid w:val="000109F1"/>
    <w:rsid w:val="00010AAD"/>
    <w:rsid w:val="00010AFA"/>
    <w:rsid w:val="00010B2F"/>
    <w:rsid w:val="00010DE4"/>
    <w:rsid w:val="0001108F"/>
    <w:rsid w:val="000112E9"/>
    <w:rsid w:val="00011327"/>
    <w:rsid w:val="00011DB1"/>
    <w:rsid w:val="00012330"/>
    <w:rsid w:val="000123F0"/>
    <w:rsid w:val="00012408"/>
    <w:rsid w:val="00012914"/>
    <w:rsid w:val="000132DC"/>
    <w:rsid w:val="00013955"/>
    <w:rsid w:val="00013DDB"/>
    <w:rsid w:val="00013E8E"/>
    <w:rsid w:val="00013F2B"/>
    <w:rsid w:val="00014551"/>
    <w:rsid w:val="0001457D"/>
    <w:rsid w:val="00014856"/>
    <w:rsid w:val="00014C50"/>
    <w:rsid w:val="00014D85"/>
    <w:rsid w:val="000150E2"/>
    <w:rsid w:val="00015156"/>
    <w:rsid w:val="00015363"/>
    <w:rsid w:val="000157E3"/>
    <w:rsid w:val="00015F15"/>
    <w:rsid w:val="0001603C"/>
    <w:rsid w:val="000162E8"/>
    <w:rsid w:val="000163AF"/>
    <w:rsid w:val="00016485"/>
    <w:rsid w:val="0001691A"/>
    <w:rsid w:val="00016A6E"/>
    <w:rsid w:val="00016BF4"/>
    <w:rsid w:val="00016C89"/>
    <w:rsid w:val="00016CF0"/>
    <w:rsid w:val="00016D09"/>
    <w:rsid w:val="00016DC6"/>
    <w:rsid w:val="00017352"/>
    <w:rsid w:val="000177B0"/>
    <w:rsid w:val="00017AB7"/>
    <w:rsid w:val="00020064"/>
    <w:rsid w:val="00020211"/>
    <w:rsid w:val="0002025A"/>
    <w:rsid w:val="00020385"/>
    <w:rsid w:val="000203B3"/>
    <w:rsid w:val="000203C9"/>
    <w:rsid w:val="000203FE"/>
    <w:rsid w:val="0002079C"/>
    <w:rsid w:val="000209CC"/>
    <w:rsid w:val="00020B1A"/>
    <w:rsid w:val="00020C9C"/>
    <w:rsid w:val="00021194"/>
    <w:rsid w:val="00021464"/>
    <w:rsid w:val="0002170C"/>
    <w:rsid w:val="000218F1"/>
    <w:rsid w:val="0002199A"/>
    <w:rsid w:val="00021A50"/>
    <w:rsid w:val="00021A64"/>
    <w:rsid w:val="00021B5D"/>
    <w:rsid w:val="000223E5"/>
    <w:rsid w:val="00022400"/>
    <w:rsid w:val="00022416"/>
    <w:rsid w:val="00022764"/>
    <w:rsid w:val="00022770"/>
    <w:rsid w:val="00022C2A"/>
    <w:rsid w:val="00023138"/>
    <w:rsid w:val="00023665"/>
    <w:rsid w:val="00023701"/>
    <w:rsid w:val="00023783"/>
    <w:rsid w:val="0002378A"/>
    <w:rsid w:val="000238A1"/>
    <w:rsid w:val="000239E4"/>
    <w:rsid w:val="00023AFC"/>
    <w:rsid w:val="00023D97"/>
    <w:rsid w:val="00023ECE"/>
    <w:rsid w:val="00024307"/>
    <w:rsid w:val="0002434F"/>
    <w:rsid w:val="0002449E"/>
    <w:rsid w:val="00024C3A"/>
    <w:rsid w:val="00024FCC"/>
    <w:rsid w:val="000254A2"/>
    <w:rsid w:val="0002578C"/>
    <w:rsid w:val="0002579A"/>
    <w:rsid w:val="00025AFD"/>
    <w:rsid w:val="00025FFC"/>
    <w:rsid w:val="00026032"/>
    <w:rsid w:val="00026054"/>
    <w:rsid w:val="000261FE"/>
    <w:rsid w:val="0002627F"/>
    <w:rsid w:val="00026C71"/>
    <w:rsid w:val="00026DC0"/>
    <w:rsid w:val="00026EEE"/>
    <w:rsid w:val="0002706C"/>
    <w:rsid w:val="000270A5"/>
    <w:rsid w:val="000270C4"/>
    <w:rsid w:val="000275F6"/>
    <w:rsid w:val="0002761D"/>
    <w:rsid w:val="00027650"/>
    <w:rsid w:val="00027803"/>
    <w:rsid w:val="00027C87"/>
    <w:rsid w:val="00027EC9"/>
    <w:rsid w:val="00030516"/>
    <w:rsid w:val="0003092F"/>
    <w:rsid w:val="00030A15"/>
    <w:rsid w:val="00030C8C"/>
    <w:rsid w:val="00031198"/>
    <w:rsid w:val="000311DE"/>
    <w:rsid w:val="000313F6"/>
    <w:rsid w:val="0003149C"/>
    <w:rsid w:val="00031542"/>
    <w:rsid w:val="000315DE"/>
    <w:rsid w:val="000316A9"/>
    <w:rsid w:val="0003210D"/>
    <w:rsid w:val="00032230"/>
    <w:rsid w:val="0003252B"/>
    <w:rsid w:val="00032654"/>
    <w:rsid w:val="000328FB"/>
    <w:rsid w:val="00032AFA"/>
    <w:rsid w:val="00032B01"/>
    <w:rsid w:val="00032C62"/>
    <w:rsid w:val="00032CD7"/>
    <w:rsid w:val="00032DA6"/>
    <w:rsid w:val="00032EB9"/>
    <w:rsid w:val="00033042"/>
    <w:rsid w:val="00033206"/>
    <w:rsid w:val="000332AB"/>
    <w:rsid w:val="000336C7"/>
    <w:rsid w:val="00033996"/>
    <w:rsid w:val="00033F34"/>
    <w:rsid w:val="00034841"/>
    <w:rsid w:val="00034B1A"/>
    <w:rsid w:val="00034C80"/>
    <w:rsid w:val="00034D47"/>
    <w:rsid w:val="00034E1F"/>
    <w:rsid w:val="00035026"/>
    <w:rsid w:val="000350D2"/>
    <w:rsid w:val="0003543F"/>
    <w:rsid w:val="00035713"/>
    <w:rsid w:val="00035BB8"/>
    <w:rsid w:val="00035C20"/>
    <w:rsid w:val="00035C58"/>
    <w:rsid w:val="00035EAC"/>
    <w:rsid w:val="00035F43"/>
    <w:rsid w:val="00035F4D"/>
    <w:rsid w:val="00035F91"/>
    <w:rsid w:val="00036178"/>
    <w:rsid w:val="0003642B"/>
    <w:rsid w:val="00036691"/>
    <w:rsid w:val="00037320"/>
    <w:rsid w:val="00037570"/>
    <w:rsid w:val="00037666"/>
    <w:rsid w:val="000378A1"/>
    <w:rsid w:val="0003795D"/>
    <w:rsid w:val="00037D9B"/>
    <w:rsid w:val="00037E62"/>
    <w:rsid w:val="00040016"/>
    <w:rsid w:val="0004010A"/>
    <w:rsid w:val="000405B2"/>
    <w:rsid w:val="00040AD8"/>
    <w:rsid w:val="0004112D"/>
    <w:rsid w:val="000412CF"/>
    <w:rsid w:val="00041437"/>
    <w:rsid w:val="00041696"/>
    <w:rsid w:val="00041727"/>
    <w:rsid w:val="00041B95"/>
    <w:rsid w:val="00041C11"/>
    <w:rsid w:val="00041E56"/>
    <w:rsid w:val="00041E6A"/>
    <w:rsid w:val="000420C4"/>
    <w:rsid w:val="000427BE"/>
    <w:rsid w:val="000428A1"/>
    <w:rsid w:val="00042F6A"/>
    <w:rsid w:val="00042F9C"/>
    <w:rsid w:val="0004306F"/>
    <w:rsid w:val="00043333"/>
    <w:rsid w:val="00043865"/>
    <w:rsid w:val="00043A83"/>
    <w:rsid w:val="00043B27"/>
    <w:rsid w:val="00043C66"/>
    <w:rsid w:val="000440D8"/>
    <w:rsid w:val="000445AB"/>
    <w:rsid w:val="00044716"/>
    <w:rsid w:val="00044AAC"/>
    <w:rsid w:val="00044C13"/>
    <w:rsid w:val="00044D7D"/>
    <w:rsid w:val="00044DC0"/>
    <w:rsid w:val="000450AB"/>
    <w:rsid w:val="0004513D"/>
    <w:rsid w:val="00045307"/>
    <w:rsid w:val="0004557F"/>
    <w:rsid w:val="00045F49"/>
    <w:rsid w:val="00045F96"/>
    <w:rsid w:val="00046293"/>
    <w:rsid w:val="0004630E"/>
    <w:rsid w:val="000465FD"/>
    <w:rsid w:val="00046619"/>
    <w:rsid w:val="000469A0"/>
    <w:rsid w:val="0004722B"/>
    <w:rsid w:val="0004736F"/>
    <w:rsid w:val="00047AA0"/>
    <w:rsid w:val="000500EC"/>
    <w:rsid w:val="00050D7B"/>
    <w:rsid w:val="00050EBC"/>
    <w:rsid w:val="00051319"/>
    <w:rsid w:val="00051363"/>
    <w:rsid w:val="0005154A"/>
    <w:rsid w:val="000516C1"/>
    <w:rsid w:val="000517C8"/>
    <w:rsid w:val="00051A66"/>
    <w:rsid w:val="00051F26"/>
    <w:rsid w:val="0005232F"/>
    <w:rsid w:val="00052559"/>
    <w:rsid w:val="000526A0"/>
    <w:rsid w:val="00052838"/>
    <w:rsid w:val="00052BDA"/>
    <w:rsid w:val="00052D43"/>
    <w:rsid w:val="00052D68"/>
    <w:rsid w:val="0005344C"/>
    <w:rsid w:val="00053463"/>
    <w:rsid w:val="00053490"/>
    <w:rsid w:val="00053762"/>
    <w:rsid w:val="00053BE4"/>
    <w:rsid w:val="00053C31"/>
    <w:rsid w:val="00053D9D"/>
    <w:rsid w:val="00053E3E"/>
    <w:rsid w:val="00053FBF"/>
    <w:rsid w:val="00053FE1"/>
    <w:rsid w:val="0005417B"/>
    <w:rsid w:val="00054904"/>
    <w:rsid w:val="00054CE6"/>
    <w:rsid w:val="00054D2A"/>
    <w:rsid w:val="00054FFB"/>
    <w:rsid w:val="000551A1"/>
    <w:rsid w:val="000555F5"/>
    <w:rsid w:val="0005576C"/>
    <w:rsid w:val="00055805"/>
    <w:rsid w:val="00056813"/>
    <w:rsid w:val="000568D1"/>
    <w:rsid w:val="00056BE0"/>
    <w:rsid w:val="00056C12"/>
    <w:rsid w:val="00057170"/>
    <w:rsid w:val="000572B3"/>
    <w:rsid w:val="000572DA"/>
    <w:rsid w:val="0005764E"/>
    <w:rsid w:val="00057B54"/>
    <w:rsid w:val="00060561"/>
    <w:rsid w:val="00060A39"/>
    <w:rsid w:val="00060D11"/>
    <w:rsid w:val="000610D2"/>
    <w:rsid w:val="0006131C"/>
    <w:rsid w:val="0006140B"/>
    <w:rsid w:val="00061494"/>
    <w:rsid w:val="00061C78"/>
    <w:rsid w:val="00061F08"/>
    <w:rsid w:val="00062147"/>
    <w:rsid w:val="000622F8"/>
    <w:rsid w:val="0006243A"/>
    <w:rsid w:val="0006245B"/>
    <w:rsid w:val="000625C4"/>
    <w:rsid w:val="0006269E"/>
    <w:rsid w:val="00062A3D"/>
    <w:rsid w:val="00063200"/>
    <w:rsid w:val="0006348B"/>
    <w:rsid w:val="00063980"/>
    <w:rsid w:val="00063984"/>
    <w:rsid w:val="0006420E"/>
    <w:rsid w:val="000645F2"/>
    <w:rsid w:val="00064748"/>
    <w:rsid w:val="00064965"/>
    <w:rsid w:val="00064AD4"/>
    <w:rsid w:val="00064B39"/>
    <w:rsid w:val="00064C64"/>
    <w:rsid w:val="00065259"/>
    <w:rsid w:val="00065DB2"/>
    <w:rsid w:val="00066059"/>
    <w:rsid w:val="000666AA"/>
    <w:rsid w:val="0006670F"/>
    <w:rsid w:val="00066978"/>
    <w:rsid w:val="00066C42"/>
    <w:rsid w:val="00066E0C"/>
    <w:rsid w:val="000671B1"/>
    <w:rsid w:val="000671FD"/>
    <w:rsid w:val="000675AD"/>
    <w:rsid w:val="00067879"/>
    <w:rsid w:val="00067B36"/>
    <w:rsid w:val="00067CA3"/>
    <w:rsid w:val="00070256"/>
    <w:rsid w:val="000709A3"/>
    <w:rsid w:val="00070B06"/>
    <w:rsid w:val="00071197"/>
    <w:rsid w:val="000711CE"/>
    <w:rsid w:val="00071262"/>
    <w:rsid w:val="000715D8"/>
    <w:rsid w:val="00071788"/>
    <w:rsid w:val="00071858"/>
    <w:rsid w:val="0007189C"/>
    <w:rsid w:val="00071919"/>
    <w:rsid w:val="000719F8"/>
    <w:rsid w:val="00071B73"/>
    <w:rsid w:val="00071DE8"/>
    <w:rsid w:val="00071EEC"/>
    <w:rsid w:val="000721C6"/>
    <w:rsid w:val="0007222B"/>
    <w:rsid w:val="000723E8"/>
    <w:rsid w:val="00072445"/>
    <w:rsid w:val="0007257B"/>
    <w:rsid w:val="000726A9"/>
    <w:rsid w:val="00072A57"/>
    <w:rsid w:val="00072A78"/>
    <w:rsid w:val="00072CD3"/>
    <w:rsid w:val="00072F4D"/>
    <w:rsid w:val="00073348"/>
    <w:rsid w:val="00073A57"/>
    <w:rsid w:val="00073CED"/>
    <w:rsid w:val="00073EAB"/>
    <w:rsid w:val="00073F48"/>
    <w:rsid w:val="00073F92"/>
    <w:rsid w:val="00073FCF"/>
    <w:rsid w:val="00073FEA"/>
    <w:rsid w:val="00074357"/>
    <w:rsid w:val="00074551"/>
    <w:rsid w:val="0007476A"/>
    <w:rsid w:val="000749C4"/>
    <w:rsid w:val="00074A48"/>
    <w:rsid w:val="00074AF5"/>
    <w:rsid w:val="00074BCA"/>
    <w:rsid w:val="00074BD8"/>
    <w:rsid w:val="00074C70"/>
    <w:rsid w:val="00074ED2"/>
    <w:rsid w:val="00075072"/>
    <w:rsid w:val="00075148"/>
    <w:rsid w:val="000759A7"/>
    <w:rsid w:val="00076504"/>
    <w:rsid w:val="0007656A"/>
    <w:rsid w:val="000765F9"/>
    <w:rsid w:val="00076806"/>
    <w:rsid w:val="00076D35"/>
    <w:rsid w:val="0007728D"/>
    <w:rsid w:val="00077476"/>
    <w:rsid w:val="00077609"/>
    <w:rsid w:val="00077746"/>
    <w:rsid w:val="00077776"/>
    <w:rsid w:val="0007796E"/>
    <w:rsid w:val="00077AC9"/>
    <w:rsid w:val="00077BE4"/>
    <w:rsid w:val="0008012F"/>
    <w:rsid w:val="000807EF"/>
    <w:rsid w:val="000808D6"/>
    <w:rsid w:val="000809C1"/>
    <w:rsid w:val="00080BA2"/>
    <w:rsid w:val="00080DFC"/>
    <w:rsid w:val="00081180"/>
    <w:rsid w:val="00081328"/>
    <w:rsid w:val="00081392"/>
    <w:rsid w:val="0008153B"/>
    <w:rsid w:val="00081697"/>
    <w:rsid w:val="00081A82"/>
    <w:rsid w:val="00081AD8"/>
    <w:rsid w:val="00081AF4"/>
    <w:rsid w:val="00081F04"/>
    <w:rsid w:val="000821B3"/>
    <w:rsid w:val="0008223A"/>
    <w:rsid w:val="0008242E"/>
    <w:rsid w:val="00082465"/>
    <w:rsid w:val="000826A5"/>
    <w:rsid w:val="00082A17"/>
    <w:rsid w:val="00082BA4"/>
    <w:rsid w:val="00082BD6"/>
    <w:rsid w:val="00082C51"/>
    <w:rsid w:val="00082CD4"/>
    <w:rsid w:val="00082D02"/>
    <w:rsid w:val="00082DA8"/>
    <w:rsid w:val="000838F1"/>
    <w:rsid w:val="000839C1"/>
    <w:rsid w:val="00083CB3"/>
    <w:rsid w:val="00083DB6"/>
    <w:rsid w:val="000840DB"/>
    <w:rsid w:val="000843CE"/>
    <w:rsid w:val="00084526"/>
    <w:rsid w:val="000845E3"/>
    <w:rsid w:val="00084735"/>
    <w:rsid w:val="00084802"/>
    <w:rsid w:val="00085594"/>
    <w:rsid w:val="000858A2"/>
    <w:rsid w:val="00085CAF"/>
    <w:rsid w:val="00085CB8"/>
    <w:rsid w:val="00086169"/>
    <w:rsid w:val="00086867"/>
    <w:rsid w:val="00086905"/>
    <w:rsid w:val="00086B7E"/>
    <w:rsid w:val="00086BB3"/>
    <w:rsid w:val="0008727D"/>
    <w:rsid w:val="00087575"/>
    <w:rsid w:val="00087798"/>
    <w:rsid w:val="00087A6F"/>
    <w:rsid w:val="0009009C"/>
    <w:rsid w:val="00090247"/>
    <w:rsid w:val="000904C1"/>
    <w:rsid w:val="00090666"/>
    <w:rsid w:val="000908E2"/>
    <w:rsid w:val="00090D02"/>
    <w:rsid w:val="00090E71"/>
    <w:rsid w:val="00091733"/>
    <w:rsid w:val="00091AD0"/>
    <w:rsid w:val="000921D0"/>
    <w:rsid w:val="0009240B"/>
    <w:rsid w:val="00092604"/>
    <w:rsid w:val="00092EE2"/>
    <w:rsid w:val="00093004"/>
    <w:rsid w:val="00093A2E"/>
    <w:rsid w:val="00093A45"/>
    <w:rsid w:val="00094091"/>
    <w:rsid w:val="0009410D"/>
    <w:rsid w:val="000942B8"/>
    <w:rsid w:val="000942E4"/>
    <w:rsid w:val="000943AB"/>
    <w:rsid w:val="00094680"/>
    <w:rsid w:val="00094798"/>
    <w:rsid w:val="0009486C"/>
    <w:rsid w:val="000948A4"/>
    <w:rsid w:val="000949E0"/>
    <w:rsid w:val="00094AA6"/>
    <w:rsid w:val="00094C06"/>
    <w:rsid w:val="00094C24"/>
    <w:rsid w:val="00094C42"/>
    <w:rsid w:val="0009501A"/>
    <w:rsid w:val="000951BC"/>
    <w:rsid w:val="00095263"/>
    <w:rsid w:val="00095278"/>
    <w:rsid w:val="00095359"/>
    <w:rsid w:val="000954A5"/>
    <w:rsid w:val="0009566E"/>
    <w:rsid w:val="000956FC"/>
    <w:rsid w:val="00095732"/>
    <w:rsid w:val="000957A3"/>
    <w:rsid w:val="00095AC6"/>
    <w:rsid w:val="00095B6F"/>
    <w:rsid w:val="00095F25"/>
    <w:rsid w:val="00095F7E"/>
    <w:rsid w:val="0009628C"/>
    <w:rsid w:val="000968D5"/>
    <w:rsid w:val="00096A57"/>
    <w:rsid w:val="00096B9D"/>
    <w:rsid w:val="00096C4C"/>
    <w:rsid w:val="00096DD4"/>
    <w:rsid w:val="00096DF0"/>
    <w:rsid w:val="0009755A"/>
    <w:rsid w:val="0009794E"/>
    <w:rsid w:val="00097C4D"/>
    <w:rsid w:val="00097C74"/>
    <w:rsid w:val="00097CD7"/>
    <w:rsid w:val="00097E13"/>
    <w:rsid w:val="000A017A"/>
    <w:rsid w:val="000A0245"/>
    <w:rsid w:val="000A039F"/>
    <w:rsid w:val="000A06B2"/>
    <w:rsid w:val="000A0AD9"/>
    <w:rsid w:val="000A0C40"/>
    <w:rsid w:val="000A0F17"/>
    <w:rsid w:val="000A1253"/>
    <w:rsid w:val="000A1416"/>
    <w:rsid w:val="000A145A"/>
    <w:rsid w:val="000A1460"/>
    <w:rsid w:val="000A1489"/>
    <w:rsid w:val="000A175F"/>
    <w:rsid w:val="000A185B"/>
    <w:rsid w:val="000A188F"/>
    <w:rsid w:val="000A1CF2"/>
    <w:rsid w:val="000A20DB"/>
    <w:rsid w:val="000A249D"/>
    <w:rsid w:val="000A280A"/>
    <w:rsid w:val="000A2B5C"/>
    <w:rsid w:val="000A2D6B"/>
    <w:rsid w:val="000A377A"/>
    <w:rsid w:val="000A3937"/>
    <w:rsid w:val="000A3B6B"/>
    <w:rsid w:val="000A3C43"/>
    <w:rsid w:val="000A3CAC"/>
    <w:rsid w:val="000A3D90"/>
    <w:rsid w:val="000A4320"/>
    <w:rsid w:val="000A4353"/>
    <w:rsid w:val="000A4CEE"/>
    <w:rsid w:val="000A4E04"/>
    <w:rsid w:val="000A4F22"/>
    <w:rsid w:val="000A5134"/>
    <w:rsid w:val="000A5360"/>
    <w:rsid w:val="000A547A"/>
    <w:rsid w:val="000A5B8C"/>
    <w:rsid w:val="000A5F89"/>
    <w:rsid w:val="000A61C8"/>
    <w:rsid w:val="000A6297"/>
    <w:rsid w:val="000A648F"/>
    <w:rsid w:val="000A6659"/>
    <w:rsid w:val="000A6715"/>
    <w:rsid w:val="000A67D2"/>
    <w:rsid w:val="000A6C3F"/>
    <w:rsid w:val="000A6EFF"/>
    <w:rsid w:val="000A7435"/>
    <w:rsid w:val="000A7A2B"/>
    <w:rsid w:val="000A7C49"/>
    <w:rsid w:val="000A7CDF"/>
    <w:rsid w:val="000A7DCA"/>
    <w:rsid w:val="000A7E5F"/>
    <w:rsid w:val="000A7F50"/>
    <w:rsid w:val="000A7F58"/>
    <w:rsid w:val="000B0025"/>
    <w:rsid w:val="000B01D7"/>
    <w:rsid w:val="000B0292"/>
    <w:rsid w:val="000B0387"/>
    <w:rsid w:val="000B0B41"/>
    <w:rsid w:val="000B0D7F"/>
    <w:rsid w:val="000B0FDA"/>
    <w:rsid w:val="000B1080"/>
    <w:rsid w:val="000B1374"/>
    <w:rsid w:val="000B153E"/>
    <w:rsid w:val="000B15E0"/>
    <w:rsid w:val="000B1690"/>
    <w:rsid w:val="000B19BB"/>
    <w:rsid w:val="000B1B18"/>
    <w:rsid w:val="000B1B56"/>
    <w:rsid w:val="000B242D"/>
    <w:rsid w:val="000B247C"/>
    <w:rsid w:val="000B289D"/>
    <w:rsid w:val="000B28B9"/>
    <w:rsid w:val="000B2AA6"/>
    <w:rsid w:val="000B2CF6"/>
    <w:rsid w:val="000B2E0A"/>
    <w:rsid w:val="000B30ED"/>
    <w:rsid w:val="000B32C2"/>
    <w:rsid w:val="000B3350"/>
    <w:rsid w:val="000B3444"/>
    <w:rsid w:val="000B3925"/>
    <w:rsid w:val="000B4466"/>
    <w:rsid w:val="000B44E4"/>
    <w:rsid w:val="000B46EC"/>
    <w:rsid w:val="000B4774"/>
    <w:rsid w:val="000B4DDC"/>
    <w:rsid w:val="000B53E0"/>
    <w:rsid w:val="000B53E5"/>
    <w:rsid w:val="000B553E"/>
    <w:rsid w:val="000B55D1"/>
    <w:rsid w:val="000B5752"/>
    <w:rsid w:val="000B5A3C"/>
    <w:rsid w:val="000B5E3B"/>
    <w:rsid w:val="000B5F3F"/>
    <w:rsid w:val="000B6420"/>
    <w:rsid w:val="000B6705"/>
    <w:rsid w:val="000B67F4"/>
    <w:rsid w:val="000B69B4"/>
    <w:rsid w:val="000B6B3C"/>
    <w:rsid w:val="000B6EAF"/>
    <w:rsid w:val="000B70D7"/>
    <w:rsid w:val="000B731B"/>
    <w:rsid w:val="000B7503"/>
    <w:rsid w:val="000B77AF"/>
    <w:rsid w:val="000B7958"/>
    <w:rsid w:val="000B7DDE"/>
    <w:rsid w:val="000B7E39"/>
    <w:rsid w:val="000C048D"/>
    <w:rsid w:val="000C053C"/>
    <w:rsid w:val="000C0565"/>
    <w:rsid w:val="000C06BA"/>
    <w:rsid w:val="000C06C6"/>
    <w:rsid w:val="000C06F9"/>
    <w:rsid w:val="000C071A"/>
    <w:rsid w:val="000C07C4"/>
    <w:rsid w:val="000C081E"/>
    <w:rsid w:val="000C09DC"/>
    <w:rsid w:val="000C0B5D"/>
    <w:rsid w:val="000C0C70"/>
    <w:rsid w:val="000C0CBA"/>
    <w:rsid w:val="000C11D1"/>
    <w:rsid w:val="000C156A"/>
    <w:rsid w:val="000C1748"/>
    <w:rsid w:val="000C1CD3"/>
    <w:rsid w:val="000C1EA8"/>
    <w:rsid w:val="000C2139"/>
    <w:rsid w:val="000C215F"/>
    <w:rsid w:val="000C227D"/>
    <w:rsid w:val="000C2398"/>
    <w:rsid w:val="000C23E4"/>
    <w:rsid w:val="000C24C8"/>
    <w:rsid w:val="000C254B"/>
    <w:rsid w:val="000C2720"/>
    <w:rsid w:val="000C2FFC"/>
    <w:rsid w:val="000C3050"/>
    <w:rsid w:val="000C3418"/>
    <w:rsid w:val="000C36AF"/>
    <w:rsid w:val="000C388D"/>
    <w:rsid w:val="000C3EED"/>
    <w:rsid w:val="000C3FD6"/>
    <w:rsid w:val="000C40F6"/>
    <w:rsid w:val="000C422A"/>
    <w:rsid w:val="000C424B"/>
    <w:rsid w:val="000C42EB"/>
    <w:rsid w:val="000C4311"/>
    <w:rsid w:val="000C474F"/>
    <w:rsid w:val="000C516E"/>
    <w:rsid w:val="000C5238"/>
    <w:rsid w:val="000C541A"/>
    <w:rsid w:val="000C59C7"/>
    <w:rsid w:val="000C5B09"/>
    <w:rsid w:val="000C5CCD"/>
    <w:rsid w:val="000C5E69"/>
    <w:rsid w:val="000C6144"/>
    <w:rsid w:val="000C6203"/>
    <w:rsid w:val="000C6256"/>
    <w:rsid w:val="000C655B"/>
    <w:rsid w:val="000C66BE"/>
    <w:rsid w:val="000C6870"/>
    <w:rsid w:val="000C6BA0"/>
    <w:rsid w:val="000C6C3D"/>
    <w:rsid w:val="000C7652"/>
    <w:rsid w:val="000C7BB8"/>
    <w:rsid w:val="000D004D"/>
    <w:rsid w:val="000D00DA"/>
    <w:rsid w:val="000D0195"/>
    <w:rsid w:val="000D0728"/>
    <w:rsid w:val="000D0733"/>
    <w:rsid w:val="000D09E1"/>
    <w:rsid w:val="000D09E3"/>
    <w:rsid w:val="000D0A3F"/>
    <w:rsid w:val="000D0A73"/>
    <w:rsid w:val="000D0D28"/>
    <w:rsid w:val="000D0E3F"/>
    <w:rsid w:val="000D0E89"/>
    <w:rsid w:val="000D0F06"/>
    <w:rsid w:val="000D123D"/>
    <w:rsid w:val="000D1629"/>
    <w:rsid w:val="000D163B"/>
    <w:rsid w:val="000D1A61"/>
    <w:rsid w:val="000D1DB0"/>
    <w:rsid w:val="000D1E0A"/>
    <w:rsid w:val="000D1F31"/>
    <w:rsid w:val="000D219F"/>
    <w:rsid w:val="000D21CA"/>
    <w:rsid w:val="000D2448"/>
    <w:rsid w:val="000D24CB"/>
    <w:rsid w:val="000D295F"/>
    <w:rsid w:val="000D2A7E"/>
    <w:rsid w:val="000D2AB1"/>
    <w:rsid w:val="000D2BE7"/>
    <w:rsid w:val="000D2C08"/>
    <w:rsid w:val="000D2D5D"/>
    <w:rsid w:val="000D319A"/>
    <w:rsid w:val="000D3282"/>
    <w:rsid w:val="000D35B7"/>
    <w:rsid w:val="000D36C8"/>
    <w:rsid w:val="000D3972"/>
    <w:rsid w:val="000D3B5D"/>
    <w:rsid w:val="000D4135"/>
    <w:rsid w:val="000D451F"/>
    <w:rsid w:val="000D453A"/>
    <w:rsid w:val="000D462B"/>
    <w:rsid w:val="000D4639"/>
    <w:rsid w:val="000D475A"/>
    <w:rsid w:val="000D4AF6"/>
    <w:rsid w:val="000D4C3E"/>
    <w:rsid w:val="000D4C6E"/>
    <w:rsid w:val="000D4E9D"/>
    <w:rsid w:val="000D514B"/>
    <w:rsid w:val="000D5264"/>
    <w:rsid w:val="000D527A"/>
    <w:rsid w:val="000D5C61"/>
    <w:rsid w:val="000D5FE9"/>
    <w:rsid w:val="000D6166"/>
    <w:rsid w:val="000D66D1"/>
    <w:rsid w:val="000D69FD"/>
    <w:rsid w:val="000D6FB8"/>
    <w:rsid w:val="000D708F"/>
    <w:rsid w:val="000D72AC"/>
    <w:rsid w:val="000D73BF"/>
    <w:rsid w:val="000D73D7"/>
    <w:rsid w:val="000D75DE"/>
    <w:rsid w:val="000D76C3"/>
    <w:rsid w:val="000D7A06"/>
    <w:rsid w:val="000D7C62"/>
    <w:rsid w:val="000D7F13"/>
    <w:rsid w:val="000E0619"/>
    <w:rsid w:val="000E065B"/>
    <w:rsid w:val="000E088A"/>
    <w:rsid w:val="000E092E"/>
    <w:rsid w:val="000E09B4"/>
    <w:rsid w:val="000E0AD2"/>
    <w:rsid w:val="000E0F4D"/>
    <w:rsid w:val="000E1023"/>
    <w:rsid w:val="000E1509"/>
    <w:rsid w:val="000E1673"/>
    <w:rsid w:val="000E1A34"/>
    <w:rsid w:val="000E1C15"/>
    <w:rsid w:val="000E1EB5"/>
    <w:rsid w:val="000E2063"/>
    <w:rsid w:val="000E2184"/>
    <w:rsid w:val="000E2200"/>
    <w:rsid w:val="000E22F6"/>
    <w:rsid w:val="000E2913"/>
    <w:rsid w:val="000E2A83"/>
    <w:rsid w:val="000E2AF0"/>
    <w:rsid w:val="000E2E22"/>
    <w:rsid w:val="000E2F36"/>
    <w:rsid w:val="000E3167"/>
    <w:rsid w:val="000E35DD"/>
    <w:rsid w:val="000E370E"/>
    <w:rsid w:val="000E37BB"/>
    <w:rsid w:val="000E3B66"/>
    <w:rsid w:val="000E3DAA"/>
    <w:rsid w:val="000E41A4"/>
    <w:rsid w:val="000E47B5"/>
    <w:rsid w:val="000E481E"/>
    <w:rsid w:val="000E49A1"/>
    <w:rsid w:val="000E49BC"/>
    <w:rsid w:val="000E4A17"/>
    <w:rsid w:val="000E4C18"/>
    <w:rsid w:val="000E4C88"/>
    <w:rsid w:val="000E4EAE"/>
    <w:rsid w:val="000E4F03"/>
    <w:rsid w:val="000E517D"/>
    <w:rsid w:val="000E5AFD"/>
    <w:rsid w:val="000E5C1B"/>
    <w:rsid w:val="000E5D7E"/>
    <w:rsid w:val="000E5DD1"/>
    <w:rsid w:val="000E61FA"/>
    <w:rsid w:val="000E69C8"/>
    <w:rsid w:val="000E740D"/>
    <w:rsid w:val="000E7485"/>
    <w:rsid w:val="000E7596"/>
    <w:rsid w:val="000E77A5"/>
    <w:rsid w:val="000E7B59"/>
    <w:rsid w:val="000E7F40"/>
    <w:rsid w:val="000F0336"/>
    <w:rsid w:val="000F0350"/>
    <w:rsid w:val="000F0749"/>
    <w:rsid w:val="000F091F"/>
    <w:rsid w:val="000F0D74"/>
    <w:rsid w:val="000F103C"/>
    <w:rsid w:val="000F11A0"/>
    <w:rsid w:val="000F1251"/>
    <w:rsid w:val="000F153B"/>
    <w:rsid w:val="000F1554"/>
    <w:rsid w:val="000F1D91"/>
    <w:rsid w:val="000F21D4"/>
    <w:rsid w:val="000F2283"/>
    <w:rsid w:val="000F2412"/>
    <w:rsid w:val="000F254D"/>
    <w:rsid w:val="000F2668"/>
    <w:rsid w:val="000F27AA"/>
    <w:rsid w:val="000F2BD8"/>
    <w:rsid w:val="000F2FCE"/>
    <w:rsid w:val="000F3197"/>
    <w:rsid w:val="000F360B"/>
    <w:rsid w:val="000F3B76"/>
    <w:rsid w:val="000F3EBE"/>
    <w:rsid w:val="000F4790"/>
    <w:rsid w:val="000F4977"/>
    <w:rsid w:val="000F4FF5"/>
    <w:rsid w:val="000F5103"/>
    <w:rsid w:val="000F5202"/>
    <w:rsid w:val="000F53C3"/>
    <w:rsid w:val="000F5444"/>
    <w:rsid w:val="000F55D5"/>
    <w:rsid w:val="000F585D"/>
    <w:rsid w:val="000F5872"/>
    <w:rsid w:val="000F591F"/>
    <w:rsid w:val="000F5EC3"/>
    <w:rsid w:val="000F643F"/>
    <w:rsid w:val="000F69B4"/>
    <w:rsid w:val="000F6C25"/>
    <w:rsid w:val="000F6DF2"/>
    <w:rsid w:val="000F6F01"/>
    <w:rsid w:val="000F749E"/>
    <w:rsid w:val="000F75D4"/>
    <w:rsid w:val="000F7647"/>
    <w:rsid w:val="000F785D"/>
    <w:rsid w:val="000F79C2"/>
    <w:rsid w:val="000F7BB2"/>
    <w:rsid w:val="000F7CEA"/>
    <w:rsid w:val="00100181"/>
    <w:rsid w:val="00100273"/>
    <w:rsid w:val="001002DD"/>
    <w:rsid w:val="001002EB"/>
    <w:rsid w:val="001004BD"/>
    <w:rsid w:val="00100730"/>
    <w:rsid w:val="00100774"/>
    <w:rsid w:val="00100CE8"/>
    <w:rsid w:val="00100EC5"/>
    <w:rsid w:val="0010114F"/>
    <w:rsid w:val="0010120E"/>
    <w:rsid w:val="0010120F"/>
    <w:rsid w:val="00101361"/>
    <w:rsid w:val="00101517"/>
    <w:rsid w:val="0010182B"/>
    <w:rsid w:val="0010192C"/>
    <w:rsid w:val="00101CE3"/>
    <w:rsid w:val="0010207C"/>
    <w:rsid w:val="0010218F"/>
    <w:rsid w:val="0010222D"/>
    <w:rsid w:val="0010237A"/>
    <w:rsid w:val="00102B2D"/>
    <w:rsid w:val="00102D1E"/>
    <w:rsid w:val="00102EC0"/>
    <w:rsid w:val="00103164"/>
    <w:rsid w:val="001036B2"/>
    <w:rsid w:val="001037D1"/>
    <w:rsid w:val="001039BC"/>
    <w:rsid w:val="00103A12"/>
    <w:rsid w:val="00103ACF"/>
    <w:rsid w:val="00103D93"/>
    <w:rsid w:val="00103DAF"/>
    <w:rsid w:val="00104048"/>
    <w:rsid w:val="0010412D"/>
    <w:rsid w:val="00104152"/>
    <w:rsid w:val="0010464D"/>
    <w:rsid w:val="00104738"/>
    <w:rsid w:val="0010484C"/>
    <w:rsid w:val="001049BD"/>
    <w:rsid w:val="00104C61"/>
    <w:rsid w:val="00104C6B"/>
    <w:rsid w:val="00104CB2"/>
    <w:rsid w:val="00104CCE"/>
    <w:rsid w:val="00104D82"/>
    <w:rsid w:val="00104DEE"/>
    <w:rsid w:val="0010508F"/>
    <w:rsid w:val="0010538F"/>
    <w:rsid w:val="00105488"/>
    <w:rsid w:val="00105638"/>
    <w:rsid w:val="00105C80"/>
    <w:rsid w:val="0010600C"/>
    <w:rsid w:val="001060AC"/>
    <w:rsid w:val="00106484"/>
    <w:rsid w:val="0010659A"/>
    <w:rsid w:val="0010681C"/>
    <w:rsid w:val="00107334"/>
    <w:rsid w:val="001073E6"/>
    <w:rsid w:val="00107482"/>
    <w:rsid w:val="001077B7"/>
    <w:rsid w:val="00107B08"/>
    <w:rsid w:val="00107B73"/>
    <w:rsid w:val="00107C7E"/>
    <w:rsid w:val="00107CBA"/>
    <w:rsid w:val="0011000F"/>
    <w:rsid w:val="00110069"/>
    <w:rsid w:val="0011028F"/>
    <w:rsid w:val="0011059F"/>
    <w:rsid w:val="00110661"/>
    <w:rsid w:val="001106FB"/>
    <w:rsid w:val="00110C0E"/>
    <w:rsid w:val="00110C6D"/>
    <w:rsid w:val="001110FF"/>
    <w:rsid w:val="001112C6"/>
    <w:rsid w:val="001112C9"/>
    <w:rsid w:val="00111766"/>
    <w:rsid w:val="00111D9F"/>
    <w:rsid w:val="00111DFC"/>
    <w:rsid w:val="00111E9F"/>
    <w:rsid w:val="00111F16"/>
    <w:rsid w:val="00111F5E"/>
    <w:rsid w:val="00112032"/>
    <w:rsid w:val="00112412"/>
    <w:rsid w:val="0011261A"/>
    <w:rsid w:val="00112BB5"/>
    <w:rsid w:val="00112D01"/>
    <w:rsid w:val="00112D2D"/>
    <w:rsid w:val="001130DB"/>
    <w:rsid w:val="001131AD"/>
    <w:rsid w:val="00113325"/>
    <w:rsid w:val="001134B0"/>
    <w:rsid w:val="0011352C"/>
    <w:rsid w:val="001138D0"/>
    <w:rsid w:val="00113A42"/>
    <w:rsid w:val="00113AF7"/>
    <w:rsid w:val="00113C57"/>
    <w:rsid w:val="00113D51"/>
    <w:rsid w:val="00113DEF"/>
    <w:rsid w:val="00113FFF"/>
    <w:rsid w:val="00114195"/>
    <w:rsid w:val="001143D2"/>
    <w:rsid w:val="0011460B"/>
    <w:rsid w:val="00114A60"/>
    <w:rsid w:val="00114CA2"/>
    <w:rsid w:val="00114D0A"/>
    <w:rsid w:val="00114D45"/>
    <w:rsid w:val="00115290"/>
    <w:rsid w:val="001152F4"/>
    <w:rsid w:val="001153B4"/>
    <w:rsid w:val="00115525"/>
    <w:rsid w:val="00115646"/>
    <w:rsid w:val="001159E7"/>
    <w:rsid w:val="00115A99"/>
    <w:rsid w:val="00116433"/>
    <w:rsid w:val="001167FD"/>
    <w:rsid w:val="00116D6A"/>
    <w:rsid w:val="00116E85"/>
    <w:rsid w:val="001170D7"/>
    <w:rsid w:val="00117383"/>
    <w:rsid w:val="001176F3"/>
    <w:rsid w:val="00117C68"/>
    <w:rsid w:val="00117D1E"/>
    <w:rsid w:val="00117D6C"/>
    <w:rsid w:val="0012034B"/>
    <w:rsid w:val="001206F8"/>
    <w:rsid w:val="001208BD"/>
    <w:rsid w:val="0012094E"/>
    <w:rsid w:val="00120F7D"/>
    <w:rsid w:val="00121158"/>
    <w:rsid w:val="0012165F"/>
    <w:rsid w:val="0012167B"/>
    <w:rsid w:val="001218F9"/>
    <w:rsid w:val="00121A34"/>
    <w:rsid w:val="00121A4C"/>
    <w:rsid w:val="00121D3D"/>
    <w:rsid w:val="00122047"/>
    <w:rsid w:val="001222CB"/>
    <w:rsid w:val="001223B0"/>
    <w:rsid w:val="00122A25"/>
    <w:rsid w:val="00122AB2"/>
    <w:rsid w:val="00122C15"/>
    <w:rsid w:val="00123134"/>
    <w:rsid w:val="0012376D"/>
    <w:rsid w:val="0012386E"/>
    <w:rsid w:val="00123BD6"/>
    <w:rsid w:val="00123C1D"/>
    <w:rsid w:val="0012413A"/>
    <w:rsid w:val="0012427D"/>
    <w:rsid w:val="001242CA"/>
    <w:rsid w:val="00124336"/>
    <w:rsid w:val="001244BD"/>
    <w:rsid w:val="00124A01"/>
    <w:rsid w:val="00124AB4"/>
    <w:rsid w:val="00124C59"/>
    <w:rsid w:val="00124CA3"/>
    <w:rsid w:val="00124D3D"/>
    <w:rsid w:val="0012506A"/>
    <w:rsid w:val="001254A5"/>
    <w:rsid w:val="0012560E"/>
    <w:rsid w:val="00125751"/>
    <w:rsid w:val="00125CD6"/>
    <w:rsid w:val="00125D53"/>
    <w:rsid w:val="00125FD7"/>
    <w:rsid w:val="0012650F"/>
    <w:rsid w:val="001265A4"/>
    <w:rsid w:val="00126722"/>
    <w:rsid w:val="0012672C"/>
    <w:rsid w:val="001269B7"/>
    <w:rsid w:val="00126CF1"/>
    <w:rsid w:val="00126FAA"/>
    <w:rsid w:val="00127076"/>
    <w:rsid w:val="00127168"/>
    <w:rsid w:val="00127600"/>
    <w:rsid w:val="00127E0B"/>
    <w:rsid w:val="00130398"/>
    <w:rsid w:val="0013086E"/>
    <w:rsid w:val="00130E81"/>
    <w:rsid w:val="0013108D"/>
    <w:rsid w:val="0013112C"/>
    <w:rsid w:val="00131327"/>
    <w:rsid w:val="0013151E"/>
    <w:rsid w:val="00131658"/>
    <w:rsid w:val="001317B4"/>
    <w:rsid w:val="00131864"/>
    <w:rsid w:val="00131B77"/>
    <w:rsid w:val="00131E44"/>
    <w:rsid w:val="00131E74"/>
    <w:rsid w:val="00132475"/>
    <w:rsid w:val="00132679"/>
    <w:rsid w:val="00132A06"/>
    <w:rsid w:val="00132C41"/>
    <w:rsid w:val="00132D77"/>
    <w:rsid w:val="00132F38"/>
    <w:rsid w:val="0013330A"/>
    <w:rsid w:val="0013367D"/>
    <w:rsid w:val="001336BD"/>
    <w:rsid w:val="00133BF1"/>
    <w:rsid w:val="00133D3D"/>
    <w:rsid w:val="00133D7E"/>
    <w:rsid w:val="00133E66"/>
    <w:rsid w:val="001341D4"/>
    <w:rsid w:val="001342FB"/>
    <w:rsid w:val="00134349"/>
    <w:rsid w:val="001345A6"/>
    <w:rsid w:val="0013491D"/>
    <w:rsid w:val="0013497C"/>
    <w:rsid w:val="00134989"/>
    <w:rsid w:val="00134BE2"/>
    <w:rsid w:val="00135139"/>
    <w:rsid w:val="00135711"/>
    <w:rsid w:val="001357C2"/>
    <w:rsid w:val="00135858"/>
    <w:rsid w:val="00135B3A"/>
    <w:rsid w:val="00135D3E"/>
    <w:rsid w:val="00135D8E"/>
    <w:rsid w:val="0013602A"/>
    <w:rsid w:val="00136050"/>
    <w:rsid w:val="00136175"/>
    <w:rsid w:val="001361F3"/>
    <w:rsid w:val="00136796"/>
    <w:rsid w:val="00136836"/>
    <w:rsid w:val="001368AE"/>
    <w:rsid w:val="00136A38"/>
    <w:rsid w:val="00136C7E"/>
    <w:rsid w:val="00136D59"/>
    <w:rsid w:val="00136F39"/>
    <w:rsid w:val="00136FAF"/>
    <w:rsid w:val="0013736B"/>
    <w:rsid w:val="00137552"/>
    <w:rsid w:val="00137629"/>
    <w:rsid w:val="00137B11"/>
    <w:rsid w:val="00137D81"/>
    <w:rsid w:val="0014025A"/>
    <w:rsid w:val="00140400"/>
    <w:rsid w:val="00140530"/>
    <w:rsid w:val="001408FD"/>
    <w:rsid w:val="00140910"/>
    <w:rsid w:val="00140AA8"/>
    <w:rsid w:val="00140B3C"/>
    <w:rsid w:val="00140B87"/>
    <w:rsid w:val="00140D78"/>
    <w:rsid w:val="00140EEE"/>
    <w:rsid w:val="00140FD1"/>
    <w:rsid w:val="001411D2"/>
    <w:rsid w:val="0014126A"/>
    <w:rsid w:val="00141487"/>
    <w:rsid w:val="00141D07"/>
    <w:rsid w:val="00141DA9"/>
    <w:rsid w:val="00141DF6"/>
    <w:rsid w:val="0014230D"/>
    <w:rsid w:val="001423DD"/>
    <w:rsid w:val="001424CE"/>
    <w:rsid w:val="001425D7"/>
    <w:rsid w:val="00142636"/>
    <w:rsid w:val="00142F10"/>
    <w:rsid w:val="0014361A"/>
    <w:rsid w:val="001439E3"/>
    <w:rsid w:val="00143CAC"/>
    <w:rsid w:val="00143F12"/>
    <w:rsid w:val="00144166"/>
    <w:rsid w:val="001442EB"/>
    <w:rsid w:val="00144B63"/>
    <w:rsid w:val="00144C1D"/>
    <w:rsid w:val="00144D2F"/>
    <w:rsid w:val="00144DD7"/>
    <w:rsid w:val="00144DFD"/>
    <w:rsid w:val="00145113"/>
    <w:rsid w:val="0014526C"/>
    <w:rsid w:val="001452B8"/>
    <w:rsid w:val="0014539C"/>
    <w:rsid w:val="00145555"/>
    <w:rsid w:val="001456BF"/>
    <w:rsid w:val="001457CF"/>
    <w:rsid w:val="00145BD8"/>
    <w:rsid w:val="00145DA8"/>
    <w:rsid w:val="001463B4"/>
    <w:rsid w:val="001465AB"/>
    <w:rsid w:val="00146B23"/>
    <w:rsid w:val="00146C17"/>
    <w:rsid w:val="00146DD6"/>
    <w:rsid w:val="00147138"/>
    <w:rsid w:val="0014735E"/>
    <w:rsid w:val="00147456"/>
    <w:rsid w:val="00147479"/>
    <w:rsid w:val="0014759B"/>
    <w:rsid w:val="00147846"/>
    <w:rsid w:val="001478AD"/>
    <w:rsid w:val="00147946"/>
    <w:rsid w:val="00147972"/>
    <w:rsid w:val="00147B1A"/>
    <w:rsid w:val="00147CA6"/>
    <w:rsid w:val="00147E67"/>
    <w:rsid w:val="00147FE2"/>
    <w:rsid w:val="00147FFD"/>
    <w:rsid w:val="00150004"/>
    <w:rsid w:val="0015000A"/>
    <w:rsid w:val="0015001A"/>
    <w:rsid w:val="001503A4"/>
    <w:rsid w:val="0015041E"/>
    <w:rsid w:val="00150910"/>
    <w:rsid w:val="00150A90"/>
    <w:rsid w:val="00150AB1"/>
    <w:rsid w:val="00150C9F"/>
    <w:rsid w:val="0015106E"/>
    <w:rsid w:val="00151079"/>
    <w:rsid w:val="001518A3"/>
    <w:rsid w:val="001519A2"/>
    <w:rsid w:val="00151A71"/>
    <w:rsid w:val="00151AC5"/>
    <w:rsid w:val="00151BFC"/>
    <w:rsid w:val="00151CB6"/>
    <w:rsid w:val="00151E2B"/>
    <w:rsid w:val="00152095"/>
    <w:rsid w:val="0015285A"/>
    <w:rsid w:val="00152883"/>
    <w:rsid w:val="001528B8"/>
    <w:rsid w:val="00152A15"/>
    <w:rsid w:val="00152A2E"/>
    <w:rsid w:val="00152D0C"/>
    <w:rsid w:val="00152F73"/>
    <w:rsid w:val="00153087"/>
    <w:rsid w:val="001531DB"/>
    <w:rsid w:val="001534B0"/>
    <w:rsid w:val="001534E7"/>
    <w:rsid w:val="00153732"/>
    <w:rsid w:val="00153959"/>
    <w:rsid w:val="00153BC9"/>
    <w:rsid w:val="00153BF0"/>
    <w:rsid w:val="00153F3A"/>
    <w:rsid w:val="00153F96"/>
    <w:rsid w:val="00154143"/>
    <w:rsid w:val="00154301"/>
    <w:rsid w:val="00154406"/>
    <w:rsid w:val="00154882"/>
    <w:rsid w:val="00154C01"/>
    <w:rsid w:val="00154C03"/>
    <w:rsid w:val="00154E8C"/>
    <w:rsid w:val="00154FCA"/>
    <w:rsid w:val="00155796"/>
    <w:rsid w:val="001557FB"/>
    <w:rsid w:val="00155A4D"/>
    <w:rsid w:val="00155B5C"/>
    <w:rsid w:val="00155CED"/>
    <w:rsid w:val="00155EC3"/>
    <w:rsid w:val="001560B0"/>
    <w:rsid w:val="00156559"/>
    <w:rsid w:val="001565FB"/>
    <w:rsid w:val="001568C2"/>
    <w:rsid w:val="00156F03"/>
    <w:rsid w:val="0015723B"/>
    <w:rsid w:val="001574BE"/>
    <w:rsid w:val="001574FE"/>
    <w:rsid w:val="0015765A"/>
    <w:rsid w:val="00157B7C"/>
    <w:rsid w:val="00157C42"/>
    <w:rsid w:val="00157C76"/>
    <w:rsid w:val="00160566"/>
    <w:rsid w:val="001608BE"/>
    <w:rsid w:val="00160979"/>
    <w:rsid w:val="001615E4"/>
    <w:rsid w:val="001615F4"/>
    <w:rsid w:val="0016166B"/>
    <w:rsid w:val="0016173E"/>
    <w:rsid w:val="00161950"/>
    <w:rsid w:val="00161CB4"/>
    <w:rsid w:val="00161D0F"/>
    <w:rsid w:val="0016267C"/>
    <w:rsid w:val="00162B14"/>
    <w:rsid w:val="00162B26"/>
    <w:rsid w:val="00162B5C"/>
    <w:rsid w:val="001631AA"/>
    <w:rsid w:val="00163285"/>
    <w:rsid w:val="0016349A"/>
    <w:rsid w:val="001639DB"/>
    <w:rsid w:val="00163A6A"/>
    <w:rsid w:val="00163AAB"/>
    <w:rsid w:val="00163B4F"/>
    <w:rsid w:val="00163C19"/>
    <w:rsid w:val="00163EC2"/>
    <w:rsid w:val="00163ECB"/>
    <w:rsid w:val="00163F99"/>
    <w:rsid w:val="001643EB"/>
    <w:rsid w:val="00164656"/>
    <w:rsid w:val="001647DF"/>
    <w:rsid w:val="00164A67"/>
    <w:rsid w:val="00164A9F"/>
    <w:rsid w:val="00164F62"/>
    <w:rsid w:val="001651E9"/>
    <w:rsid w:val="001653EA"/>
    <w:rsid w:val="001656D9"/>
    <w:rsid w:val="00165CF0"/>
    <w:rsid w:val="00165E43"/>
    <w:rsid w:val="00165ECF"/>
    <w:rsid w:val="00165FE7"/>
    <w:rsid w:val="0016612D"/>
    <w:rsid w:val="001665F7"/>
    <w:rsid w:val="00166DDD"/>
    <w:rsid w:val="001672A7"/>
    <w:rsid w:val="0016772A"/>
    <w:rsid w:val="0016773C"/>
    <w:rsid w:val="0016779D"/>
    <w:rsid w:val="00167ADC"/>
    <w:rsid w:val="00167B74"/>
    <w:rsid w:val="00167F1E"/>
    <w:rsid w:val="0017001E"/>
    <w:rsid w:val="001701B2"/>
    <w:rsid w:val="001705D2"/>
    <w:rsid w:val="00170655"/>
    <w:rsid w:val="00171044"/>
    <w:rsid w:val="00171059"/>
    <w:rsid w:val="0017128D"/>
    <w:rsid w:val="00171560"/>
    <w:rsid w:val="00171693"/>
    <w:rsid w:val="00171725"/>
    <w:rsid w:val="00171991"/>
    <w:rsid w:val="00171A80"/>
    <w:rsid w:val="00171E19"/>
    <w:rsid w:val="0017207E"/>
    <w:rsid w:val="00172143"/>
    <w:rsid w:val="001723EE"/>
    <w:rsid w:val="00172721"/>
    <w:rsid w:val="001727D7"/>
    <w:rsid w:val="0017310D"/>
    <w:rsid w:val="00173271"/>
    <w:rsid w:val="001734DA"/>
    <w:rsid w:val="00173C72"/>
    <w:rsid w:val="001745DB"/>
    <w:rsid w:val="0017461E"/>
    <w:rsid w:val="00174816"/>
    <w:rsid w:val="00174B30"/>
    <w:rsid w:val="00174F9A"/>
    <w:rsid w:val="00175818"/>
    <w:rsid w:val="00175869"/>
    <w:rsid w:val="00175935"/>
    <w:rsid w:val="001759F6"/>
    <w:rsid w:val="00175E6D"/>
    <w:rsid w:val="00176ABC"/>
    <w:rsid w:val="00176CC4"/>
    <w:rsid w:val="00176E50"/>
    <w:rsid w:val="001771C4"/>
    <w:rsid w:val="0017734F"/>
    <w:rsid w:val="0017740B"/>
    <w:rsid w:val="00177905"/>
    <w:rsid w:val="00177945"/>
    <w:rsid w:val="00177B6A"/>
    <w:rsid w:val="00177DA9"/>
    <w:rsid w:val="00177F19"/>
    <w:rsid w:val="00177F45"/>
    <w:rsid w:val="00180697"/>
    <w:rsid w:val="001807A1"/>
    <w:rsid w:val="001808A0"/>
    <w:rsid w:val="001808FA"/>
    <w:rsid w:val="00180C4A"/>
    <w:rsid w:val="0018129F"/>
    <w:rsid w:val="001817B6"/>
    <w:rsid w:val="001817C9"/>
    <w:rsid w:val="00181BA1"/>
    <w:rsid w:val="00181D74"/>
    <w:rsid w:val="00182077"/>
    <w:rsid w:val="001824C5"/>
    <w:rsid w:val="001826A0"/>
    <w:rsid w:val="001829DC"/>
    <w:rsid w:val="00182BED"/>
    <w:rsid w:val="00182BF3"/>
    <w:rsid w:val="00182C47"/>
    <w:rsid w:val="00182CAA"/>
    <w:rsid w:val="00183758"/>
    <w:rsid w:val="0018384D"/>
    <w:rsid w:val="00183CF9"/>
    <w:rsid w:val="00183DAF"/>
    <w:rsid w:val="001840AD"/>
    <w:rsid w:val="00184793"/>
    <w:rsid w:val="00184A8E"/>
    <w:rsid w:val="00184B2D"/>
    <w:rsid w:val="00184D3E"/>
    <w:rsid w:val="00184EAE"/>
    <w:rsid w:val="00184F22"/>
    <w:rsid w:val="00184FD6"/>
    <w:rsid w:val="001851D3"/>
    <w:rsid w:val="00185312"/>
    <w:rsid w:val="0018568E"/>
    <w:rsid w:val="00185752"/>
    <w:rsid w:val="00185AF5"/>
    <w:rsid w:val="00185C62"/>
    <w:rsid w:val="00185D9C"/>
    <w:rsid w:val="00185F0C"/>
    <w:rsid w:val="00185F58"/>
    <w:rsid w:val="0018600B"/>
    <w:rsid w:val="001860A8"/>
    <w:rsid w:val="00186258"/>
    <w:rsid w:val="00186260"/>
    <w:rsid w:val="00186300"/>
    <w:rsid w:val="001865AF"/>
    <w:rsid w:val="00186621"/>
    <w:rsid w:val="00186845"/>
    <w:rsid w:val="00186C0E"/>
    <w:rsid w:val="00187225"/>
    <w:rsid w:val="001872FF"/>
    <w:rsid w:val="00187639"/>
    <w:rsid w:val="00187784"/>
    <w:rsid w:val="00187937"/>
    <w:rsid w:val="00187BC4"/>
    <w:rsid w:val="00187C14"/>
    <w:rsid w:val="00187C7E"/>
    <w:rsid w:val="0018B98B"/>
    <w:rsid w:val="0018FE79"/>
    <w:rsid w:val="0019009B"/>
    <w:rsid w:val="00190116"/>
    <w:rsid w:val="00190236"/>
    <w:rsid w:val="00190A87"/>
    <w:rsid w:val="00190BD7"/>
    <w:rsid w:val="00190C5A"/>
    <w:rsid w:val="00191293"/>
    <w:rsid w:val="0019138B"/>
    <w:rsid w:val="001913C4"/>
    <w:rsid w:val="001926F7"/>
    <w:rsid w:val="00192CAC"/>
    <w:rsid w:val="00192E39"/>
    <w:rsid w:val="00193062"/>
    <w:rsid w:val="00193114"/>
    <w:rsid w:val="00193253"/>
    <w:rsid w:val="0019361F"/>
    <w:rsid w:val="0019362E"/>
    <w:rsid w:val="0019368C"/>
    <w:rsid w:val="001936B9"/>
    <w:rsid w:val="00193727"/>
    <w:rsid w:val="0019393E"/>
    <w:rsid w:val="00193AD5"/>
    <w:rsid w:val="00193CC3"/>
    <w:rsid w:val="00193CC9"/>
    <w:rsid w:val="001941B6"/>
    <w:rsid w:val="001941E3"/>
    <w:rsid w:val="00194206"/>
    <w:rsid w:val="0019460E"/>
    <w:rsid w:val="0019472A"/>
    <w:rsid w:val="00195245"/>
    <w:rsid w:val="0019596B"/>
    <w:rsid w:val="0019597F"/>
    <w:rsid w:val="001959AD"/>
    <w:rsid w:val="00195EC5"/>
    <w:rsid w:val="00196063"/>
    <w:rsid w:val="0019625C"/>
    <w:rsid w:val="0019632F"/>
    <w:rsid w:val="00196459"/>
    <w:rsid w:val="0019665E"/>
    <w:rsid w:val="001968EA"/>
    <w:rsid w:val="001969B9"/>
    <w:rsid w:val="00196B59"/>
    <w:rsid w:val="00196B6F"/>
    <w:rsid w:val="00196D8D"/>
    <w:rsid w:val="00196EDA"/>
    <w:rsid w:val="0019706E"/>
    <w:rsid w:val="00197342"/>
    <w:rsid w:val="00197425"/>
    <w:rsid w:val="001979E5"/>
    <w:rsid w:val="00197AFA"/>
    <w:rsid w:val="00197C5E"/>
    <w:rsid w:val="00197C93"/>
    <w:rsid w:val="00197D8A"/>
    <w:rsid w:val="001A0092"/>
    <w:rsid w:val="001A04FF"/>
    <w:rsid w:val="001A0916"/>
    <w:rsid w:val="001A0C43"/>
    <w:rsid w:val="001A0D75"/>
    <w:rsid w:val="001A0EE7"/>
    <w:rsid w:val="001A1000"/>
    <w:rsid w:val="001A10FB"/>
    <w:rsid w:val="001A20DD"/>
    <w:rsid w:val="001A26C3"/>
    <w:rsid w:val="001A2B1E"/>
    <w:rsid w:val="001A2BCB"/>
    <w:rsid w:val="001A2BF0"/>
    <w:rsid w:val="001A3354"/>
    <w:rsid w:val="001A3620"/>
    <w:rsid w:val="001A3BFB"/>
    <w:rsid w:val="001A3DC6"/>
    <w:rsid w:val="001A3DE1"/>
    <w:rsid w:val="001A411B"/>
    <w:rsid w:val="001A4312"/>
    <w:rsid w:val="001A4385"/>
    <w:rsid w:val="001A4574"/>
    <w:rsid w:val="001A45E0"/>
    <w:rsid w:val="001A45E5"/>
    <w:rsid w:val="001A468D"/>
    <w:rsid w:val="001A4B1A"/>
    <w:rsid w:val="001A5042"/>
    <w:rsid w:val="001A51A0"/>
    <w:rsid w:val="001A51F0"/>
    <w:rsid w:val="001A55CB"/>
    <w:rsid w:val="001A5D17"/>
    <w:rsid w:val="001A60F1"/>
    <w:rsid w:val="001A6176"/>
    <w:rsid w:val="001A6204"/>
    <w:rsid w:val="001A6241"/>
    <w:rsid w:val="001A655A"/>
    <w:rsid w:val="001A681A"/>
    <w:rsid w:val="001A6962"/>
    <w:rsid w:val="001A6AF4"/>
    <w:rsid w:val="001A6C96"/>
    <w:rsid w:val="001A6D3D"/>
    <w:rsid w:val="001A6ED7"/>
    <w:rsid w:val="001A71C0"/>
    <w:rsid w:val="001A7287"/>
    <w:rsid w:val="001A7398"/>
    <w:rsid w:val="001A7652"/>
    <w:rsid w:val="001A77D4"/>
    <w:rsid w:val="001A7B23"/>
    <w:rsid w:val="001B01EA"/>
    <w:rsid w:val="001B0201"/>
    <w:rsid w:val="001B02E1"/>
    <w:rsid w:val="001B05CC"/>
    <w:rsid w:val="001B0753"/>
    <w:rsid w:val="001B0A2E"/>
    <w:rsid w:val="001B0A4D"/>
    <w:rsid w:val="001B0B3E"/>
    <w:rsid w:val="001B0B56"/>
    <w:rsid w:val="001B0D3D"/>
    <w:rsid w:val="001B11FD"/>
    <w:rsid w:val="001B12EC"/>
    <w:rsid w:val="001B1B7F"/>
    <w:rsid w:val="001B1D4F"/>
    <w:rsid w:val="001B1E93"/>
    <w:rsid w:val="001B216F"/>
    <w:rsid w:val="001B2254"/>
    <w:rsid w:val="001B22E2"/>
    <w:rsid w:val="001B243C"/>
    <w:rsid w:val="001B24A2"/>
    <w:rsid w:val="001B2D28"/>
    <w:rsid w:val="001B33CC"/>
    <w:rsid w:val="001B343D"/>
    <w:rsid w:val="001B39DB"/>
    <w:rsid w:val="001B3E40"/>
    <w:rsid w:val="001B3E9F"/>
    <w:rsid w:val="001B40D4"/>
    <w:rsid w:val="001B416D"/>
    <w:rsid w:val="001B42DA"/>
    <w:rsid w:val="001B4D45"/>
    <w:rsid w:val="001B4FAA"/>
    <w:rsid w:val="001B6342"/>
    <w:rsid w:val="001B634E"/>
    <w:rsid w:val="001B63AB"/>
    <w:rsid w:val="001B63D3"/>
    <w:rsid w:val="001B65DD"/>
    <w:rsid w:val="001B6678"/>
    <w:rsid w:val="001B67AC"/>
    <w:rsid w:val="001B684B"/>
    <w:rsid w:val="001B69BA"/>
    <w:rsid w:val="001B6DBC"/>
    <w:rsid w:val="001B6E34"/>
    <w:rsid w:val="001B6F4E"/>
    <w:rsid w:val="001B7027"/>
    <w:rsid w:val="001B712E"/>
    <w:rsid w:val="001B7679"/>
    <w:rsid w:val="001B771B"/>
    <w:rsid w:val="001C0266"/>
    <w:rsid w:val="001C0456"/>
    <w:rsid w:val="001C0591"/>
    <w:rsid w:val="001C09C9"/>
    <w:rsid w:val="001C0A5C"/>
    <w:rsid w:val="001C0E79"/>
    <w:rsid w:val="001C0FBC"/>
    <w:rsid w:val="001C1089"/>
    <w:rsid w:val="001C11D3"/>
    <w:rsid w:val="001C1314"/>
    <w:rsid w:val="001C16B9"/>
    <w:rsid w:val="001C1B7F"/>
    <w:rsid w:val="001C1DC1"/>
    <w:rsid w:val="001C215D"/>
    <w:rsid w:val="001C284F"/>
    <w:rsid w:val="001C29CA"/>
    <w:rsid w:val="001C2A1A"/>
    <w:rsid w:val="001C2BAF"/>
    <w:rsid w:val="001C2C01"/>
    <w:rsid w:val="001C2CDC"/>
    <w:rsid w:val="001C306B"/>
    <w:rsid w:val="001C3144"/>
    <w:rsid w:val="001C33F3"/>
    <w:rsid w:val="001C3C07"/>
    <w:rsid w:val="001C3FB7"/>
    <w:rsid w:val="001C4066"/>
    <w:rsid w:val="001C4074"/>
    <w:rsid w:val="001C40FE"/>
    <w:rsid w:val="001C410E"/>
    <w:rsid w:val="001C43E8"/>
    <w:rsid w:val="001C46F5"/>
    <w:rsid w:val="001C4881"/>
    <w:rsid w:val="001C4897"/>
    <w:rsid w:val="001C519E"/>
    <w:rsid w:val="001C52CE"/>
    <w:rsid w:val="001C543A"/>
    <w:rsid w:val="001C54CD"/>
    <w:rsid w:val="001C594C"/>
    <w:rsid w:val="001C5A07"/>
    <w:rsid w:val="001C5ACB"/>
    <w:rsid w:val="001C5DA8"/>
    <w:rsid w:val="001C5F24"/>
    <w:rsid w:val="001C6002"/>
    <w:rsid w:val="001C633F"/>
    <w:rsid w:val="001C63D6"/>
    <w:rsid w:val="001C63FE"/>
    <w:rsid w:val="001C6699"/>
    <w:rsid w:val="001C6BCA"/>
    <w:rsid w:val="001C71C5"/>
    <w:rsid w:val="001C71D9"/>
    <w:rsid w:val="001C73FB"/>
    <w:rsid w:val="001C7475"/>
    <w:rsid w:val="001C75D5"/>
    <w:rsid w:val="001C7786"/>
    <w:rsid w:val="001C77F7"/>
    <w:rsid w:val="001C78B3"/>
    <w:rsid w:val="001C7B13"/>
    <w:rsid w:val="001C7EF4"/>
    <w:rsid w:val="001D00CE"/>
    <w:rsid w:val="001D06F9"/>
    <w:rsid w:val="001D06FF"/>
    <w:rsid w:val="001D0772"/>
    <w:rsid w:val="001D0A63"/>
    <w:rsid w:val="001D0BEA"/>
    <w:rsid w:val="001D0D00"/>
    <w:rsid w:val="001D1207"/>
    <w:rsid w:val="001D127D"/>
    <w:rsid w:val="001D1295"/>
    <w:rsid w:val="001D140C"/>
    <w:rsid w:val="001D151D"/>
    <w:rsid w:val="001D1620"/>
    <w:rsid w:val="001D1948"/>
    <w:rsid w:val="001D1BD8"/>
    <w:rsid w:val="001D1E16"/>
    <w:rsid w:val="001D1E7B"/>
    <w:rsid w:val="001D222A"/>
    <w:rsid w:val="001D255D"/>
    <w:rsid w:val="001D26FC"/>
    <w:rsid w:val="001D2762"/>
    <w:rsid w:val="001D2848"/>
    <w:rsid w:val="001D35EA"/>
    <w:rsid w:val="001D3782"/>
    <w:rsid w:val="001D385D"/>
    <w:rsid w:val="001D3A20"/>
    <w:rsid w:val="001D3B2B"/>
    <w:rsid w:val="001D3BFA"/>
    <w:rsid w:val="001D3E1B"/>
    <w:rsid w:val="001D4141"/>
    <w:rsid w:val="001D41D0"/>
    <w:rsid w:val="001D44E5"/>
    <w:rsid w:val="001D473A"/>
    <w:rsid w:val="001D49CC"/>
    <w:rsid w:val="001D4C9D"/>
    <w:rsid w:val="001D4E30"/>
    <w:rsid w:val="001D4FC2"/>
    <w:rsid w:val="001D502E"/>
    <w:rsid w:val="001D569D"/>
    <w:rsid w:val="001D56C2"/>
    <w:rsid w:val="001D57A6"/>
    <w:rsid w:val="001D59F7"/>
    <w:rsid w:val="001D5A25"/>
    <w:rsid w:val="001D5A90"/>
    <w:rsid w:val="001D5B1E"/>
    <w:rsid w:val="001D5C30"/>
    <w:rsid w:val="001D6166"/>
    <w:rsid w:val="001D61C6"/>
    <w:rsid w:val="001D620B"/>
    <w:rsid w:val="001D6356"/>
    <w:rsid w:val="001D668F"/>
    <w:rsid w:val="001D6751"/>
    <w:rsid w:val="001D71E2"/>
    <w:rsid w:val="001D728E"/>
    <w:rsid w:val="001D751C"/>
    <w:rsid w:val="001D78C8"/>
    <w:rsid w:val="001D7AEF"/>
    <w:rsid w:val="001E007D"/>
    <w:rsid w:val="001E036C"/>
    <w:rsid w:val="001E03F8"/>
    <w:rsid w:val="001E049B"/>
    <w:rsid w:val="001E051A"/>
    <w:rsid w:val="001E0534"/>
    <w:rsid w:val="001E05E4"/>
    <w:rsid w:val="001E09E4"/>
    <w:rsid w:val="001E0B39"/>
    <w:rsid w:val="001E0D1E"/>
    <w:rsid w:val="001E0D2F"/>
    <w:rsid w:val="001E0E00"/>
    <w:rsid w:val="001E0E4D"/>
    <w:rsid w:val="001E1099"/>
    <w:rsid w:val="001E10DF"/>
    <w:rsid w:val="001E16BB"/>
    <w:rsid w:val="001E196C"/>
    <w:rsid w:val="001E1A26"/>
    <w:rsid w:val="001E1AEE"/>
    <w:rsid w:val="001E1B47"/>
    <w:rsid w:val="001E1BEC"/>
    <w:rsid w:val="001E21A6"/>
    <w:rsid w:val="001E222A"/>
    <w:rsid w:val="001E2422"/>
    <w:rsid w:val="001E257E"/>
    <w:rsid w:val="001E26B7"/>
    <w:rsid w:val="001E289D"/>
    <w:rsid w:val="001E2965"/>
    <w:rsid w:val="001E299B"/>
    <w:rsid w:val="001E2ABE"/>
    <w:rsid w:val="001E2EB7"/>
    <w:rsid w:val="001E316C"/>
    <w:rsid w:val="001E33D4"/>
    <w:rsid w:val="001E3578"/>
    <w:rsid w:val="001E3891"/>
    <w:rsid w:val="001E3D13"/>
    <w:rsid w:val="001E3DCD"/>
    <w:rsid w:val="001E4D75"/>
    <w:rsid w:val="001E4D82"/>
    <w:rsid w:val="001E4E96"/>
    <w:rsid w:val="001E4EA0"/>
    <w:rsid w:val="001E55EA"/>
    <w:rsid w:val="001E5A9E"/>
    <w:rsid w:val="001E5B70"/>
    <w:rsid w:val="001E5DF5"/>
    <w:rsid w:val="001E60D7"/>
    <w:rsid w:val="001E61B0"/>
    <w:rsid w:val="001E63FF"/>
    <w:rsid w:val="001E64BF"/>
    <w:rsid w:val="001E663A"/>
    <w:rsid w:val="001E6F63"/>
    <w:rsid w:val="001E7517"/>
    <w:rsid w:val="001E753A"/>
    <w:rsid w:val="001E762B"/>
    <w:rsid w:val="001E7674"/>
    <w:rsid w:val="001E783F"/>
    <w:rsid w:val="001E7A43"/>
    <w:rsid w:val="001E7B5A"/>
    <w:rsid w:val="001E7F29"/>
    <w:rsid w:val="001F0110"/>
    <w:rsid w:val="001F0459"/>
    <w:rsid w:val="001F085C"/>
    <w:rsid w:val="001F0B8B"/>
    <w:rsid w:val="001F0BD1"/>
    <w:rsid w:val="001F15C0"/>
    <w:rsid w:val="001F1EFD"/>
    <w:rsid w:val="001F1F7C"/>
    <w:rsid w:val="001F201C"/>
    <w:rsid w:val="001F2025"/>
    <w:rsid w:val="001F2039"/>
    <w:rsid w:val="001F2382"/>
    <w:rsid w:val="001F23B9"/>
    <w:rsid w:val="001F252A"/>
    <w:rsid w:val="001F25AA"/>
    <w:rsid w:val="001F272A"/>
    <w:rsid w:val="001F283C"/>
    <w:rsid w:val="001F2D0C"/>
    <w:rsid w:val="001F2F27"/>
    <w:rsid w:val="001F2F6F"/>
    <w:rsid w:val="001F306A"/>
    <w:rsid w:val="001F31CE"/>
    <w:rsid w:val="001F3451"/>
    <w:rsid w:val="001F3798"/>
    <w:rsid w:val="001F3CBA"/>
    <w:rsid w:val="001F3D31"/>
    <w:rsid w:val="001F3F6E"/>
    <w:rsid w:val="001F402E"/>
    <w:rsid w:val="001F4097"/>
    <w:rsid w:val="001F4227"/>
    <w:rsid w:val="001F4344"/>
    <w:rsid w:val="001F459B"/>
    <w:rsid w:val="001F4BF3"/>
    <w:rsid w:val="001F4F25"/>
    <w:rsid w:val="001F5080"/>
    <w:rsid w:val="001F508E"/>
    <w:rsid w:val="001F5266"/>
    <w:rsid w:val="001F52CB"/>
    <w:rsid w:val="001F54C6"/>
    <w:rsid w:val="001F5760"/>
    <w:rsid w:val="001F58FA"/>
    <w:rsid w:val="001F5C3D"/>
    <w:rsid w:val="001F5CC0"/>
    <w:rsid w:val="001F5E1C"/>
    <w:rsid w:val="001F5E49"/>
    <w:rsid w:val="001F5F64"/>
    <w:rsid w:val="001F61DB"/>
    <w:rsid w:val="001F6615"/>
    <w:rsid w:val="001F6946"/>
    <w:rsid w:val="001F6989"/>
    <w:rsid w:val="001F6D83"/>
    <w:rsid w:val="001F7014"/>
    <w:rsid w:val="001F74D3"/>
    <w:rsid w:val="001F7586"/>
    <w:rsid w:val="001F7735"/>
    <w:rsid w:val="0020024F"/>
    <w:rsid w:val="0020028D"/>
    <w:rsid w:val="002005E6"/>
    <w:rsid w:val="0020071C"/>
    <w:rsid w:val="00200795"/>
    <w:rsid w:val="00200A6F"/>
    <w:rsid w:val="00200EF7"/>
    <w:rsid w:val="00201594"/>
    <w:rsid w:val="00201632"/>
    <w:rsid w:val="002019EB"/>
    <w:rsid w:val="00201BC6"/>
    <w:rsid w:val="00202381"/>
    <w:rsid w:val="0020278C"/>
    <w:rsid w:val="0020279A"/>
    <w:rsid w:val="00202D70"/>
    <w:rsid w:val="00202E0A"/>
    <w:rsid w:val="00202F0E"/>
    <w:rsid w:val="00202FF2"/>
    <w:rsid w:val="002030BC"/>
    <w:rsid w:val="00203692"/>
    <w:rsid w:val="00203CC8"/>
    <w:rsid w:val="00203FA4"/>
    <w:rsid w:val="0020448D"/>
    <w:rsid w:val="002044E2"/>
    <w:rsid w:val="00204966"/>
    <w:rsid w:val="00204C25"/>
    <w:rsid w:val="00204C32"/>
    <w:rsid w:val="00204D4E"/>
    <w:rsid w:val="00204DEA"/>
    <w:rsid w:val="00204E7E"/>
    <w:rsid w:val="00205073"/>
    <w:rsid w:val="00205083"/>
    <w:rsid w:val="00205236"/>
    <w:rsid w:val="00205473"/>
    <w:rsid w:val="002056DA"/>
    <w:rsid w:val="00205883"/>
    <w:rsid w:val="00205921"/>
    <w:rsid w:val="00205963"/>
    <w:rsid w:val="00205980"/>
    <w:rsid w:val="00205EB8"/>
    <w:rsid w:val="0020604F"/>
    <w:rsid w:val="002061EF"/>
    <w:rsid w:val="002067D1"/>
    <w:rsid w:val="00207E8C"/>
    <w:rsid w:val="0021048D"/>
    <w:rsid w:val="002105C6"/>
    <w:rsid w:val="00210ED0"/>
    <w:rsid w:val="00210FC5"/>
    <w:rsid w:val="00211082"/>
    <w:rsid w:val="002115B3"/>
    <w:rsid w:val="00211683"/>
    <w:rsid w:val="002117D0"/>
    <w:rsid w:val="00211AD9"/>
    <w:rsid w:val="00211AFA"/>
    <w:rsid w:val="00211DFB"/>
    <w:rsid w:val="0021221D"/>
    <w:rsid w:val="002124AA"/>
    <w:rsid w:val="00212565"/>
    <w:rsid w:val="00212819"/>
    <w:rsid w:val="00212EFA"/>
    <w:rsid w:val="00213011"/>
    <w:rsid w:val="00213469"/>
    <w:rsid w:val="0021360B"/>
    <w:rsid w:val="00213726"/>
    <w:rsid w:val="00213884"/>
    <w:rsid w:val="00213D22"/>
    <w:rsid w:val="00214169"/>
    <w:rsid w:val="00214202"/>
    <w:rsid w:val="00214899"/>
    <w:rsid w:val="00214D09"/>
    <w:rsid w:val="00215113"/>
    <w:rsid w:val="002151FC"/>
    <w:rsid w:val="00215512"/>
    <w:rsid w:val="0021580A"/>
    <w:rsid w:val="002158F7"/>
    <w:rsid w:val="002159F4"/>
    <w:rsid w:val="00216051"/>
    <w:rsid w:val="00216565"/>
    <w:rsid w:val="002165A7"/>
    <w:rsid w:val="00216704"/>
    <w:rsid w:val="002167D6"/>
    <w:rsid w:val="00216D4A"/>
    <w:rsid w:val="002170B4"/>
    <w:rsid w:val="00217301"/>
    <w:rsid w:val="00217327"/>
    <w:rsid w:val="0021740E"/>
    <w:rsid w:val="002174C0"/>
    <w:rsid w:val="00217695"/>
    <w:rsid w:val="002176D3"/>
    <w:rsid w:val="002176EA"/>
    <w:rsid w:val="00217A1F"/>
    <w:rsid w:val="00217F8E"/>
    <w:rsid w:val="0022005C"/>
    <w:rsid w:val="0022034B"/>
    <w:rsid w:val="00220387"/>
    <w:rsid w:val="002204B8"/>
    <w:rsid w:val="00220A1B"/>
    <w:rsid w:val="00220C29"/>
    <w:rsid w:val="00220ED2"/>
    <w:rsid w:val="00220F2A"/>
    <w:rsid w:val="0022144C"/>
    <w:rsid w:val="00221B40"/>
    <w:rsid w:val="00221CCF"/>
    <w:rsid w:val="0022206A"/>
    <w:rsid w:val="002220CC"/>
    <w:rsid w:val="002221DB"/>
    <w:rsid w:val="002222BE"/>
    <w:rsid w:val="00222607"/>
    <w:rsid w:val="00222ABB"/>
    <w:rsid w:val="00222DD6"/>
    <w:rsid w:val="00222DF4"/>
    <w:rsid w:val="00222E43"/>
    <w:rsid w:val="00223109"/>
    <w:rsid w:val="002231A5"/>
    <w:rsid w:val="002231E8"/>
    <w:rsid w:val="0022322C"/>
    <w:rsid w:val="002232E3"/>
    <w:rsid w:val="00223388"/>
    <w:rsid w:val="002233A8"/>
    <w:rsid w:val="002234AE"/>
    <w:rsid w:val="0022381A"/>
    <w:rsid w:val="00223E5D"/>
    <w:rsid w:val="0022425E"/>
    <w:rsid w:val="002242D4"/>
    <w:rsid w:val="002243CA"/>
    <w:rsid w:val="002243CD"/>
    <w:rsid w:val="002244AE"/>
    <w:rsid w:val="00224532"/>
    <w:rsid w:val="002247F5"/>
    <w:rsid w:val="002247FB"/>
    <w:rsid w:val="002248CB"/>
    <w:rsid w:val="00224AA4"/>
    <w:rsid w:val="00225065"/>
    <w:rsid w:val="002253F6"/>
    <w:rsid w:val="00225921"/>
    <w:rsid w:val="00225A42"/>
    <w:rsid w:val="00226430"/>
    <w:rsid w:val="00226875"/>
    <w:rsid w:val="00226BF6"/>
    <w:rsid w:val="00226E6A"/>
    <w:rsid w:val="002272C0"/>
    <w:rsid w:val="00227A08"/>
    <w:rsid w:val="00227BC3"/>
    <w:rsid w:val="0023025E"/>
    <w:rsid w:val="00230989"/>
    <w:rsid w:val="00230BFB"/>
    <w:rsid w:val="00231ED6"/>
    <w:rsid w:val="00231FF0"/>
    <w:rsid w:val="0023227D"/>
    <w:rsid w:val="002322E6"/>
    <w:rsid w:val="002325BA"/>
    <w:rsid w:val="0023265B"/>
    <w:rsid w:val="0023282B"/>
    <w:rsid w:val="00232C54"/>
    <w:rsid w:val="00232D41"/>
    <w:rsid w:val="00233137"/>
    <w:rsid w:val="00233221"/>
    <w:rsid w:val="0023331A"/>
    <w:rsid w:val="002336D1"/>
    <w:rsid w:val="0023371D"/>
    <w:rsid w:val="002337AE"/>
    <w:rsid w:val="00233908"/>
    <w:rsid w:val="00233B2E"/>
    <w:rsid w:val="00233D09"/>
    <w:rsid w:val="00233E82"/>
    <w:rsid w:val="00233EBE"/>
    <w:rsid w:val="002342C0"/>
    <w:rsid w:val="002343F6"/>
    <w:rsid w:val="0023443E"/>
    <w:rsid w:val="00234A24"/>
    <w:rsid w:val="00234B61"/>
    <w:rsid w:val="00234E77"/>
    <w:rsid w:val="002350DD"/>
    <w:rsid w:val="0023550A"/>
    <w:rsid w:val="002356A7"/>
    <w:rsid w:val="00235816"/>
    <w:rsid w:val="00235840"/>
    <w:rsid w:val="00235928"/>
    <w:rsid w:val="00235ACB"/>
    <w:rsid w:val="00236216"/>
    <w:rsid w:val="002362B0"/>
    <w:rsid w:val="002362B5"/>
    <w:rsid w:val="00236326"/>
    <w:rsid w:val="00236977"/>
    <w:rsid w:val="00236ED4"/>
    <w:rsid w:val="00237142"/>
    <w:rsid w:val="0023749A"/>
    <w:rsid w:val="002374E2"/>
    <w:rsid w:val="00237580"/>
    <w:rsid w:val="00237795"/>
    <w:rsid w:val="002378F2"/>
    <w:rsid w:val="00237918"/>
    <w:rsid w:val="00237A5A"/>
    <w:rsid w:val="00237F2E"/>
    <w:rsid w:val="00237F44"/>
    <w:rsid w:val="0024021A"/>
    <w:rsid w:val="002402CB"/>
    <w:rsid w:val="002402E8"/>
    <w:rsid w:val="00240356"/>
    <w:rsid w:val="00240584"/>
    <w:rsid w:val="00240588"/>
    <w:rsid w:val="00240693"/>
    <w:rsid w:val="00240923"/>
    <w:rsid w:val="00240941"/>
    <w:rsid w:val="0024129E"/>
    <w:rsid w:val="00241A67"/>
    <w:rsid w:val="00241A9A"/>
    <w:rsid w:val="00241AD3"/>
    <w:rsid w:val="00241D02"/>
    <w:rsid w:val="00241D89"/>
    <w:rsid w:val="00242037"/>
    <w:rsid w:val="002421A1"/>
    <w:rsid w:val="00242AF8"/>
    <w:rsid w:val="00242B1F"/>
    <w:rsid w:val="00242B87"/>
    <w:rsid w:val="00242C86"/>
    <w:rsid w:val="00242D3C"/>
    <w:rsid w:val="002432D8"/>
    <w:rsid w:val="0024342C"/>
    <w:rsid w:val="002434D2"/>
    <w:rsid w:val="0024366A"/>
    <w:rsid w:val="00243979"/>
    <w:rsid w:val="002442E5"/>
    <w:rsid w:val="002444FD"/>
    <w:rsid w:val="002445BD"/>
    <w:rsid w:val="0024468F"/>
    <w:rsid w:val="00244D3E"/>
    <w:rsid w:val="00244D41"/>
    <w:rsid w:val="0024535B"/>
    <w:rsid w:val="00245398"/>
    <w:rsid w:val="002455E0"/>
    <w:rsid w:val="00245748"/>
    <w:rsid w:val="002457F6"/>
    <w:rsid w:val="00245A02"/>
    <w:rsid w:val="00245A93"/>
    <w:rsid w:val="00246034"/>
    <w:rsid w:val="0024611E"/>
    <w:rsid w:val="002462DC"/>
    <w:rsid w:val="002463A1"/>
    <w:rsid w:val="00246404"/>
    <w:rsid w:val="002464F8"/>
    <w:rsid w:val="00246584"/>
    <w:rsid w:val="0024658A"/>
    <w:rsid w:val="00246596"/>
    <w:rsid w:val="002468AC"/>
    <w:rsid w:val="0024692A"/>
    <w:rsid w:val="00246A01"/>
    <w:rsid w:val="00246AC5"/>
    <w:rsid w:val="00246F30"/>
    <w:rsid w:val="00247051"/>
    <w:rsid w:val="0024728B"/>
    <w:rsid w:val="00247604"/>
    <w:rsid w:val="0024762A"/>
    <w:rsid w:val="00247789"/>
    <w:rsid w:val="00247ADD"/>
    <w:rsid w:val="00247AEB"/>
    <w:rsid w:val="00247E21"/>
    <w:rsid w:val="002504D4"/>
    <w:rsid w:val="002508E3"/>
    <w:rsid w:val="00250CFB"/>
    <w:rsid w:val="00250FC4"/>
    <w:rsid w:val="00251162"/>
    <w:rsid w:val="002512CF"/>
    <w:rsid w:val="00251639"/>
    <w:rsid w:val="0025177F"/>
    <w:rsid w:val="002517A6"/>
    <w:rsid w:val="00251940"/>
    <w:rsid w:val="00251DFE"/>
    <w:rsid w:val="0025217D"/>
    <w:rsid w:val="002521BD"/>
    <w:rsid w:val="00252261"/>
    <w:rsid w:val="002526AA"/>
    <w:rsid w:val="0025281A"/>
    <w:rsid w:val="00252C04"/>
    <w:rsid w:val="00252C70"/>
    <w:rsid w:val="002530F9"/>
    <w:rsid w:val="002531ED"/>
    <w:rsid w:val="00253335"/>
    <w:rsid w:val="002533CA"/>
    <w:rsid w:val="002534A2"/>
    <w:rsid w:val="002537DE"/>
    <w:rsid w:val="00253912"/>
    <w:rsid w:val="002539B8"/>
    <w:rsid w:val="00253A3B"/>
    <w:rsid w:val="00253C6C"/>
    <w:rsid w:val="00253D23"/>
    <w:rsid w:val="00253D55"/>
    <w:rsid w:val="00253DF5"/>
    <w:rsid w:val="00253F5D"/>
    <w:rsid w:val="0025413B"/>
    <w:rsid w:val="002542A1"/>
    <w:rsid w:val="00254718"/>
    <w:rsid w:val="00254745"/>
    <w:rsid w:val="002547F5"/>
    <w:rsid w:val="00254C93"/>
    <w:rsid w:val="00254CD4"/>
    <w:rsid w:val="00254DFC"/>
    <w:rsid w:val="00254EA1"/>
    <w:rsid w:val="00255029"/>
    <w:rsid w:val="00255250"/>
    <w:rsid w:val="0025525F"/>
    <w:rsid w:val="00255296"/>
    <w:rsid w:val="002552AA"/>
    <w:rsid w:val="002559CA"/>
    <w:rsid w:val="00255B2D"/>
    <w:rsid w:val="00255CC5"/>
    <w:rsid w:val="00255DE6"/>
    <w:rsid w:val="00255E01"/>
    <w:rsid w:val="00255E45"/>
    <w:rsid w:val="00255F13"/>
    <w:rsid w:val="00256097"/>
    <w:rsid w:val="00256249"/>
    <w:rsid w:val="00256419"/>
    <w:rsid w:val="00256491"/>
    <w:rsid w:val="00256768"/>
    <w:rsid w:val="0025687B"/>
    <w:rsid w:val="002569B3"/>
    <w:rsid w:val="00256AAD"/>
    <w:rsid w:val="00257325"/>
    <w:rsid w:val="0025736F"/>
    <w:rsid w:val="0025743C"/>
    <w:rsid w:val="002579A6"/>
    <w:rsid w:val="00257B2E"/>
    <w:rsid w:val="00257C05"/>
    <w:rsid w:val="00257CAC"/>
    <w:rsid w:val="00257F92"/>
    <w:rsid w:val="0025D7BA"/>
    <w:rsid w:val="00260043"/>
    <w:rsid w:val="00260379"/>
    <w:rsid w:val="002604BD"/>
    <w:rsid w:val="0026080B"/>
    <w:rsid w:val="00260D39"/>
    <w:rsid w:val="00260E24"/>
    <w:rsid w:val="00260F83"/>
    <w:rsid w:val="002610FE"/>
    <w:rsid w:val="00261767"/>
    <w:rsid w:val="0026180D"/>
    <w:rsid w:val="00261E89"/>
    <w:rsid w:val="00262011"/>
    <w:rsid w:val="00262180"/>
    <w:rsid w:val="002623A6"/>
    <w:rsid w:val="002624A4"/>
    <w:rsid w:val="002624AB"/>
    <w:rsid w:val="00262562"/>
    <w:rsid w:val="00262856"/>
    <w:rsid w:val="00262E5C"/>
    <w:rsid w:val="00262F83"/>
    <w:rsid w:val="0026303F"/>
    <w:rsid w:val="0026326D"/>
    <w:rsid w:val="002632C3"/>
    <w:rsid w:val="002634AB"/>
    <w:rsid w:val="00263945"/>
    <w:rsid w:val="002639F7"/>
    <w:rsid w:val="00263ADE"/>
    <w:rsid w:val="00263E1D"/>
    <w:rsid w:val="00264141"/>
    <w:rsid w:val="002644D8"/>
    <w:rsid w:val="002645A7"/>
    <w:rsid w:val="002646A3"/>
    <w:rsid w:val="0026486F"/>
    <w:rsid w:val="00264A58"/>
    <w:rsid w:val="00264B1F"/>
    <w:rsid w:val="00264BBF"/>
    <w:rsid w:val="00264E0C"/>
    <w:rsid w:val="00265481"/>
    <w:rsid w:val="00265C67"/>
    <w:rsid w:val="00265E28"/>
    <w:rsid w:val="00265F04"/>
    <w:rsid w:val="00265F2F"/>
    <w:rsid w:val="00266714"/>
    <w:rsid w:val="00267146"/>
    <w:rsid w:val="00267222"/>
    <w:rsid w:val="00267440"/>
    <w:rsid w:val="0026787E"/>
    <w:rsid w:val="002679A2"/>
    <w:rsid w:val="002679DF"/>
    <w:rsid w:val="00267AC5"/>
    <w:rsid w:val="00267BB6"/>
    <w:rsid w:val="00267FEE"/>
    <w:rsid w:val="00270967"/>
    <w:rsid w:val="00270AF5"/>
    <w:rsid w:val="00270C0A"/>
    <w:rsid w:val="00270CA5"/>
    <w:rsid w:val="0027112E"/>
    <w:rsid w:val="00271589"/>
    <w:rsid w:val="0027195D"/>
    <w:rsid w:val="00271AF3"/>
    <w:rsid w:val="00271C8E"/>
    <w:rsid w:val="00271D59"/>
    <w:rsid w:val="0027234F"/>
    <w:rsid w:val="00272512"/>
    <w:rsid w:val="002727FF"/>
    <w:rsid w:val="0027292E"/>
    <w:rsid w:val="00272A5C"/>
    <w:rsid w:val="00272F13"/>
    <w:rsid w:val="00272FDA"/>
    <w:rsid w:val="0027304D"/>
    <w:rsid w:val="00273156"/>
    <w:rsid w:val="00273394"/>
    <w:rsid w:val="002734A2"/>
    <w:rsid w:val="002735D4"/>
    <w:rsid w:val="0027370D"/>
    <w:rsid w:val="002737DB"/>
    <w:rsid w:val="002738EA"/>
    <w:rsid w:val="00273967"/>
    <w:rsid w:val="00273EFA"/>
    <w:rsid w:val="00273F18"/>
    <w:rsid w:val="00273F5F"/>
    <w:rsid w:val="002740C7"/>
    <w:rsid w:val="00274206"/>
    <w:rsid w:val="0027436F"/>
    <w:rsid w:val="0027456E"/>
    <w:rsid w:val="002746DB"/>
    <w:rsid w:val="0027472C"/>
    <w:rsid w:val="00274759"/>
    <w:rsid w:val="002748FD"/>
    <w:rsid w:val="00274A48"/>
    <w:rsid w:val="002750AE"/>
    <w:rsid w:val="002752D7"/>
    <w:rsid w:val="00275362"/>
    <w:rsid w:val="002755B3"/>
    <w:rsid w:val="00275906"/>
    <w:rsid w:val="00275D71"/>
    <w:rsid w:val="00276018"/>
    <w:rsid w:val="00276095"/>
    <w:rsid w:val="002761D4"/>
    <w:rsid w:val="002764E0"/>
    <w:rsid w:val="00276831"/>
    <w:rsid w:val="0027683C"/>
    <w:rsid w:val="00276B4D"/>
    <w:rsid w:val="00276B6C"/>
    <w:rsid w:val="00277B18"/>
    <w:rsid w:val="00277CE8"/>
    <w:rsid w:val="00277DE9"/>
    <w:rsid w:val="00280425"/>
    <w:rsid w:val="002804A0"/>
    <w:rsid w:val="00280633"/>
    <w:rsid w:val="002806CE"/>
    <w:rsid w:val="00280C46"/>
    <w:rsid w:val="00280EEA"/>
    <w:rsid w:val="002812AC"/>
    <w:rsid w:val="00281366"/>
    <w:rsid w:val="0028148B"/>
    <w:rsid w:val="002818F1"/>
    <w:rsid w:val="00281BDB"/>
    <w:rsid w:val="00281C0F"/>
    <w:rsid w:val="00281D80"/>
    <w:rsid w:val="00281E5E"/>
    <w:rsid w:val="00282020"/>
    <w:rsid w:val="00282138"/>
    <w:rsid w:val="0028232F"/>
    <w:rsid w:val="0028240F"/>
    <w:rsid w:val="002825A5"/>
    <w:rsid w:val="00282B35"/>
    <w:rsid w:val="00282BAD"/>
    <w:rsid w:val="00282BFE"/>
    <w:rsid w:val="00282E70"/>
    <w:rsid w:val="00282E9C"/>
    <w:rsid w:val="00283229"/>
    <w:rsid w:val="002838D9"/>
    <w:rsid w:val="00283A72"/>
    <w:rsid w:val="00283AA7"/>
    <w:rsid w:val="00284360"/>
    <w:rsid w:val="00284484"/>
    <w:rsid w:val="0028457B"/>
    <w:rsid w:val="002845AA"/>
    <w:rsid w:val="00284871"/>
    <w:rsid w:val="0028488B"/>
    <w:rsid w:val="00284D27"/>
    <w:rsid w:val="00284DAA"/>
    <w:rsid w:val="00284DEF"/>
    <w:rsid w:val="00285603"/>
    <w:rsid w:val="0028577B"/>
    <w:rsid w:val="002859A9"/>
    <w:rsid w:val="00286012"/>
    <w:rsid w:val="002867B4"/>
    <w:rsid w:val="00286878"/>
    <w:rsid w:val="00286B67"/>
    <w:rsid w:val="00286F37"/>
    <w:rsid w:val="002870D0"/>
    <w:rsid w:val="002871CD"/>
    <w:rsid w:val="0028752A"/>
    <w:rsid w:val="002876AF"/>
    <w:rsid w:val="00287A64"/>
    <w:rsid w:val="00287D37"/>
    <w:rsid w:val="00287E9E"/>
    <w:rsid w:val="002900A9"/>
    <w:rsid w:val="002901D4"/>
    <w:rsid w:val="0029087D"/>
    <w:rsid w:val="00290C23"/>
    <w:rsid w:val="0029103C"/>
    <w:rsid w:val="00291046"/>
    <w:rsid w:val="002911C0"/>
    <w:rsid w:val="00291870"/>
    <w:rsid w:val="00291CE8"/>
    <w:rsid w:val="00291D3E"/>
    <w:rsid w:val="0029216D"/>
    <w:rsid w:val="002923F2"/>
    <w:rsid w:val="0029289F"/>
    <w:rsid w:val="0029298A"/>
    <w:rsid w:val="00292D83"/>
    <w:rsid w:val="00292E69"/>
    <w:rsid w:val="00292ECD"/>
    <w:rsid w:val="002932CA"/>
    <w:rsid w:val="002933D9"/>
    <w:rsid w:val="00293B87"/>
    <w:rsid w:val="00293B8B"/>
    <w:rsid w:val="00293CD1"/>
    <w:rsid w:val="00293D44"/>
    <w:rsid w:val="0029449B"/>
    <w:rsid w:val="002944EE"/>
    <w:rsid w:val="00294618"/>
    <w:rsid w:val="002946F9"/>
    <w:rsid w:val="002947F2"/>
    <w:rsid w:val="00294A5E"/>
    <w:rsid w:val="00294BF3"/>
    <w:rsid w:val="002952FD"/>
    <w:rsid w:val="002953AA"/>
    <w:rsid w:val="00295466"/>
    <w:rsid w:val="00295A6D"/>
    <w:rsid w:val="00295B85"/>
    <w:rsid w:val="00296354"/>
    <w:rsid w:val="0029653E"/>
    <w:rsid w:val="0029659C"/>
    <w:rsid w:val="002966EF"/>
    <w:rsid w:val="00296BF0"/>
    <w:rsid w:val="00296D49"/>
    <w:rsid w:val="0029716F"/>
    <w:rsid w:val="002977DD"/>
    <w:rsid w:val="002978A3"/>
    <w:rsid w:val="00297A89"/>
    <w:rsid w:val="002A007E"/>
    <w:rsid w:val="002A01D7"/>
    <w:rsid w:val="002A01DA"/>
    <w:rsid w:val="002A0550"/>
    <w:rsid w:val="002A05A8"/>
    <w:rsid w:val="002A06AC"/>
    <w:rsid w:val="002A1077"/>
    <w:rsid w:val="002A1121"/>
    <w:rsid w:val="002A12E8"/>
    <w:rsid w:val="002A1517"/>
    <w:rsid w:val="002A160D"/>
    <w:rsid w:val="002A18BC"/>
    <w:rsid w:val="002A18D5"/>
    <w:rsid w:val="002A1E21"/>
    <w:rsid w:val="002A203D"/>
    <w:rsid w:val="002A23AA"/>
    <w:rsid w:val="002A2485"/>
    <w:rsid w:val="002A24D3"/>
    <w:rsid w:val="002A26AD"/>
    <w:rsid w:val="002A311A"/>
    <w:rsid w:val="002A3222"/>
    <w:rsid w:val="002A33F5"/>
    <w:rsid w:val="002A3524"/>
    <w:rsid w:val="002A3A89"/>
    <w:rsid w:val="002A3BD1"/>
    <w:rsid w:val="002A3CA1"/>
    <w:rsid w:val="002A42C3"/>
    <w:rsid w:val="002A4579"/>
    <w:rsid w:val="002A4619"/>
    <w:rsid w:val="002A507B"/>
    <w:rsid w:val="002A5888"/>
    <w:rsid w:val="002A5971"/>
    <w:rsid w:val="002A5D67"/>
    <w:rsid w:val="002A60E7"/>
    <w:rsid w:val="002A6261"/>
    <w:rsid w:val="002A6397"/>
    <w:rsid w:val="002A65A0"/>
    <w:rsid w:val="002A6622"/>
    <w:rsid w:val="002A69B9"/>
    <w:rsid w:val="002A6ABD"/>
    <w:rsid w:val="002A6E19"/>
    <w:rsid w:val="002A6FF3"/>
    <w:rsid w:val="002A71C4"/>
    <w:rsid w:val="002A735A"/>
    <w:rsid w:val="002A7455"/>
    <w:rsid w:val="002A7523"/>
    <w:rsid w:val="002A7693"/>
    <w:rsid w:val="002A7BCD"/>
    <w:rsid w:val="002A7C6C"/>
    <w:rsid w:val="002A7CB6"/>
    <w:rsid w:val="002A7CF8"/>
    <w:rsid w:val="002A7D8E"/>
    <w:rsid w:val="002A7E05"/>
    <w:rsid w:val="002B0372"/>
    <w:rsid w:val="002B03F6"/>
    <w:rsid w:val="002B05D8"/>
    <w:rsid w:val="002B088D"/>
    <w:rsid w:val="002B097D"/>
    <w:rsid w:val="002B0985"/>
    <w:rsid w:val="002B0AE4"/>
    <w:rsid w:val="002B0E49"/>
    <w:rsid w:val="002B0F87"/>
    <w:rsid w:val="002B1145"/>
    <w:rsid w:val="002B14E0"/>
    <w:rsid w:val="002B19B6"/>
    <w:rsid w:val="002B19BA"/>
    <w:rsid w:val="002B1A08"/>
    <w:rsid w:val="002B1AEC"/>
    <w:rsid w:val="002B1CF6"/>
    <w:rsid w:val="002B1F02"/>
    <w:rsid w:val="002B20E9"/>
    <w:rsid w:val="002B28D0"/>
    <w:rsid w:val="002B2D92"/>
    <w:rsid w:val="002B312A"/>
    <w:rsid w:val="002B31AD"/>
    <w:rsid w:val="002B3291"/>
    <w:rsid w:val="002B32E8"/>
    <w:rsid w:val="002B353D"/>
    <w:rsid w:val="002B358A"/>
    <w:rsid w:val="002B36F6"/>
    <w:rsid w:val="002B3749"/>
    <w:rsid w:val="002B3C2D"/>
    <w:rsid w:val="002B3D50"/>
    <w:rsid w:val="002B3D7F"/>
    <w:rsid w:val="002B40B0"/>
    <w:rsid w:val="002B41B6"/>
    <w:rsid w:val="002B41C5"/>
    <w:rsid w:val="002B4838"/>
    <w:rsid w:val="002B48B4"/>
    <w:rsid w:val="002B48EA"/>
    <w:rsid w:val="002B4BDD"/>
    <w:rsid w:val="002B5089"/>
    <w:rsid w:val="002B540B"/>
    <w:rsid w:val="002B5777"/>
    <w:rsid w:val="002B59EB"/>
    <w:rsid w:val="002B5B92"/>
    <w:rsid w:val="002B5DC3"/>
    <w:rsid w:val="002B5EBA"/>
    <w:rsid w:val="002B5FB4"/>
    <w:rsid w:val="002B603D"/>
    <w:rsid w:val="002B651F"/>
    <w:rsid w:val="002B6760"/>
    <w:rsid w:val="002B679D"/>
    <w:rsid w:val="002B6801"/>
    <w:rsid w:val="002B682F"/>
    <w:rsid w:val="002B6C8A"/>
    <w:rsid w:val="002B6E81"/>
    <w:rsid w:val="002B7002"/>
    <w:rsid w:val="002B727F"/>
    <w:rsid w:val="002B7350"/>
    <w:rsid w:val="002B77F9"/>
    <w:rsid w:val="002B7911"/>
    <w:rsid w:val="002B7A4D"/>
    <w:rsid w:val="002B7CEA"/>
    <w:rsid w:val="002B7E68"/>
    <w:rsid w:val="002C0566"/>
    <w:rsid w:val="002C0581"/>
    <w:rsid w:val="002C069B"/>
    <w:rsid w:val="002C0899"/>
    <w:rsid w:val="002C0929"/>
    <w:rsid w:val="002C0ECD"/>
    <w:rsid w:val="002C0F6B"/>
    <w:rsid w:val="002C1025"/>
    <w:rsid w:val="002C1039"/>
    <w:rsid w:val="002C1165"/>
    <w:rsid w:val="002C1276"/>
    <w:rsid w:val="002C1569"/>
    <w:rsid w:val="002C15C6"/>
    <w:rsid w:val="002C15FD"/>
    <w:rsid w:val="002C1703"/>
    <w:rsid w:val="002C1785"/>
    <w:rsid w:val="002C17D5"/>
    <w:rsid w:val="002C1AB8"/>
    <w:rsid w:val="002C1B68"/>
    <w:rsid w:val="002C1C8C"/>
    <w:rsid w:val="002C1ED4"/>
    <w:rsid w:val="002C1F00"/>
    <w:rsid w:val="002C1F05"/>
    <w:rsid w:val="002C219A"/>
    <w:rsid w:val="002C220A"/>
    <w:rsid w:val="002C247C"/>
    <w:rsid w:val="002C260C"/>
    <w:rsid w:val="002C266F"/>
    <w:rsid w:val="002C27F5"/>
    <w:rsid w:val="002C2875"/>
    <w:rsid w:val="002C2A4B"/>
    <w:rsid w:val="002C2E3C"/>
    <w:rsid w:val="002C302A"/>
    <w:rsid w:val="002C3705"/>
    <w:rsid w:val="002C3815"/>
    <w:rsid w:val="002C3B40"/>
    <w:rsid w:val="002C3BA3"/>
    <w:rsid w:val="002C3C0A"/>
    <w:rsid w:val="002C3DAC"/>
    <w:rsid w:val="002C3ED9"/>
    <w:rsid w:val="002C4097"/>
    <w:rsid w:val="002C40B2"/>
    <w:rsid w:val="002C4283"/>
    <w:rsid w:val="002C430D"/>
    <w:rsid w:val="002C463E"/>
    <w:rsid w:val="002C4662"/>
    <w:rsid w:val="002C46D9"/>
    <w:rsid w:val="002C471A"/>
    <w:rsid w:val="002C47C7"/>
    <w:rsid w:val="002C4AEE"/>
    <w:rsid w:val="002C4C7D"/>
    <w:rsid w:val="002C5225"/>
    <w:rsid w:val="002C52E4"/>
    <w:rsid w:val="002C5789"/>
    <w:rsid w:val="002C5885"/>
    <w:rsid w:val="002C58F9"/>
    <w:rsid w:val="002C5BEB"/>
    <w:rsid w:val="002C5DA0"/>
    <w:rsid w:val="002C5E4F"/>
    <w:rsid w:val="002C61E4"/>
    <w:rsid w:val="002C637D"/>
    <w:rsid w:val="002C63D6"/>
    <w:rsid w:val="002C6C33"/>
    <w:rsid w:val="002C6DB6"/>
    <w:rsid w:val="002C6DDF"/>
    <w:rsid w:val="002C6E5A"/>
    <w:rsid w:val="002C7555"/>
    <w:rsid w:val="002C75FF"/>
    <w:rsid w:val="002C7667"/>
    <w:rsid w:val="002C7908"/>
    <w:rsid w:val="002C79F7"/>
    <w:rsid w:val="002C7CBC"/>
    <w:rsid w:val="002D0017"/>
    <w:rsid w:val="002D01A1"/>
    <w:rsid w:val="002D0257"/>
    <w:rsid w:val="002D0258"/>
    <w:rsid w:val="002D03E3"/>
    <w:rsid w:val="002D0580"/>
    <w:rsid w:val="002D05EB"/>
    <w:rsid w:val="002D0669"/>
    <w:rsid w:val="002D0AC1"/>
    <w:rsid w:val="002D0AFD"/>
    <w:rsid w:val="002D0B4B"/>
    <w:rsid w:val="002D0D6B"/>
    <w:rsid w:val="002D0EF4"/>
    <w:rsid w:val="002D11D4"/>
    <w:rsid w:val="002D1454"/>
    <w:rsid w:val="002D1666"/>
    <w:rsid w:val="002D17E0"/>
    <w:rsid w:val="002D19D4"/>
    <w:rsid w:val="002D1A81"/>
    <w:rsid w:val="002D1ABF"/>
    <w:rsid w:val="002D1E63"/>
    <w:rsid w:val="002D2198"/>
    <w:rsid w:val="002D225C"/>
    <w:rsid w:val="002D2266"/>
    <w:rsid w:val="002D2283"/>
    <w:rsid w:val="002D2532"/>
    <w:rsid w:val="002D2685"/>
    <w:rsid w:val="002D2958"/>
    <w:rsid w:val="002D2B5D"/>
    <w:rsid w:val="002D2F2D"/>
    <w:rsid w:val="002D313F"/>
    <w:rsid w:val="002D32F5"/>
    <w:rsid w:val="002D3584"/>
    <w:rsid w:val="002D3595"/>
    <w:rsid w:val="002D3CD5"/>
    <w:rsid w:val="002D402B"/>
    <w:rsid w:val="002D460F"/>
    <w:rsid w:val="002D47E9"/>
    <w:rsid w:val="002D4966"/>
    <w:rsid w:val="002D4B2D"/>
    <w:rsid w:val="002D4DB5"/>
    <w:rsid w:val="002D5236"/>
    <w:rsid w:val="002D5A70"/>
    <w:rsid w:val="002D5C81"/>
    <w:rsid w:val="002D5CFC"/>
    <w:rsid w:val="002D5E4F"/>
    <w:rsid w:val="002D5EF6"/>
    <w:rsid w:val="002D5FF3"/>
    <w:rsid w:val="002D6E2E"/>
    <w:rsid w:val="002D714B"/>
    <w:rsid w:val="002D7190"/>
    <w:rsid w:val="002D71C8"/>
    <w:rsid w:val="002D723E"/>
    <w:rsid w:val="002D7421"/>
    <w:rsid w:val="002D7449"/>
    <w:rsid w:val="002D7803"/>
    <w:rsid w:val="002D78FE"/>
    <w:rsid w:val="002D7B30"/>
    <w:rsid w:val="002D7C91"/>
    <w:rsid w:val="002E01C6"/>
    <w:rsid w:val="002E01EA"/>
    <w:rsid w:val="002E020B"/>
    <w:rsid w:val="002E07AD"/>
    <w:rsid w:val="002E095E"/>
    <w:rsid w:val="002E0A8C"/>
    <w:rsid w:val="002E0A94"/>
    <w:rsid w:val="002E0E25"/>
    <w:rsid w:val="002E1194"/>
    <w:rsid w:val="002E11AE"/>
    <w:rsid w:val="002E1248"/>
    <w:rsid w:val="002E143D"/>
    <w:rsid w:val="002E14D8"/>
    <w:rsid w:val="002E15AF"/>
    <w:rsid w:val="002E15EF"/>
    <w:rsid w:val="002E170E"/>
    <w:rsid w:val="002E1951"/>
    <w:rsid w:val="002E1AB7"/>
    <w:rsid w:val="002E1C7B"/>
    <w:rsid w:val="002E1F0C"/>
    <w:rsid w:val="002E213C"/>
    <w:rsid w:val="002E24AC"/>
    <w:rsid w:val="002E29B6"/>
    <w:rsid w:val="002E2AE5"/>
    <w:rsid w:val="002E32D3"/>
    <w:rsid w:val="002E32DB"/>
    <w:rsid w:val="002E38FB"/>
    <w:rsid w:val="002E393F"/>
    <w:rsid w:val="002E3D0A"/>
    <w:rsid w:val="002E3DF0"/>
    <w:rsid w:val="002E3FA8"/>
    <w:rsid w:val="002E4211"/>
    <w:rsid w:val="002E430C"/>
    <w:rsid w:val="002E443A"/>
    <w:rsid w:val="002E4505"/>
    <w:rsid w:val="002E46B8"/>
    <w:rsid w:val="002E47EB"/>
    <w:rsid w:val="002E4863"/>
    <w:rsid w:val="002E4988"/>
    <w:rsid w:val="002E4DCF"/>
    <w:rsid w:val="002E4E26"/>
    <w:rsid w:val="002E5440"/>
    <w:rsid w:val="002E5476"/>
    <w:rsid w:val="002E56A3"/>
    <w:rsid w:val="002E5FF4"/>
    <w:rsid w:val="002E6833"/>
    <w:rsid w:val="002E6E76"/>
    <w:rsid w:val="002E77E3"/>
    <w:rsid w:val="002E7CE1"/>
    <w:rsid w:val="002E7D9C"/>
    <w:rsid w:val="002F0498"/>
    <w:rsid w:val="002F0FCC"/>
    <w:rsid w:val="002F10E5"/>
    <w:rsid w:val="002F13C7"/>
    <w:rsid w:val="002F178C"/>
    <w:rsid w:val="002F1D84"/>
    <w:rsid w:val="002F1DCB"/>
    <w:rsid w:val="002F224C"/>
    <w:rsid w:val="002F22CC"/>
    <w:rsid w:val="002F27FB"/>
    <w:rsid w:val="002F2E17"/>
    <w:rsid w:val="002F2E5E"/>
    <w:rsid w:val="002F3070"/>
    <w:rsid w:val="002F3077"/>
    <w:rsid w:val="002F3157"/>
    <w:rsid w:val="002F31C6"/>
    <w:rsid w:val="002F36E1"/>
    <w:rsid w:val="002F3827"/>
    <w:rsid w:val="002F3A6A"/>
    <w:rsid w:val="002F3AC5"/>
    <w:rsid w:val="002F3CAD"/>
    <w:rsid w:val="002F3CC1"/>
    <w:rsid w:val="002F4022"/>
    <w:rsid w:val="002F4025"/>
    <w:rsid w:val="002F43EB"/>
    <w:rsid w:val="002F4592"/>
    <w:rsid w:val="002F466E"/>
    <w:rsid w:val="002F4679"/>
    <w:rsid w:val="002F4FE7"/>
    <w:rsid w:val="002F538F"/>
    <w:rsid w:val="002F54DF"/>
    <w:rsid w:val="002F55F5"/>
    <w:rsid w:val="002F56BB"/>
    <w:rsid w:val="002F59F9"/>
    <w:rsid w:val="002F5A47"/>
    <w:rsid w:val="002F5E35"/>
    <w:rsid w:val="002F61BD"/>
    <w:rsid w:val="002F692F"/>
    <w:rsid w:val="002F6969"/>
    <w:rsid w:val="002F71DA"/>
    <w:rsid w:val="002F748D"/>
    <w:rsid w:val="002F7771"/>
    <w:rsid w:val="002F77E0"/>
    <w:rsid w:val="002F7939"/>
    <w:rsid w:val="002F79C5"/>
    <w:rsid w:val="002F7FF2"/>
    <w:rsid w:val="003009DC"/>
    <w:rsid w:val="00300B56"/>
    <w:rsid w:val="00300C04"/>
    <w:rsid w:val="00300E58"/>
    <w:rsid w:val="00300EED"/>
    <w:rsid w:val="003010ED"/>
    <w:rsid w:val="003017C7"/>
    <w:rsid w:val="00301923"/>
    <w:rsid w:val="00301926"/>
    <w:rsid w:val="00301A52"/>
    <w:rsid w:val="00301BDA"/>
    <w:rsid w:val="003020B5"/>
    <w:rsid w:val="00302345"/>
    <w:rsid w:val="0030245F"/>
    <w:rsid w:val="0030273C"/>
    <w:rsid w:val="00302856"/>
    <w:rsid w:val="00302863"/>
    <w:rsid w:val="00302B09"/>
    <w:rsid w:val="00302C2E"/>
    <w:rsid w:val="00302EC5"/>
    <w:rsid w:val="00303051"/>
    <w:rsid w:val="00303087"/>
    <w:rsid w:val="00303326"/>
    <w:rsid w:val="0030378C"/>
    <w:rsid w:val="00303D20"/>
    <w:rsid w:val="003040F8"/>
    <w:rsid w:val="003047E3"/>
    <w:rsid w:val="00304917"/>
    <w:rsid w:val="0030492F"/>
    <w:rsid w:val="00304AE1"/>
    <w:rsid w:val="0030526F"/>
    <w:rsid w:val="0030530D"/>
    <w:rsid w:val="0030549C"/>
    <w:rsid w:val="003056B6"/>
    <w:rsid w:val="00305A0B"/>
    <w:rsid w:val="00305B0D"/>
    <w:rsid w:val="00305CCC"/>
    <w:rsid w:val="00305F86"/>
    <w:rsid w:val="0030622D"/>
    <w:rsid w:val="00306334"/>
    <w:rsid w:val="003065C5"/>
    <w:rsid w:val="003065EB"/>
    <w:rsid w:val="003067A8"/>
    <w:rsid w:val="003068FF"/>
    <w:rsid w:val="00306952"/>
    <w:rsid w:val="00306E2A"/>
    <w:rsid w:val="00307217"/>
    <w:rsid w:val="0030730A"/>
    <w:rsid w:val="00307606"/>
    <w:rsid w:val="00307858"/>
    <w:rsid w:val="00307C7C"/>
    <w:rsid w:val="00307DA2"/>
    <w:rsid w:val="00307DAA"/>
    <w:rsid w:val="00307E8F"/>
    <w:rsid w:val="00307EB9"/>
    <w:rsid w:val="00307ED2"/>
    <w:rsid w:val="00307FC0"/>
    <w:rsid w:val="003103C3"/>
    <w:rsid w:val="0031062A"/>
    <w:rsid w:val="00310677"/>
    <w:rsid w:val="00310D34"/>
    <w:rsid w:val="003111A4"/>
    <w:rsid w:val="00311400"/>
    <w:rsid w:val="003114C2"/>
    <w:rsid w:val="00311693"/>
    <w:rsid w:val="00311953"/>
    <w:rsid w:val="00311C87"/>
    <w:rsid w:val="00311DE9"/>
    <w:rsid w:val="00311F53"/>
    <w:rsid w:val="00312394"/>
    <w:rsid w:val="003123D6"/>
    <w:rsid w:val="00312405"/>
    <w:rsid w:val="00312487"/>
    <w:rsid w:val="00312537"/>
    <w:rsid w:val="00312882"/>
    <w:rsid w:val="0031296F"/>
    <w:rsid w:val="00312BDB"/>
    <w:rsid w:val="0031302E"/>
    <w:rsid w:val="003132F0"/>
    <w:rsid w:val="00313579"/>
    <w:rsid w:val="00313663"/>
    <w:rsid w:val="00313723"/>
    <w:rsid w:val="00313B25"/>
    <w:rsid w:val="00313DD5"/>
    <w:rsid w:val="00313EE6"/>
    <w:rsid w:val="00314183"/>
    <w:rsid w:val="00314872"/>
    <w:rsid w:val="003148A8"/>
    <w:rsid w:val="00314A10"/>
    <w:rsid w:val="00314BFA"/>
    <w:rsid w:val="003150DD"/>
    <w:rsid w:val="003157C0"/>
    <w:rsid w:val="00315B5D"/>
    <w:rsid w:val="00315E28"/>
    <w:rsid w:val="0031617D"/>
    <w:rsid w:val="003161DC"/>
    <w:rsid w:val="0031627C"/>
    <w:rsid w:val="003162F6"/>
    <w:rsid w:val="0031647A"/>
    <w:rsid w:val="003165D7"/>
    <w:rsid w:val="00316696"/>
    <w:rsid w:val="00316952"/>
    <w:rsid w:val="00316A1E"/>
    <w:rsid w:val="00316B66"/>
    <w:rsid w:val="00316C1C"/>
    <w:rsid w:val="00316DDF"/>
    <w:rsid w:val="00316E51"/>
    <w:rsid w:val="00316EDC"/>
    <w:rsid w:val="00316F67"/>
    <w:rsid w:val="00317463"/>
    <w:rsid w:val="00317805"/>
    <w:rsid w:val="00317AC4"/>
    <w:rsid w:val="00317F1C"/>
    <w:rsid w:val="00320011"/>
    <w:rsid w:val="0032023C"/>
    <w:rsid w:val="0032029D"/>
    <w:rsid w:val="00320329"/>
    <w:rsid w:val="00320542"/>
    <w:rsid w:val="00320595"/>
    <w:rsid w:val="0032078C"/>
    <w:rsid w:val="00320854"/>
    <w:rsid w:val="00320A59"/>
    <w:rsid w:val="00320E2C"/>
    <w:rsid w:val="00320EF5"/>
    <w:rsid w:val="00321296"/>
    <w:rsid w:val="003218D2"/>
    <w:rsid w:val="00321990"/>
    <w:rsid w:val="00321EE9"/>
    <w:rsid w:val="00322032"/>
    <w:rsid w:val="00322475"/>
    <w:rsid w:val="00322E34"/>
    <w:rsid w:val="00323103"/>
    <w:rsid w:val="003232DA"/>
    <w:rsid w:val="003236B8"/>
    <w:rsid w:val="0032397A"/>
    <w:rsid w:val="00323D1B"/>
    <w:rsid w:val="00324155"/>
    <w:rsid w:val="00324610"/>
    <w:rsid w:val="00324660"/>
    <w:rsid w:val="00324774"/>
    <w:rsid w:val="003249A7"/>
    <w:rsid w:val="00324A71"/>
    <w:rsid w:val="00324DB4"/>
    <w:rsid w:val="00324EB3"/>
    <w:rsid w:val="003250CF"/>
    <w:rsid w:val="003250D2"/>
    <w:rsid w:val="0032517F"/>
    <w:rsid w:val="003251EE"/>
    <w:rsid w:val="003252E8"/>
    <w:rsid w:val="00325588"/>
    <w:rsid w:val="003256B2"/>
    <w:rsid w:val="00325878"/>
    <w:rsid w:val="00325B82"/>
    <w:rsid w:val="00325D27"/>
    <w:rsid w:val="00325D37"/>
    <w:rsid w:val="00325D66"/>
    <w:rsid w:val="00326375"/>
    <w:rsid w:val="00326A9C"/>
    <w:rsid w:val="00326B08"/>
    <w:rsid w:val="00327132"/>
    <w:rsid w:val="00327164"/>
    <w:rsid w:val="0032734B"/>
    <w:rsid w:val="003274C6"/>
    <w:rsid w:val="00327677"/>
    <w:rsid w:val="0032767D"/>
    <w:rsid w:val="00327870"/>
    <w:rsid w:val="0032789C"/>
    <w:rsid w:val="003278B8"/>
    <w:rsid w:val="00327BDD"/>
    <w:rsid w:val="00327C1E"/>
    <w:rsid w:val="00327C1F"/>
    <w:rsid w:val="00327C7D"/>
    <w:rsid w:val="00327D78"/>
    <w:rsid w:val="00327E69"/>
    <w:rsid w:val="00330328"/>
    <w:rsid w:val="003305BC"/>
    <w:rsid w:val="003306D0"/>
    <w:rsid w:val="00330A3D"/>
    <w:rsid w:val="00330A43"/>
    <w:rsid w:val="00330C36"/>
    <w:rsid w:val="00330D7E"/>
    <w:rsid w:val="00331000"/>
    <w:rsid w:val="003315FF"/>
    <w:rsid w:val="00331642"/>
    <w:rsid w:val="00331888"/>
    <w:rsid w:val="00331942"/>
    <w:rsid w:val="00331C5F"/>
    <w:rsid w:val="00331DE1"/>
    <w:rsid w:val="0033224C"/>
    <w:rsid w:val="003322F4"/>
    <w:rsid w:val="00332701"/>
    <w:rsid w:val="00332A69"/>
    <w:rsid w:val="00332AE6"/>
    <w:rsid w:val="00332C6B"/>
    <w:rsid w:val="003330E8"/>
    <w:rsid w:val="00333270"/>
    <w:rsid w:val="0033355E"/>
    <w:rsid w:val="003335E8"/>
    <w:rsid w:val="003336F9"/>
    <w:rsid w:val="00333D40"/>
    <w:rsid w:val="00333E19"/>
    <w:rsid w:val="00333E53"/>
    <w:rsid w:val="00333E8D"/>
    <w:rsid w:val="00333F80"/>
    <w:rsid w:val="003348A7"/>
    <w:rsid w:val="00334954"/>
    <w:rsid w:val="00334C62"/>
    <w:rsid w:val="00334D14"/>
    <w:rsid w:val="00335313"/>
    <w:rsid w:val="00335472"/>
    <w:rsid w:val="0033592E"/>
    <w:rsid w:val="00335E7E"/>
    <w:rsid w:val="00335F2D"/>
    <w:rsid w:val="00336046"/>
    <w:rsid w:val="003360BB"/>
    <w:rsid w:val="0033621B"/>
    <w:rsid w:val="003368B7"/>
    <w:rsid w:val="003368BA"/>
    <w:rsid w:val="00336C74"/>
    <w:rsid w:val="00336ECF"/>
    <w:rsid w:val="0033703D"/>
    <w:rsid w:val="00337329"/>
    <w:rsid w:val="0033793A"/>
    <w:rsid w:val="00337A06"/>
    <w:rsid w:val="00337A08"/>
    <w:rsid w:val="00337BEC"/>
    <w:rsid w:val="00337C25"/>
    <w:rsid w:val="0034017F"/>
    <w:rsid w:val="0034053A"/>
    <w:rsid w:val="0034065B"/>
    <w:rsid w:val="0034073D"/>
    <w:rsid w:val="003409CB"/>
    <w:rsid w:val="00340A41"/>
    <w:rsid w:val="00340AED"/>
    <w:rsid w:val="00340BAC"/>
    <w:rsid w:val="00340C71"/>
    <w:rsid w:val="00340DF0"/>
    <w:rsid w:val="003410C2"/>
    <w:rsid w:val="003414A3"/>
    <w:rsid w:val="00341CA2"/>
    <w:rsid w:val="00341D06"/>
    <w:rsid w:val="00341F40"/>
    <w:rsid w:val="00342087"/>
    <w:rsid w:val="00342123"/>
    <w:rsid w:val="00342207"/>
    <w:rsid w:val="003428A1"/>
    <w:rsid w:val="00342E9E"/>
    <w:rsid w:val="00342EF9"/>
    <w:rsid w:val="00343040"/>
    <w:rsid w:val="003434E6"/>
    <w:rsid w:val="00343512"/>
    <w:rsid w:val="00343582"/>
    <w:rsid w:val="0034360D"/>
    <w:rsid w:val="00343B41"/>
    <w:rsid w:val="00343BA3"/>
    <w:rsid w:val="00343BDC"/>
    <w:rsid w:val="00343C4F"/>
    <w:rsid w:val="00343E11"/>
    <w:rsid w:val="00344131"/>
    <w:rsid w:val="003441F2"/>
    <w:rsid w:val="0034464A"/>
    <w:rsid w:val="00344891"/>
    <w:rsid w:val="00344BCD"/>
    <w:rsid w:val="00344E3E"/>
    <w:rsid w:val="00344FDF"/>
    <w:rsid w:val="00345047"/>
    <w:rsid w:val="0034529C"/>
    <w:rsid w:val="003452B9"/>
    <w:rsid w:val="003454E2"/>
    <w:rsid w:val="00345511"/>
    <w:rsid w:val="00345619"/>
    <w:rsid w:val="003456C0"/>
    <w:rsid w:val="003456C7"/>
    <w:rsid w:val="003456DB"/>
    <w:rsid w:val="003456DC"/>
    <w:rsid w:val="003458E6"/>
    <w:rsid w:val="00345A01"/>
    <w:rsid w:val="00345AB5"/>
    <w:rsid w:val="00345B96"/>
    <w:rsid w:val="00345F11"/>
    <w:rsid w:val="003464CE"/>
    <w:rsid w:val="00346DB9"/>
    <w:rsid w:val="00347795"/>
    <w:rsid w:val="003477B5"/>
    <w:rsid w:val="00347810"/>
    <w:rsid w:val="00347C14"/>
    <w:rsid w:val="00347CAF"/>
    <w:rsid w:val="00347CDD"/>
    <w:rsid w:val="00347D41"/>
    <w:rsid w:val="00347F5F"/>
    <w:rsid w:val="003500D6"/>
    <w:rsid w:val="00350182"/>
    <w:rsid w:val="00350D96"/>
    <w:rsid w:val="003512F1"/>
    <w:rsid w:val="00351634"/>
    <w:rsid w:val="0035171D"/>
    <w:rsid w:val="003517D7"/>
    <w:rsid w:val="00351A20"/>
    <w:rsid w:val="00351CCB"/>
    <w:rsid w:val="00351DE9"/>
    <w:rsid w:val="003520D2"/>
    <w:rsid w:val="003521ED"/>
    <w:rsid w:val="00352439"/>
    <w:rsid w:val="00352779"/>
    <w:rsid w:val="00352781"/>
    <w:rsid w:val="00352979"/>
    <w:rsid w:val="00352E30"/>
    <w:rsid w:val="0035306A"/>
    <w:rsid w:val="0035361D"/>
    <w:rsid w:val="00353971"/>
    <w:rsid w:val="00353DC2"/>
    <w:rsid w:val="00353E5C"/>
    <w:rsid w:val="00353F29"/>
    <w:rsid w:val="003540B3"/>
    <w:rsid w:val="003542E8"/>
    <w:rsid w:val="00354444"/>
    <w:rsid w:val="003549D9"/>
    <w:rsid w:val="00354A3F"/>
    <w:rsid w:val="00354CA8"/>
    <w:rsid w:val="00354E18"/>
    <w:rsid w:val="00354F1A"/>
    <w:rsid w:val="003551DA"/>
    <w:rsid w:val="00355389"/>
    <w:rsid w:val="0035598C"/>
    <w:rsid w:val="00355A17"/>
    <w:rsid w:val="00355A92"/>
    <w:rsid w:val="00355B06"/>
    <w:rsid w:val="00355B15"/>
    <w:rsid w:val="00355BD3"/>
    <w:rsid w:val="00355C32"/>
    <w:rsid w:val="00355FFD"/>
    <w:rsid w:val="00356241"/>
    <w:rsid w:val="00356506"/>
    <w:rsid w:val="003566BD"/>
    <w:rsid w:val="003569EC"/>
    <w:rsid w:val="00356C13"/>
    <w:rsid w:val="00356E98"/>
    <w:rsid w:val="003570CB"/>
    <w:rsid w:val="00357241"/>
    <w:rsid w:val="003576CD"/>
    <w:rsid w:val="0035781B"/>
    <w:rsid w:val="003578DE"/>
    <w:rsid w:val="0035794A"/>
    <w:rsid w:val="0035798D"/>
    <w:rsid w:val="00357B6A"/>
    <w:rsid w:val="00357D2C"/>
    <w:rsid w:val="00357F95"/>
    <w:rsid w:val="00360374"/>
    <w:rsid w:val="003605AB"/>
    <w:rsid w:val="003607A3"/>
    <w:rsid w:val="003607E8"/>
    <w:rsid w:val="00360928"/>
    <w:rsid w:val="00360957"/>
    <w:rsid w:val="00360DB6"/>
    <w:rsid w:val="00360FB4"/>
    <w:rsid w:val="003610E8"/>
    <w:rsid w:val="00361267"/>
    <w:rsid w:val="00361588"/>
    <w:rsid w:val="00362252"/>
    <w:rsid w:val="003622A3"/>
    <w:rsid w:val="0036246C"/>
    <w:rsid w:val="003625C9"/>
    <w:rsid w:val="00362697"/>
    <w:rsid w:val="00362C24"/>
    <w:rsid w:val="00362CC9"/>
    <w:rsid w:val="00362DEB"/>
    <w:rsid w:val="00362F27"/>
    <w:rsid w:val="00363070"/>
    <w:rsid w:val="0036329C"/>
    <w:rsid w:val="003632D8"/>
    <w:rsid w:val="0036340C"/>
    <w:rsid w:val="00363889"/>
    <w:rsid w:val="00363CA5"/>
    <w:rsid w:val="00363E07"/>
    <w:rsid w:val="00363E49"/>
    <w:rsid w:val="00363FD2"/>
    <w:rsid w:val="00364086"/>
    <w:rsid w:val="003641B1"/>
    <w:rsid w:val="003642B0"/>
    <w:rsid w:val="00364689"/>
    <w:rsid w:val="00364A30"/>
    <w:rsid w:val="00364CCE"/>
    <w:rsid w:val="00364F7B"/>
    <w:rsid w:val="0036503C"/>
    <w:rsid w:val="003654EC"/>
    <w:rsid w:val="003655C2"/>
    <w:rsid w:val="00365603"/>
    <w:rsid w:val="00365650"/>
    <w:rsid w:val="003656BF"/>
    <w:rsid w:val="0036585F"/>
    <w:rsid w:val="003658D5"/>
    <w:rsid w:val="00365922"/>
    <w:rsid w:val="003659D0"/>
    <w:rsid w:val="00365A92"/>
    <w:rsid w:val="00365CB9"/>
    <w:rsid w:val="00365F28"/>
    <w:rsid w:val="00366208"/>
    <w:rsid w:val="0036627C"/>
    <w:rsid w:val="00366344"/>
    <w:rsid w:val="00367504"/>
    <w:rsid w:val="00367737"/>
    <w:rsid w:val="003677A9"/>
    <w:rsid w:val="00367CA9"/>
    <w:rsid w:val="00370533"/>
    <w:rsid w:val="003706E3"/>
    <w:rsid w:val="00370748"/>
    <w:rsid w:val="00370AD2"/>
    <w:rsid w:val="00370CFA"/>
    <w:rsid w:val="00370E19"/>
    <w:rsid w:val="00370F4A"/>
    <w:rsid w:val="00371037"/>
    <w:rsid w:val="00371125"/>
    <w:rsid w:val="00371643"/>
    <w:rsid w:val="00371754"/>
    <w:rsid w:val="0037189E"/>
    <w:rsid w:val="00371CE8"/>
    <w:rsid w:val="00371D8A"/>
    <w:rsid w:val="00371FDE"/>
    <w:rsid w:val="0037208F"/>
    <w:rsid w:val="003720D7"/>
    <w:rsid w:val="00372506"/>
    <w:rsid w:val="00372653"/>
    <w:rsid w:val="0037301C"/>
    <w:rsid w:val="0037363B"/>
    <w:rsid w:val="0037398C"/>
    <w:rsid w:val="00373A8D"/>
    <w:rsid w:val="00373B13"/>
    <w:rsid w:val="00373F43"/>
    <w:rsid w:val="0037431C"/>
    <w:rsid w:val="003746CE"/>
    <w:rsid w:val="00374714"/>
    <w:rsid w:val="00374B18"/>
    <w:rsid w:val="00374E3D"/>
    <w:rsid w:val="00374E88"/>
    <w:rsid w:val="0037506F"/>
    <w:rsid w:val="003751BF"/>
    <w:rsid w:val="003754F7"/>
    <w:rsid w:val="00375596"/>
    <w:rsid w:val="003758FE"/>
    <w:rsid w:val="00375B1E"/>
    <w:rsid w:val="00375C97"/>
    <w:rsid w:val="00375E44"/>
    <w:rsid w:val="00375E70"/>
    <w:rsid w:val="00375FBB"/>
    <w:rsid w:val="0037639B"/>
    <w:rsid w:val="00376BA7"/>
    <w:rsid w:val="00376BE2"/>
    <w:rsid w:val="00376E09"/>
    <w:rsid w:val="00376E4A"/>
    <w:rsid w:val="00376F4D"/>
    <w:rsid w:val="00376FEB"/>
    <w:rsid w:val="00377061"/>
    <w:rsid w:val="003772F3"/>
    <w:rsid w:val="00377454"/>
    <w:rsid w:val="003776E1"/>
    <w:rsid w:val="003776F1"/>
    <w:rsid w:val="003778CC"/>
    <w:rsid w:val="00377DDD"/>
    <w:rsid w:val="00380228"/>
    <w:rsid w:val="003802B7"/>
    <w:rsid w:val="00380476"/>
    <w:rsid w:val="003806AC"/>
    <w:rsid w:val="003808C2"/>
    <w:rsid w:val="00380F14"/>
    <w:rsid w:val="00380FAF"/>
    <w:rsid w:val="0038105B"/>
    <w:rsid w:val="003811C6"/>
    <w:rsid w:val="00381484"/>
    <w:rsid w:val="00381510"/>
    <w:rsid w:val="00381612"/>
    <w:rsid w:val="003816F9"/>
    <w:rsid w:val="0038188B"/>
    <w:rsid w:val="00381BDB"/>
    <w:rsid w:val="00381CE8"/>
    <w:rsid w:val="00382176"/>
    <w:rsid w:val="0038241D"/>
    <w:rsid w:val="00382521"/>
    <w:rsid w:val="00382A8A"/>
    <w:rsid w:val="00382F61"/>
    <w:rsid w:val="00383160"/>
    <w:rsid w:val="0038335E"/>
    <w:rsid w:val="003838DF"/>
    <w:rsid w:val="0038398F"/>
    <w:rsid w:val="00383BA2"/>
    <w:rsid w:val="00383BCC"/>
    <w:rsid w:val="00383C9A"/>
    <w:rsid w:val="00383F3B"/>
    <w:rsid w:val="00384394"/>
    <w:rsid w:val="003846DE"/>
    <w:rsid w:val="00384A9E"/>
    <w:rsid w:val="00384AE7"/>
    <w:rsid w:val="00384BB7"/>
    <w:rsid w:val="00384E40"/>
    <w:rsid w:val="00384E46"/>
    <w:rsid w:val="00384F09"/>
    <w:rsid w:val="00384F9B"/>
    <w:rsid w:val="00385150"/>
    <w:rsid w:val="003851C3"/>
    <w:rsid w:val="003851E7"/>
    <w:rsid w:val="00385215"/>
    <w:rsid w:val="00385216"/>
    <w:rsid w:val="00385480"/>
    <w:rsid w:val="00385513"/>
    <w:rsid w:val="003856C1"/>
    <w:rsid w:val="00385A50"/>
    <w:rsid w:val="00385D38"/>
    <w:rsid w:val="00385EBE"/>
    <w:rsid w:val="0038612A"/>
    <w:rsid w:val="0038618E"/>
    <w:rsid w:val="003861AC"/>
    <w:rsid w:val="00386216"/>
    <w:rsid w:val="0038625A"/>
    <w:rsid w:val="003862DC"/>
    <w:rsid w:val="00386390"/>
    <w:rsid w:val="00386835"/>
    <w:rsid w:val="00386913"/>
    <w:rsid w:val="00386BEF"/>
    <w:rsid w:val="00386D39"/>
    <w:rsid w:val="00386D63"/>
    <w:rsid w:val="00386F00"/>
    <w:rsid w:val="003871C3"/>
    <w:rsid w:val="00387250"/>
    <w:rsid w:val="0038732F"/>
    <w:rsid w:val="0038750B"/>
    <w:rsid w:val="00387BF0"/>
    <w:rsid w:val="00387CB1"/>
    <w:rsid w:val="00387F89"/>
    <w:rsid w:val="00390184"/>
    <w:rsid w:val="0039030A"/>
    <w:rsid w:val="00390460"/>
    <w:rsid w:val="0039053C"/>
    <w:rsid w:val="003906A2"/>
    <w:rsid w:val="00390EB9"/>
    <w:rsid w:val="00390ED7"/>
    <w:rsid w:val="00391248"/>
    <w:rsid w:val="00391384"/>
    <w:rsid w:val="0039165D"/>
    <w:rsid w:val="0039170E"/>
    <w:rsid w:val="00391845"/>
    <w:rsid w:val="00391907"/>
    <w:rsid w:val="00391B7D"/>
    <w:rsid w:val="00391D2D"/>
    <w:rsid w:val="00391DA8"/>
    <w:rsid w:val="00391E40"/>
    <w:rsid w:val="00391E9A"/>
    <w:rsid w:val="00392172"/>
    <w:rsid w:val="0039236E"/>
    <w:rsid w:val="003927F8"/>
    <w:rsid w:val="00392997"/>
    <w:rsid w:val="00392B15"/>
    <w:rsid w:val="00392E1B"/>
    <w:rsid w:val="00392EA0"/>
    <w:rsid w:val="00393039"/>
    <w:rsid w:val="0039393F"/>
    <w:rsid w:val="00393DC8"/>
    <w:rsid w:val="00394434"/>
    <w:rsid w:val="00394459"/>
    <w:rsid w:val="00394524"/>
    <w:rsid w:val="00394A2D"/>
    <w:rsid w:val="00394CD1"/>
    <w:rsid w:val="00394D27"/>
    <w:rsid w:val="00394D52"/>
    <w:rsid w:val="00394FED"/>
    <w:rsid w:val="003952A5"/>
    <w:rsid w:val="00395466"/>
    <w:rsid w:val="003955AF"/>
    <w:rsid w:val="003957FA"/>
    <w:rsid w:val="0039582C"/>
    <w:rsid w:val="0039616D"/>
    <w:rsid w:val="00396455"/>
    <w:rsid w:val="003964A1"/>
    <w:rsid w:val="003965AA"/>
    <w:rsid w:val="0039664D"/>
    <w:rsid w:val="003967C7"/>
    <w:rsid w:val="00396821"/>
    <w:rsid w:val="00396A08"/>
    <w:rsid w:val="00396B9A"/>
    <w:rsid w:val="0039707E"/>
    <w:rsid w:val="00397276"/>
    <w:rsid w:val="0039730E"/>
    <w:rsid w:val="0039735B"/>
    <w:rsid w:val="003974BA"/>
    <w:rsid w:val="0039752E"/>
    <w:rsid w:val="00397712"/>
    <w:rsid w:val="003977C6"/>
    <w:rsid w:val="00397985"/>
    <w:rsid w:val="00397A2C"/>
    <w:rsid w:val="00397B81"/>
    <w:rsid w:val="00397CDF"/>
    <w:rsid w:val="00397E44"/>
    <w:rsid w:val="00397E75"/>
    <w:rsid w:val="003A05F1"/>
    <w:rsid w:val="003A0AA5"/>
    <w:rsid w:val="003A0ACE"/>
    <w:rsid w:val="003A0BD7"/>
    <w:rsid w:val="003A0C37"/>
    <w:rsid w:val="003A0EDC"/>
    <w:rsid w:val="003A1126"/>
    <w:rsid w:val="003A1A0F"/>
    <w:rsid w:val="003A1AD6"/>
    <w:rsid w:val="003A1B49"/>
    <w:rsid w:val="003A1CE5"/>
    <w:rsid w:val="003A23C5"/>
    <w:rsid w:val="003A26CD"/>
    <w:rsid w:val="003A26F3"/>
    <w:rsid w:val="003A271C"/>
    <w:rsid w:val="003A2A58"/>
    <w:rsid w:val="003A2B4A"/>
    <w:rsid w:val="003A2FCF"/>
    <w:rsid w:val="003A3045"/>
    <w:rsid w:val="003A31A3"/>
    <w:rsid w:val="003A371E"/>
    <w:rsid w:val="003A3E4C"/>
    <w:rsid w:val="003A4011"/>
    <w:rsid w:val="003A4043"/>
    <w:rsid w:val="003A4228"/>
    <w:rsid w:val="003A42D0"/>
    <w:rsid w:val="003A4407"/>
    <w:rsid w:val="003A4556"/>
    <w:rsid w:val="003A489D"/>
    <w:rsid w:val="003A4937"/>
    <w:rsid w:val="003A4E49"/>
    <w:rsid w:val="003A508B"/>
    <w:rsid w:val="003A5099"/>
    <w:rsid w:val="003A50B5"/>
    <w:rsid w:val="003A557B"/>
    <w:rsid w:val="003A55DE"/>
    <w:rsid w:val="003A5641"/>
    <w:rsid w:val="003A56AC"/>
    <w:rsid w:val="003A586C"/>
    <w:rsid w:val="003A5A24"/>
    <w:rsid w:val="003A5CF1"/>
    <w:rsid w:val="003A5E78"/>
    <w:rsid w:val="003A5FEC"/>
    <w:rsid w:val="003A6118"/>
    <w:rsid w:val="003A63B6"/>
    <w:rsid w:val="003A63DE"/>
    <w:rsid w:val="003A6920"/>
    <w:rsid w:val="003A6AA3"/>
    <w:rsid w:val="003A6ACC"/>
    <w:rsid w:val="003A6B45"/>
    <w:rsid w:val="003A6C28"/>
    <w:rsid w:val="003A6C2A"/>
    <w:rsid w:val="003A6DC6"/>
    <w:rsid w:val="003A6F12"/>
    <w:rsid w:val="003A7254"/>
    <w:rsid w:val="003A7763"/>
    <w:rsid w:val="003A77AC"/>
    <w:rsid w:val="003A7FE9"/>
    <w:rsid w:val="003B000C"/>
    <w:rsid w:val="003B00A3"/>
    <w:rsid w:val="003B067F"/>
    <w:rsid w:val="003B0CEA"/>
    <w:rsid w:val="003B1314"/>
    <w:rsid w:val="003B14F6"/>
    <w:rsid w:val="003B163E"/>
    <w:rsid w:val="003B16EF"/>
    <w:rsid w:val="003B1735"/>
    <w:rsid w:val="003B1EB8"/>
    <w:rsid w:val="003B1EF8"/>
    <w:rsid w:val="003B1F6A"/>
    <w:rsid w:val="003B253B"/>
    <w:rsid w:val="003B29BA"/>
    <w:rsid w:val="003B2D9E"/>
    <w:rsid w:val="003B2DD4"/>
    <w:rsid w:val="003B2DE1"/>
    <w:rsid w:val="003B302F"/>
    <w:rsid w:val="003B32AE"/>
    <w:rsid w:val="003B36A8"/>
    <w:rsid w:val="003B36D9"/>
    <w:rsid w:val="003B3851"/>
    <w:rsid w:val="003B3A50"/>
    <w:rsid w:val="003B3B4F"/>
    <w:rsid w:val="003B3D1E"/>
    <w:rsid w:val="003B3D56"/>
    <w:rsid w:val="003B41AA"/>
    <w:rsid w:val="003B519B"/>
    <w:rsid w:val="003B5969"/>
    <w:rsid w:val="003B5D49"/>
    <w:rsid w:val="003B5E3B"/>
    <w:rsid w:val="003B5F5F"/>
    <w:rsid w:val="003B6078"/>
    <w:rsid w:val="003B607D"/>
    <w:rsid w:val="003B62B5"/>
    <w:rsid w:val="003B6577"/>
    <w:rsid w:val="003B663C"/>
    <w:rsid w:val="003B6941"/>
    <w:rsid w:val="003B6955"/>
    <w:rsid w:val="003B6B6D"/>
    <w:rsid w:val="003B6B93"/>
    <w:rsid w:val="003B6BE3"/>
    <w:rsid w:val="003B7539"/>
    <w:rsid w:val="003B772F"/>
    <w:rsid w:val="003B78F2"/>
    <w:rsid w:val="003B7D29"/>
    <w:rsid w:val="003C01BC"/>
    <w:rsid w:val="003C0262"/>
    <w:rsid w:val="003C06A3"/>
    <w:rsid w:val="003C0744"/>
    <w:rsid w:val="003C0825"/>
    <w:rsid w:val="003C0C28"/>
    <w:rsid w:val="003C0C59"/>
    <w:rsid w:val="003C0D15"/>
    <w:rsid w:val="003C0F14"/>
    <w:rsid w:val="003C0F63"/>
    <w:rsid w:val="003C1162"/>
    <w:rsid w:val="003C15C0"/>
    <w:rsid w:val="003C1F09"/>
    <w:rsid w:val="003C2826"/>
    <w:rsid w:val="003C31A2"/>
    <w:rsid w:val="003C333D"/>
    <w:rsid w:val="003C3462"/>
    <w:rsid w:val="003C3F24"/>
    <w:rsid w:val="003C4173"/>
    <w:rsid w:val="003C4405"/>
    <w:rsid w:val="003C4407"/>
    <w:rsid w:val="003C4C6A"/>
    <w:rsid w:val="003C4D7D"/>
    <w:rsid w:val="003C4D97"/>
    <w:rsid w:val="003C4E6D"/>
    <w:rsid w:val="003C4F4A"/>
    <w:rsid w:val="003C50E0"/>
    <w:rsid w:val="003C5254"/>
    <w:rsid w:val="003C53AA"/>
    <w:rsid w:val="003C5471"/>
    <w:rsid w:val="003C5522"/>
    <w:rsid w:val="003C5680"/>
    <w:rsid w:val="003C5AEE"/>
    <w:rsid w:val="003C5E1B"/>
    <w:rsid w:val="003C5FE2"/>
    <w:rsid w:val="003C6005"/>
    <w:rsid w:val="003C60DB"/>
    <w:rsid w:val="003C6222"/>
    <w:rsid w:val="003C638A"/>
    <w:rsid w:val="003C63FA"/>
    <w:rsid w:val="003C655B"/>
    <w:rsid w:val="003C6620"/>
    <w:rsid w:val="003C6826"/>
    <w:rsid w:val="003C6D52"/>
    <w:rsid w:val="003C6F08"/>
    <w:rsid w:val="003C727F"/>
    <w:rsid w:val="003C7378"/>
    <w:rsid w:val="003C74CD"/>
    <w:rsid w:val="003C77A3"/>
    <w:rsid w:val="003C780E"/>
    <w:rsid w:val="003C7C77"/>
    <w:rsid w:val="003C7C9D"/>
    <w:rsid w:val="003C7D43"/>
    <w:rsid w:val="003C7E22"/>
    <w:rsid w:val="003D0067"/>
    <w:rsid w:val="003D01FF"/>
    <w:rsid w:val="003D083B"/>
    <w:rsid w:val="003D0C09"/>
    <w:rsid w:val="003D0D17"/>
    <w:rsid w:val="003D1054"/>
    <w:rsid w:val="003D11CF"/>
    <w:rsid w:val="003D11F6"/>
    <w:rsid w:val="003D15F1"/>
    <w:rsid w:val="003D1C8D"/>
    <w:rsid w:val="003D1D5D"/>
    <w:rsid w:val="003D1D98"/>
    <w:rsid w:val="003D1E33"/>
    <w:rsid w:val="003D1F25"/>
    <w:rsid w:val="003D252D"/>
    <w:rsid w:val="003D26C9"/>
    <w:rsid w:val="003D2F65"/>
    <w:rsid w:val="003D3151"/>
    <w:rsid w:val="003D3305"/>
    <w:rsid w:val="003D331E"/>
    <w:rsid w:val="003D33C4"/>
    <w:rsid w:val="003D3547"/>
    <w:rsid w:val="003D3645"/>
    <w:rsid w:val="003D366C"/>
    <w:rsid w:val="003D394A"/>
    <w:rsid w:val="003D3B38"/>
    <w:rsid w:val="003D3B7A"/>
    <w:rsid w:val="003D4006"/>
    <w:rsid w:val="003D523A"/>
    <w:rsid w:val="003D52B1"/>
    <w:rsid w:val="003D5513"/>
    <w:rsid w:val="003D55A2"/>
    <w:rsid w:val="003D55D3"/>
    <w:rsid w:val="003D5ACA"/>
    <w:rsid w:val="003D5C34"/>
    <w:rsid w:val="003D5D09"/>
    <w:rsid w:val="003D5E30"/>
    <w:rsid w:val="003D5E42"/>
    <w:rsid w:val="003D63E9"/>
    <w:rsid w:val="003D64D3"/>
    <w:rsid w:val="003D67DC"/>
    <w:rsid w:val="003D689D"/>
    <w:rsid w:val="003D6BC8"/>
    <w:rsid w:val="003D6E26"/>
    <w:rsid w:val="003D6E6B"/>
    <w:rsid w:val="003D6EEC"/>
    <w:rsid w:val="003D7211"/>
    <w:rsid w:val="003D74C5"/>
    <w:rsid w:val="003D7B37"/>
    <w:rsid w:val="003D7C43"/>
    <w:rsid w:val="003E00CB"/>
    <w:rsid w:val="003E09FB"/>
    <w:rsid w:val="003E0C14"/>
    <w:rsid w:val="003E0DA5"/>
    <w:rsid w:val="003E0E87"/>
    <w:rsid w:val="003E107B"/>
    <w:rsid w:val="003E10C6"/>
    <w:rsid w:val="003E128A"/>
    <w:rsid w:val="003E169D"/>
    <w:rsid w:val="003E1807"/>
    <w:rsid w:val="003E1887"/>
    <w:rsid w:val="003E18BC"/>
    <w:rsid w:val="003E1C0B"/>
    <w:rsid w:val="003E1D59"/>
    <w:rsid w:val="003E2032"/>
    <w:rsid w:val="003E2095"/>
    <w:rsid w:val="003E218A"/>
    <w:rsid w:val="003E24D3"/>
    <w:rsid w:val="003E277B"/>
    <w:rsid w:val="003E2B05"/>
    <w:rsid w:val="003E3177"/>
    <w:rsid w:val="003E32A3"/>
    <w:rsid w:val="003E3B4E"/>
    <w:rsid w:val="003E3F0A"/>
    <w:rsid w:val="003E430A"/>
    <w:rsid w:val="003E4333"/>
    <w:rsid w:val="003E4386"/>
    <w:rsid w:val="003E4C8C"/>
    <w:rsid w:val="003E4D6D"/>
    <w:rsid w:val="003E4D8A"/>
    <w:rsid w:val="003E564D"/>
    <w:rsid w:val="003E5840"/>
    <w:rsid w:val="003E59C7"/>
    <w:rsid w:val="003E5C77"/>
    <w:rsid w:val="003E5E15"/>
    <w:rsid w:val="003E61F0"/>
    <w:rsid w:val="003E67CF"/>
    <w:rsid w:val="003E69A0"/>
    <w:rsid w:val="003E6A06"/>
    <w:rsid w:val="003E6F8C"/>
    <w:rsid w:val="003E718F"/>
    <w:rsid w:val="003E741F"/>
    <w:rsid w:val="003E7443"/>
    <w:rsid w:val="003E7524"/>
    <w:rsid w:val="003E7556"/>
    <w:rsid w:val="003E7647"/>
    <w:rsid w:val="003E76CA"/>
    <w:rsid w:val="003E78CC"/>
    <w:rsid w:val="003E7AAC"/>
    <w:rsid w:val="003E7B1E"/>
    <w:rsid w:val="003E7D12"/>
    <w:rsid w:val="003E7D5B"/>
    <w:rsid w:val="003E7D84"/>
    <w:rsid w:val="003F00AA"/>
    <w:rsid w:val="003F01FB"/>
    <w:rsid w:val="003F03F2"/>
    <w:rsid w:val="003F0498"/>
    <w:rsid w:val="003F0548"/>
    <w:rsid w:val="003F0659"/>
    <w:rsid w:val="003F07EB"/>
    <w:rsid w:val="003F1385"/>
    <w:rsid w:val="003F13BE"/>
    <w:rsid w:val="003F1517"/>
    <w:rsid w:val="003F168D"/>
    <w:rsid w:val="003F194A"/>
    <w:rsid w:val="003F1D01"/>
    <w:rsid w:val="003F1D87"/>
    <w:rsid w:val="003F1E0F"/>
    <w:rsid w:val="003F2E4D"/>
    <w:rsid w:val="003F353D"/>
    <w:rsid w:val="003F3704"/>
    <w:rsid w:val="003F3839"/>
    <w:rsid w:val="003F38F2"/>
    <w:rsid w:val="003F3AB4"/>
    <w:rsid w:val="003F3C80"/>
    <w:rsid w:val="003F3CF5"/>
    <w:rsid w:val="003F3DEF"/>
    <w:rsid w:val="003F3E3E"/>
    <w:rsid w:val="003F3F81"/>
    <w:rsid w:val="003F44A5"/>
    <w:rsid w:val="003F4A4B"/>
    <w:rsid w:val="003F4ABF"/>
    <w:rsid w:val="003F4B46"/>
    <w:rsid w:val="003F4B68"/>
    <w:rsid w:val="003F50ED"/>
    <w:rsid w:val="003F540E"/>
    <w:rsid w:val="003F5515"/>
    <w:rsid w:val="003F58CB"/>
    <w:rsid w:val="003F5D34"/>
    <w:rsid w:val="003F5DA3"/>
    <w:rsid w:val="003F5F00"/>
    <w:rsid w:val="003F5F3C"/>
    <w:rsid w:val="003F612E"/>
    <w:rsid w:val="003F62FD"/>
    <w:rsid w:val="003F72E3"/>
    <w:rsid w:val="003F7366"/>
    <w:rsid w:val="003F7389"/>
    <w:rsid w:val="003F740F"/>
    <w:rsid w:val="003F7547"/>
    <w:rsid w:val="003F78F8"/>
    <w:rsid w:val="003F7B0D"/>
    <w:rsid w:val="003F7B87"/>
    <w:rsid w:val="003F7FDF"/>
    <w:rsid w:val="004002AD"/>
    <w:rsid w:val="00400531"/>
    <w:rsid w:val="00400588"/>
    <w:rsid w:val="004005C6"/>
    <w:rsid w:val="00400776"/>
    <w:rsid w:val="00400C81"/>
    <w:rsid w:val="00400DC6"/>
    <w:rsid w:val="00401271"/>
    <w:rsid w:val="004012F2"/>
    <w:rsid w:val="0040181A"/>
    <w:rsid w:val="004018E8"/>
    <w:rsid w:val="00401948"/>
    <w:rsid w:val="00401953"/>
    <w:rsid w:val="00401BE7"/>
    <w:rsid w:val="00401C47"/>
    <w:rsid w:val="00401C88"/>
    <w:rsid w:val="00401FC8"/>
    <w:rsid w:val="00402344"/>
    <w:rsid w:val="0040286D"/>
    <w:rsid w:val="00402967"/>
    <w:rsid w:val="00402B79"/>
    <w:rsid w:val="00402BA0"/>
    <w:rsid w:val="00402FC9"/>
    <w:rsid w:val="0040308B"/>
    <w:rsid w:val="004031CB"/>
    <w:rsid w:val="00403384"/>
    <w:rsid w:val="00403B0C"/>
    <w:rsid w:val="00403DB2"/>
    <w:rsid w:val="00403F6F"/>
    <w:rsid w:val="00404004"/>
    <w:rsid w:val="004040D9"/>
    <w:rsid w:val="004040ED"/>
    <w:rsid w:val="00404213"/>
    <w:rsid w:val="004049E5"/>
    <w:rsid w:val="00404A34"/>
    <w:rsid w:val="00404C1C"/>
    <w:rsid w:val="00404D6A"/>
    <w:rsid w:val="00404EB8"/>
    <w:rsid w:val="0040520F"/>
    <w:rsid w:val="00405257"/>
    <w:rsid w:val="00405407"/>
    <w:rsid w:val="0040543C"/>
    <w:rsid w:val="004054D3"/>
    <w:rsid w:val="0040569B"/>
    <w:rsid w:val="00405D69"/>
    <w:rsid w:val="00406529"/>
    <w:rsid w:val="00406921"/>
    <w:rsid w:val="0040694D"/>
    <w:rsid w:val="0040698E"/>
    <w:rsid w:val="0040699D"/>
    <w:rsid w:val="00406BB3"/>
    <w:rsid w:val="00407249"/>
    <w:rsid w:val="004078D0"/>
    <w:rsid w:val="00407E3A"/>
    <w:rsid w:val="00407E7A"/>
    <w:rsid w:val="00407EC5"/>
    <w:rsid w:val="00407ED1"/>
    <w:rsid w:val="00407ED4"/>
    <w:rsid w:val="0041037A"/>
    <w:rsid w:val="004103A3"/>
    <w:rsid w:val="00410556"/>
    <w:rsid w:val="00410872"/>
    <w:rsid w:val="00410C33"/>
    <w:rsid w:val="00410CCB"/>
    <w:rsid w:val="00410EC0"/>
    <w:rsid w:val="00411340"/>
    <w:rsid w:val="004116C1"/>
    <w:rsid w:val="004116D3"/>
    <w:rsid w:val="0041175D"/>
    <w:rsid w:val="00411803"/>
    <w:rsid w:val="00411929"/>
    <w:rsid w:val="00411956"/>
    <w:rsid w:val="00411E09"/>
    <w:rsid w:val="00412371"/>
    <w:rsid w:val="004123A4"/>
    <w:rsid w:val="004123DD"/>
    <w:rsid w:val="00412400"/>
    <w:rsid w:val="0041244D"/>
    <w:rsid w:val="00412BC3"/>
    <w:rsid w:val="00412FCF"/>
    <w:rsid w:val="00413110"/>
    <w:rsid w:val="004133B4"/>
    <w:rsid w:val="0041355B"/>
    <w:rsid w:val="00413752"/>
    <w:rsid w:val="00413B46"/>
    <w:rsid w:val="00413BBB"/>
    <w:rsid w:val="00413CA7"/>
    <w:rsid w:val="00413F31"/>
    <w:rsid w:val="00414125"/>
    <w:rsid w:val="00414161"/>
    <w:rsid w:val="00414AC4"/>
    <w:rsid w:val="00414F3F"/>
    <w:rsid w:val="0041506F"/>
    <w:rsid w:val="00415547"/>
    <w:rsid w:val="004155E3"/>
    <w:rsid w:val="0041580F"/>
    <w:rsid w:val="00415884"/>
    <w:rsid w:val="00415E99"/>
    <w:rsid w:val="004160A2"/>
    <w:rsid w:val="004160BE"/>
    <w:rsid w:val="004167C6"/>
    <w:rsid w:val="00416835"/>
    <w:rsid w:val="0041699B"/>
    <w:rsid w:val="00416C05"/>
    <w:rsid w:val="00417205"/>
    <w:rsid w:val="00417298"/>
    <w:rsid w:val="0041741A"/>
    <w:rsid w:val="00417587"/>
    <w:rsid w:val="0041770A"/>
    <w:rsid w:val="004177F5"/>
    <w:rsid w:val="004178BB"/>
    <w:rsid w:val="004178D1"/>
    <w:rsid w:val="004178EE"/>
    <w:rsid w:val="0041799C"/>
    <w:rsid w:val="004179FF"/>
    <w:rsid w:val="004202D3"/>
    <w:rsid w:val="0042052B"/>
    <w:rsid w:val="00420A24"/>
    <w:rsid w:val="00420A73"/>
    <w:rsid w:val="00420DB4"/>
    <w:rsid w:val="00420E63"/>
    <w:rsid w:val="00420EAB"/>
    <w:rsid w:val="00420EF5"/>
    <w:rsid w:val="00421039"/>
    <w:rsid w:val="00421CBC"/>
    <w:rsid w:val="00421D92"/>
    <w:rsid w:val="0042208D"/>
    <w:rsid w:val="004221E1"/>
    <w:rsid w:val="004223F7"/>
    <w:rsid w:val="0042275D"/>
    <w:rsid w:val="004228A8"/>
    <w:rsid w:val="00422C54"/>
    <w:rsid w:val="00422E1F"/>
    <w:rsid w:val="00422EDD"/>
    <w:rsid w:val="00422FCB"/>
    <w:rsid w:val="004231A0"/>
    <w:rsid w:val="004231AA"/>
    <w:rsid w:val="00423E19"/>
    <w:rsid w:val="00424087"/>
    <w:rsid w:val="004242B4"/>
    <w:rsid w:val="004242BF"/>
    <w:rsid w:val="004242F4"/>
    <w:rsid w:val="004243E7"/>
    <w:rsid w:val="00424832"/>
    <w:rsid w:val="00424B4E"/>
    <w:rsid w:val="00424B82"/>
    <w:rsid w:val="0042508B"/>
    <w:rsid w:val="00425487"/>
    <w:rsid w:val="00425841"/>
    <w:rsid w:val="004258AE"/>
    <w:rsid w:val="00425A55"/>
    <w:rsid w:val="00425B75"/>
    <w:rsid w:val="00427286"/>
    <w:rsid w:val="004273DE"/>
    <w:rsid w:val="004276F8"/>
    <w:rsid w:val="004278F0"/>
    <w:rsid w:val="0042796E"/>
    <w:rsid w:val="00427BE3"/>
    <w:rsid w:val="00427E6E"/>
    <w:rsid w:val="004300C3"/>
    <w:rsid w:val="00430245"/>
    <w:rsid w:val="004303BA"/>
    <w:rsid w:val="004304B6"/>
    <w:rsid w:val="00430705"/>
    <w:rsid w:val="004307E9"/>
    <w:rsid w:val="00430970"/>
    <w:rsid w:val="00431215"/>
    <w:rsid w:val="00431789"/>
    <w:rsid w:val="00431849"/>
    <w:rsid w:val="004318DC"/>
    <w:rsid w:val="00431CE1"/>
    <w:rsid w:val="00431EDF"/>
    <w:rsid w:val="00431F39"/>
    <w:rsid w:val="00432104"/>
    <w:rsid w:val="004322F6"/>
    <w:rsid w:val="00432336"/>
    <w:rsid w:val="004325CE"/>
    <w:rsid w:val="004328A8"/>
    <w:rsid w:val="00432DF5"/>
    <w:rsid w:val="00433161"/>
    <w:rsid w:val="00433265"/>
    <w:rsid w:val="00433312"/>
    <w:rsid w:val="00433472"/>
    <w:rsid w:val="004338EA"/>
    <w:rsid w:val="00433DD8"/>
    <w:rsid w:val="00433EF6"/>
    <w:rsid w:val="004341EE"/>
    <w:rsid w:val="00434785"/>
    <w:rsid w:val="00434A8A"/>
    <w:rsid w:val="00434EF3"/>
    <w:rsid w:val="004353B4"/>
    <w:rsid w:val="00435742"/>
    <w:rsid w:val="004358A1"/>
    <w:rsid w:val="00435A2A"/>
    <w:rsid w:val="00435BCB"/>
    <w:rsid w:val="00435D83"/>
    <w:rsid w:val="00435DA4"/>
    <w:rsid w:val="00435FC4"/>
    <w:rsid w:val="004360FA"/>
    <w:rsid w:val="004364E9"/>
    <w:rsid w:val="00436A05"/>
    <w:rsid w:val="00436BF1"/>
    <w:rsid w:val="00436F3D"/>
    <w:rsid w:val="0043757F"/>
    <w:rsid w:val="004376EB"/>
    <w:rsid w:val="00437F12"/>
    <w:rsid w:val="00437F1E"/>
    <w:rsid w:val="00440372"/>
    <w:rsid w:val="004403CF"/>
    <w:rsid w:val="004407F5"/>
    <w:rsid w:val="0044083A"/>
    <w:rsid w:val="004408BE"/>
    <w:rsid w:val="00440B32"/>
    <w:rsid w:val="00440BA9"/>
    <w:rsid w:val="0044106E"/>
    <w:rsid w:val="004413DA"/>
    <w:rsid w:val="00441579"/>
    <w:rsid w:val="004418F2"/>
    <w:rsid w:val="00441CD6"/>
    <w:rsid w:val="00442026"/>
    <w:rsid w:val="00442447"/>
    <w:rsid w:val="0044245D"/>
    <w:rsid w:val="00442476"/>
    <w:rsid w:val="00442B48"/>
    <w:rsid w:val="00442BFE"/>
    <w:rsid w:val="00442D05"/>
    <w:rsid w:val="00442E49"/>
    <w:rsid w:val="00442F8F"/>
    <w:rsid w:val="004430AA"/>
    <w:rsid w:val="00443139"/>
    <w:rsid w:val="004434EF"/>
    <w:rsid w:val="004439D2"/>
    <w:rsid w:val="00443BB8"/>
    <w:rsid w:val="00443F87"/>
    <w:rsid w:val="004440B1"/>
    <w:rsid w:val="00444347"/>
    <w:rsid w:val="00444570"/>
    <w:rsid w:val="00444720"/>
    <w:rsid w:val="00444E0D"/>
    <w:rsid w:val="00444F8B"/>
    <w:rsid w:val="0044506D"/>
    <w:rsid w:val="004451AB"/>
    <w:rsid w:val="0044520E"/>
    <w:rsid w:val="0044527B"/>
    <w:rsid w:val="00445417"/>
    <w:rsid w:val="0044543D"/>
    <w:rsid w:val="00445A41"/>
    <w:rsid w:val="00445C63"/>
    <w:rsid w:val="004460EB"/>
    <w:rsid w:val="00446199"/>
    <w:rsid w:val="004461A7"/>
    <w:rsid w:val="00446237"/>
    <w:rsid w:val="004465E8"/>
    <w:rsid w:val="0044670C"/>
    <w:rsid w:val="00446AF2"/>
    <w:rsid w:val="00446B76"/>
    <w:rsid w:val="00446BBE"/>
    <w:rsid w:val="00446D6F"/>
    <w:rsid w:val="0044722D"/>
    <w:rsid w:val="0044727E"/>
    <w:rsid w:val="00447294"/>
    <w:rsid w:val="004473A8"/>
    <w:rsid w:val="004473CC"/>
    <w:rsid w:val="00447930"/>
    <w:rsid w:val="00447B4E"/>
    <w:rsid w:val="00447CB9"/>
    <w:rsid w:val="00447F1F"/>
    <w:rsid w:val="00447F5A"/>
    <w:rsid w:val="00447F99"/>
    <w:rsid w:val="004506CC"/>
    <w:rsid w:val="00450757"/>
    <w:rsid w:val="004509ED"/>
    <w:rsid w:val="00450A22"/>
    <w:rsid w:val="00450AB2"/>
    <w:rsid w:val="00451157"/>
    <w:rsid w:val="00451184"/>
    <w:rsid w:val="004511A7"/>
    <w:rsid w:val="004511E9"/>
    <w:rsid w:val="00451795"/>
    <w:rsid w:val="004517D4"/>
    <w:rsid w:val="00451820"/>
    <w:rsid w:val="00451A55"/>
    <w:rsid w:val="00451A65"/>
    <w:rsid w:val="00451A84"/>
    <w:rsid w:val="00451AD9"/>
    <w:rsid w:val="00451C10"/>
    <w:rsid w:val="00451C38"/>
    <w:rsid w:val="00451DC9"/>
    <w:rsid w:val="00452049"/>
    <w:rsid w:val="00452070"/>
    <w:rsid w:val="0045243B"/>
    <w:rsid w:val="004524CF"/>
    <w:rsid w:val="0045258D"/>
    <w:rsid w:val="00452A75"/>
    <w:rsid w:val="00452B47"/>
    <w:rsid w:val="00452E0C"/>
    <w:rsid w:val="00452E0E"/>
    <w:rsid w:val="0045306A"/>
    <w:rsid w:val="004530E0"/>
    <w:rsid w:val="00453566"/>
    <w:rsid w:val="0045384D"/>
    <w:rsid w:val="00453EF9"/>
    <w:rsid w:val="00453F0A"/>
    <w:rsid w:val="004540C5"/>
    <w:rsid w:val="00454163"/>
    <w:rsid w:val="0045420C"/>
    <w:rsid w:val="00454358"/>
    <w:rsid w:val="004548A6"/>
    <w:rsid w:val="00454A16"/>
    <w:rsid w:val="00454B67"/>
    <w:rsid w:val="00454BE5"/>
    <w:rsid w:val="00454D4C"/>
    <w:rsid w:val="0045532E"/>
    <w:rsid w:val="004553CD"/>
    <w:rsid w:val="004556BC"/>
    <w:rsid w:val="00455A3D"/>
    <w:rsid w:val="00455A4F"/>
    <w:rsid w:val="00455AD0"/>
    <w:rsid w:val="00455AEC"/>
    <w:rsid w:val="00455CB6"/>
    <w:rsid w:val="00455CF8"/>
    <w:rsid w:val="00455D1C"/>
    <w:rsid w:val="00455EB7"/>
    <w:rsid w:val="00455EE7"/>
    <w:rsid w:val="00455FA6"/>
    <w:rsid w:val="004560E4"/>
    <w:rsid w:val="0045611B"/>
    <w:rsid w:val="004563C9"/>
    <w:rsid w:val="00456AC6"/>
    <w:rsid w:val="00456F7C"/>
    <w:rsid w:val="00457A6A"/>
    <w:rsid w:val="00457E7C"/>
    <w:rsid w:val="00457EEC"/>
    <w:rsid w:val="0046055B"/>
    <w:rsid w:val="004607D5"/>
    <w:rsid w:val="00460803"/>
    <w:rsid w:val="004608E1"/>
    <w:rsid w:val="00460B4C"/>
    <w:rsid w:val="00460CAE"/>
    <w:rsid w:val="00460F2A"/>
    <w:rsid w:val="00460F9C"/>
    <w:rsid w:val="00461028"/>
    <w:rsid w:val="004613FA"/>
    <w:rsid w:val="004614B7"/>
    <w:rsid w:val="00461703"/>
    <w:rsid w:val="004617FD"/>
    <w:rsid w:val="00461ABD"/>
    <w:rsid w:val="00461DE8"/>
    <w:rsid w:val="00461EAD"/>
    <w:rsid w:val="00462005"/>
    <w:rsid w:val="004621C9"/>
    <w:rsid w:val="00462647"/>
    <w:rsid w:val="004627B4"/>
    <w:rsid w:val="00462899"/>
    <w:rsid w:val="00463232"/>
    <w:rsid w:val="004634FC"/>
    <w:rsid w:val="00463501"/>
    <w:rsid w:val="004636D8"/>
    <w:rsid w:val="004637D0"/>
    <w:rsid w:val="00463800"/>
    <w:rsid w:val="0046386F"/>
    <w:rsid w:val="0046393A"/>
    <w:rsid w:val="00463ACF"/>
    <w:rsid w:val="00463F0A"/>
    <w:rsid w:val="00464018"/>
    <w:rsid w:val="00464448"/>
    <w:rsid w:val="00464B5A"/>
    <w:rsid w:val="00464C21"/>
    <w:rsid w:val="00464C5D"/>
    <w:rsid w:val="00464D02"/>
    <w:rsid w:val="00465090"/>
    <w:rsid w:val="0046518A"/>
    <w:rsid w:val="00465613"/>
    <w:rsid w:val="004656C5"/>
    <w:rsid w:val="004658B1"/>
    <w:rsid w:val="00465B62"/>
    <w:rsid w:val="00465B68"/>
    <w:rsid w:val="00465FBC"/>
    <w:rsid w:val="0046617E"/>
    <w:rsid w:val="004664E1"/>
    <w:rsid w:val="00466771"/>
    <w:rsid w:val="004668CB"/>
    <w:rsid w:val="00466A61"/>
    <w:rsid w:val="00466C23"/>
    <w:rsid w:val="00466DEA"/>
    <w:rsid w:val="00466F61"/>
    <w:rsid w:val="00467466"/>
    <w:rsid w:val="004674E7"/>
    <w:rsid w:val="0046754B"/>
    <w:rsid w:val="00467598"/>
    <w:rsid w:val="004677A1"/>
    <w:rsid w:val="00467820"/>
    <w:rsid w:val="0046788B"/>
    <w:rsid w:val="00467A6E"/>
    <w:rsid w:val="00467ECD"/>
    <w:rsid w:val="00467F8B"/>
    <w:rsid w:val="004704C5"/>
    <w:rsid w:val="00470574"/>
    <w:rsid w:val="00470D1E"/>
    <w:rsid w:val="00470DCB"/>
    <w:rsid w:val="00470DFD"/>
    <w:rsid w:val="00470E7F"/>
    <w:rsid w:val="00470F5C"/>
    <w:rsid w:val="00470FF6"/>
    <w:rsid w:val="00471090"/>
    <w:rsid w:val="004711F4"/>
    <w:rsid w:val="00471749"/>
    <w:rsid w:val="00471CF7"/>
    <w:rsid w:val="00471D0D"/>
    <w:rsid w:val="00471EF6"/>
    <w:rsid w:val="00472091"/>
    <w:rsid w:val="004722A1"/>
    <w:rsid w:val="004728A4"/>
    <w:rsid w:val="00472C79"/>
    <w:rsid w:val="00472D27"/>
    <w:rsid w:val="00472EBB"/>
    <w:rsid w:val="00473376"/>
    <w:rsid w:val="004736D5"/>
    <w:rsid w:val="0047386E"/>
    <w:rsid w:val="00473AB6"/>
    <w:rsid w:val="00473B75"/>
    <w:rsid w:val="00473E3B"/>
    <w:rsid w:val="004740CF"/>
    <w:rsid w:val="00474182"/>
    <w:rsid w:val="0047424E"/>
    <w:rsid w:val="00474799"/>
    <w:rsid w:val="00474AF3"/>
    <w:rsid w:val="00474B62"/>
    <w:rsid w:val="00474E1D"/>
    <w:rsid w:val="00475015"/>
    <w:rsid w:val="004753B5"/>
    <w:rsid w:val="004755B7"/>
    <w:rsid w:val="00475730"/>
    <w:rsid w:val="00475889"/>
    <w:rsid w:val="00475C7A"/>
    <w:rsid w:val="00475DFB"/>
    <w:rsid w:val="00475ECD"/>
    <w:rsid w:val="00475F0B"/>
    <w:rsid w:val="00475F8B"/>
    <w:rsid w:val="004761F2"/>
    <w:rsid w:val="0047625C"/>
    <w:rsid w:val="00476585"/>
    <w:rsid w:val="004766D6"/>
    <w:rsid w:val="00476AD1"/>
    <w:rsid w:val="00476B16"/>
    <w:rsid w:val="00476BC1"/>
    <w:rsid w:val="00476F9A"/>
    <w:rsid w:val="00477AFB"/>
    <w:rsid w:val="00477D89"/>
    <w:rsid w:val="00477DB5"/>
    <w:rsid w:val="00477F30"/>
    <w:rsid w:val="00477FA7"/>
    <w:rsid w:val="00480068"/>
    <w:rsid w:val="0048036E"/>
    <w:rsid w:val="00480AF9"/>
    <w:rsid w:val="004810B6"/>
    <w:rsid w:val="00481176"/>
    <w:rsid w:val="0048118A"/>
    <w:rsid w:val="00481C0D"/>
    <w:rsid w:val="00481D62"/>
    <w:rsid w:val="00481D8B"/>
    <w:rsid w:val="00481FC3"/>
    <w:rsid w:val="004823FE"/>
    <w:rsid w:val="00482620"/>
    <w:rsid w:val="00482647"/>
    <w:rsid w:val="00482B27"/>
    <w:rsid w:val="00482BD6"/>
    <w:rsid w:val="00482D42"/>
    <w:rsid w:val="00482F45"/>
    <w:rsid w:val="004830E6"/>
    <w:rsid w:val="004831DC"/>
    <w:rsid w:val="004832CE"/>
    <w:rsid w:val="00483493"/>
    <w:rsid w:val="004835AB"/>
    <w:rsid w:val="0048381F"/>
    <w:rsid w:val="00483F87"/>
    <w:rsid w:val="0048408B"/>
    <w:rsid w:val="0048445D"/>
    <w:rsid w:val="004844D4"/>
    <w:rsid w:val="004844F8"/>
    <w:rsid w:val="004847BB"/>
    <w:rsid w:val="004848F1"/>
    <w:rsid w:val="00484903"/>
    <w:rsid w:val="00484945"/>
    <w:rsid w:val="00484972"/>
    <w:rsid w:val="00484B7F"/>
    <w:rsid w:val="00484B97"/>
    <w:rsid w:val="00484C0C"/>
    <w:rsid w:val="00485074"/>
    <w:rsid w:val="004852B5"/>
    <w:rsid w:val="004854B5"/>
    <w:rsid w:val="004859D4"/>
    <w:rsid w:val="00485A54"/>
    <w:rsid w:val="00485C8F"/>
    <w:rsid w:val="00485CEE"/>
    <w:rsid w:val="00485DCE"/>
    <w:rsid w:val="00485FA6"/>
    <w:rsid w:val="00486654"/>
    <w:rsid w:val="004869DD"/>
    <w:rsid w:val="00486ADB"/>
    <w:rsid w:val="00486B89"/>
    <w:rsid w:val="00487880"/>
    <w:rsid w:val="00487A29"/>
    <w:rsid w:val="00487A51"/>
    <w:rsid w:val="00487EC6"/>
    <w:rsid w:val="00490661"/>
    <w:rsid w:val="0049070E"/>
    <w:rsid w:val="004907E4"/>
    <w:rsid w:val="0049081A"/>
    <w:rsid w:val="00490C2A"/>
    <w:rsid w:val="00490DED"/>
    <w:rsid w:val="0049106C"/>
    <w:rsid w:val="004913F5"/>
    <w:rsid w:val="00491496"/>
    <w:rsid w:val="004914C2"/>
    <w:rsid w:val="0049166D"/>
    <w:rsid w:val="00491798"/>
    <w:rsid w:val="004917B0"/>
    <w:rsid w:val="00491BFA"/>
    <w:rsid w:val="0049222D"/>
    <w:rsid w:val="0049266E"/>
    <w:rsid w:val="00492EC7"/>
    <w:rsid w:val="00493395"/>
    <w:rsid w:val="00493497"/>
    <w:rsid w:val="0049354A"/>
    <w:rsid w:val="0049365A"/>
    <w:rsid w:val="00493893"/>
    <w:rsid w:val="004938A6"/>
    <w:rsid w:val="00493A2A"/>
    <w:rsid w:val="00493F51"/>
    <w:rsid w:val="00494239"/>
    <w:rsid w:val="004943A4"/>
    <w:rsid w:val="004944BE"/>
    <w:rsid w:val="004945C2"/>
    <w:rsid w:val="00494655"/>
    <w:rsid w:val="0049467F"/>
    <w:rsid w:val="004946E7"/>
    <w:rsid w:val="004948C4"/>
    <w:rsid w:val="00494960"/>
    <w:rsid w:val="00494BE4"/>
    <w:rsid w:val="00494C27"/>
    <w:rsid w:val="00494CA9"/>
    <w:rsid w:val="00494DF7"/>
    <w:rsid w:val="00494E0B"/>
    <w:rsid w:val="004954BF"/>
    <w:rsid w:val="00495AB7"/>
    <w:rsid w:val="00495B46"/>
    <w:rsid w:val="00495CC6"/>
    <w:rsid w:val="00496A24"/>
    <w:rsid w:val="00496AF2"/>
    <w:rsid w:val="004972E5"/>
    <w:rsid w:val="0049765C"/>
    <w:rsid w:val="00497ADB"/>
    <w:rsid w:val="00497C53"/>
    <w:rsid w:val="00497EB1"/>
    <w:rsid w:val="00497F3C"/>
    <w:rsid w:val="004A00EF"/>
    <w:rsid w:val="004A0211"/>
    <w:rsid w:val="004A0304"/>
    <w:rsid w:val="004A03DA"/>
    <w:rsid w:val="004A04B0"/>
    <w:rsid w:val="004A0AA5"/>
    <w:rsid w:val="004A0BE9"/>
    <w:rsid w:val="004A0D62"/>
    <w:rsid w:val="004A0DA2"/>
    <w:rsid w:val="004A0DB3"/>
    <w:rsid w:val="004A0E20"/>
    <w:rsid w:val="004A0EBE"/>
    <w:rsid w:val="004A1272"/>
    <w:rsid w:val="004A12B3"/>
    <w:rsid w:val="004A1346"/>
    <w:rsid w:val="004A1369"/>
    <w:rsid w:val="004A1A42"/>
    <w:rsid w:val="004A1CFA"/>
    <w:rsid w:val="004A1FB2"/>
    <w:rsid w:val="004A23F5"/>
    <w:rsid w:val="004A2747"/>
    <w:rsid w:val="004A2AE5"/>
    <w:rsid w:val="004A2CE5"/>
    <w:rsid w:val="004A2DE4"/>
    <w:rsid w:val="004A2E9E"/>
    <w:rsid w:val="004A2FF6"/>
    <w:rsid w:val="004A3398"/>
    <w:rsid w:val="004A344E"/>
    <w:rsid w:val="004A3489"/>
    <w:rsid w:val="004A34B9"/>
    <w:rsid w:val="004A34C8"/>
    <w:rsid w:val="004A35AB"/>
    <w:rsid w:val="004A37BD"/>
    <w:rsid w:val="004A3A02"/>
    <w:rsid w:val="004A3B0E"/>
    <w:rsid w:val="004A3DD9"/>
    <w:rsid w:val="004A3E09"/>
    <w:rsid w:val="004A3F19"/>
    <w:rsid w:val="004A4A21"/>
    <w:rsid w:val="004A4AB8"/>
    <w:rsid w:val="004A4CFC"/>
    <w:rsid w:val="004A512C"/>
    <w:rsid w:val="004A51A1"/>
    <w:rsid w:val="004A53BC"/>
    <w:rsid w:val="004A5595"/>
    <w:rsid w:val="004A57B1"/>
    <w:rsid w:val="004A5C8B"/>
    <w:rsid w:val="004A620C"/>
    <w:rsid w:val="004A65CC"/>
    <w:rsid w:val="004A6631"/>
    <w:rsid w:val="004A697F"/>
    <w:rsid w:val="004A69F6"/>
    <w:rsid w:val="004A6A6E"/>
    <w:rsid w:val="004A6AE4"/>
    <w:rsid w:val="004A6C66"/>
    <w:rsid w:val="004A6DE4"/>
    <w:rsid w:val="004A6E30"/>
    <w:rsid w:val="004A6E6E"/>
    <w:rsid w:val="004A6F0E"/>
    <w:rsid w:val="004A6F33"/>
    <w:rsid w:val="004A708F"/>
    <w:rsid w:val="004A7170"/>
    <w:rsid w:val="004A75CA"/>
    <w:rsid w:val="004A7807"/>
    <w:rsid w:val="004A7A8B"/>
    <w:rsid w:val="004A7D5B"/>
    <w:rsid w:val="004B00D7"/>
    <w:rsid w:val="004B06C5"/>
    <w:rsid w:val="004B0D7B"/>
    <w:rsid w:val="004B0FC4"/>
    <w:rsid w:val="004B105D"/>
    <w:rsid w:val="004B1115"/>
    <w:rsid w:val="004B119D"/>
    <w:rsid w:val="004B17EB"/>
    <w:rsid w:val="004B1969"/>
    <w:rsid w:val="004B1B37"/>
    <w:rsid w:val="004B1C6C"/>
    <w:rsid w:val="004B1E72"/>
    <w:rsid w:val="004B21E1"/>
    <w:rsid w:val="004B2431"/>
    <w:rsid w:val="004B2A88"/>
    <w:rsid w:val="004B2CC1"/>
    <w:rsid w:val="004B2ECE"/>
    <w:rsid w:val="004B31EF"/>
    <w:rsid w:val="004B3252"/>
    <w:rsid w:val="004B32C0"/>
    <w:rsid w:val="004B38B3"/>
    <w:rsid w:val="004B3AF7"/>
    <w:rsid w:val="004B3E8F"/>
    <w:rsid w:val="004B446D"/>
    <w:rsid w:val="004B4B64"/>
    <w:rsid w:val="004B4D4F"/>
    <w:rsid w:val="004B5001"/>
    <w:rsid w:val="004B51EF"/>
    <w:rsid w:val="004B5A68"/>
    <w:rsid w:val="004B5A70"/>
    <w:rsid w:val="004B5BA9"/>
    <w:rsid w:val="004B5BBD"/>
    <w:rsid w:val="004B5EE6"/>
    <w:rsid w:val="004B6032"/>
    <w:rsid w:val="004B6066"/>
    <w:rsid w:val="004B6603"/>
    <w:rsid w:val="004B6759"/>
    <w:rsid w:val="004B67C3"/>
    <w:rsid w:val="004B69F5"/>
    <w:rsid w:val="004B6D46"/>
    <w:rsid w:val="004B734A"/>
    <w:rsid w:val="004B7581"/>
    <w:rsid w:val="004B7850"/>
    <w:rsid w:val="004B78A7"/>
    <w:rsid w:val="004B7AFD"/>
    <w:rsid w:val="004C0296"/>
    <w:rsid w:val="004C0419"/>
    <w:rsid w:val="004C0527"/>
    <w:rsid w:val="004C0573"/>
    <w:rsid w:val="004C05EA"/>
    <w:rsid w:val="004C0693"/>
    <w:rsid w:val="004C0C89"/>
    <w:rsid w:val="004C0DDB"/>
    <w:rsid w:val="004C1213"/>
    <w:rsid w:val="004C122D"/>
    <w:rsid w:val="004C154E"/>
    <w:rsid w:val="004C17C2"/>
    <w:rsid w:val="004C1A34"/>
    <w:rsid w:val="004C1DF3"/>
    <w:rsid w:val="004C2270"/>
    <w:rsid w:val="004C245F"/>
    <w:rsid w:val="004C2521"/>
    <w:rsid w:val="004C263D"/>
    <w:rsid w:val="004C26DF"/>
    <w:rsid w:val="004C27BD"/>
    <w:rsid w:val="004C2A84"/>
    <w:rsid w:val="004C3199"/>
    <w:rsid w:val="004C3336"/>
    <w:rsid w:val="004C3365"/>
    <w:rsid w:val="004C371D"/>
    <w:rsid w:val="004C3912"/>
    <w:rsid w:val="004C39A0"/>
    <w:rsid w:val="004C39A6"/>
    <w:rsid w:val="004C3C3E"/>
    <w:rsid w:val="004C3EC8"/>
    <w:rsid w:val="004C3F04"/>
    <w:rsid w:val="004C3F4F"/>
    <w:rsid w:val="004C3F8D"/>
    <w:rsid w:val="004C3FCB"/>
    <w:rsid w:val="004C41C3"/>
    <w:rsid w:val="004C41E1"/>
    <w:rsid w:val="004C47C9"/>
    <w:rsid w:val="004C4F44"/>
    <w:rsid w:val="004C5039"/>
    <w:rsid w:val="004C520F"/>
    <w:rsid w:val="004C5352"/>
    <w:rsid w:val="004C55B5"/>
    <w:rsid w:val="004C5800"/>
    <w:rsid w:val="004C5817"/>
    <w:rsid w:val="004C5A0B"/>
    <w:rsid w:val="004C5A12"/>
    <w:rsid w:val="004C5B88"/>
    <w:rsid w:val="004C5CEC"/>
    <w:rsid w:val="004C5ED0"/>
    <w:rsid w:val="004C6621"/>
    <w:rsid w:val="004C6CE9"/>
    <w:rsid w:val="004C6DF3"/>
    <w:rsid w:val="004C707D"/>
    <w:rsid w:val="004C7276"/>
    <w:rsid w:val="004C7282"/>
    <w:rsid w:val="004C73EB"/>
    <w:rsid w:val="004C73F4"/>
    <w:rsid w:val="004C747C"/>
    <w:rsid w:val="004C7496"/>
    <w:rsid w:val="004C7613"/>
    <w:rsid w:val="004C797A"/>
    <w:rsid w:val="004C7AD8"/>
    <w:rsid w:val="004C7F41"/>
    <w:rsid w:val="004C7FA8"/>
    <w:rsid w:val="004D013F"/>
    <w:rsid w:val="004D0255"/>
    <w:rsid w:val="004D06AD"/>
    <w:rsid w:val="004D0A34"/>
    <w:rsid w:val="004D0FC2"/>
    <w:rsid w:val="004D11DB"/>
    <w:rsid w:val="004D14FF"/>
    <w:rsid w:val="004D1720"/>
    <w:rsid w:val="004D1754"/>
    <w:rsid w:val="004D18F0"/>
    <w:rsid w:val="004D1A77"/>
    <w:rsid w:val="004D1B5C"/>
    <w:rsid w:val="004D1D8F"/>
    <w:rsid w:val="004D1E2B"/>
    <w:rsid w:val="004D214A"/>
    <w:rsid w:val="004D2705"/>
    <w:rsid w:val="004D2826"/>
    <w:rsid w:val="004D29BB"/>
    <w:rsid w:val="004D2A52"/>
    <w:rsid w:val="004D2CA9"/>
    <w:rsid w:val="004D30B8"/>
    <w:rsid w:val="004D3414"/>
    <w:rsid w:val="004D369C"/>
    <w:rsid w:val="004D373B"/>
    <w:rsid w:val="004D378F"/>
    <w:rsid w:val="004D3B94"/>
    <w:rsid w:val="004D3BC8"/>
    <w:rsid w:val="004D4260"/>
    <w:rsid w:val="004D46EA"/>
    <w:rsid w:val="004D48A7"/>
    <w:rsid w:val="004D48F5"/>
    <w:rsid w:val="004D49D1"/>
    <w:rsid w:val="004D4C92"/>
    <w:rsid w:val="004D5052"/>
    <w:rsid w:val="004D541E"/>
    <w:rsid w:val="004D57FC"/>
    <w:rsid w:val="004D5A6D"/>
    <w:rsid w:val="004D61DD"/>
    <w:rsid w:val="004D653B"/>
    <w:rsid w:val="004D6701"/>
    <w:rsid w:val="004D6DEB"/>
    <w:rsid w:val="004D717A"/>
    <w:rsid w:val="004D71FB"/>
    <w:rsid w:val="004D7213"/>
    <w:rsid w:val="004D74A2"/>
    <w:rsid w:val="004D74B2"/>
    <w:rsid w:val="004D794C"/>
    <w:rsid w:val="004D799D"/>
    <w:rsid w:val="004D7AAA"/>
    <w:rsid w:val="004D7AB5"/>
    <w:rsid w:val="004D7D56"/>
    <w:rsid w:val="004E0187"/>
    <w:rsid w:val="004E03BA"/>
    <w:rsid w:val="004E0958"/>
    <w:rsid w:val="004E10B9"/>
    <w:rsid w:val="004E119A"/>
    <w:rsid w:val="004E12AF"/>
    <w:rsid w:val="004E1304"/>
    <w:rsid w:val="004E15DA"/>
    <w:rsid w:val="004E19D3"/>
    <w:rsid w:val="004E1AE5"/>
    <w:rsid w:val="004E1F83"/>
    <w:rsid w:val="004E1FEE"/>
    <w:rsid w:val="004E206F"/>
    <w:rsid w:val="004E216D"/>
    <w:rsid w:val="004E21E8"/>
    <w:rsid w:val="004E27B5"/>
    <w:rsid w:val="004E287D"/>
    <w:rsid w:val="004E2B99"/>
    <w:rsid w:val="004E2BF9"/>
    <w:rsid w:val="004E2C3B"/>
    <w:rsid w:val="004E34D7"/>
    <w:rsid w:val="004E35B5"/>
    <w:rsid w:val="004E390A"/>
    <w:rsid w:val="004E398E"/>
    <w:rsid w:val="004E3A85"/>
    <w:rsid w:val="004E3BB3"/>
    <w:rsid w:val="004E3C39"/>
    <w:rsid w:val="004E4003"/>
    <w:rsid w:val="004E4319"/>
    <w:rsid w:val="004E4376"/>
    <w:rsid w:val="004E444F"/>
    <w:rsid w:val="004E44B1"/>
    <w:rsid w:val="004E4501"/>
    <w:rsid w:val="004E467A"/>
    <w:rsid w:val="004E4A40"/>
    <w:rsid w:val="004E504B"/>
    <w:rsid w:val="004E5143"/>
    <w:rsid w:val="004E554D"/>
    <w:rsid w:val="004E5816"/>
    <w:rsid w:val="004E5871"/>
    <w:rsid w:val="004E594C"/>
    <w:rsid w:val="004E59C1"/>
    <w:rsid w:val="004E5B40"/>
    <w:rsid w:val="004E5C0B"/>
    <w:rsid w:val="004E60B3"/>
    <w:rsid w:val="004E626B"/>
    <w:rsid w:val="004E64EA"/>
    <w:rsid w:val="004E658A"/>
    <w:rsid w:val="004E6E6C"/>
    <w:rsid w:val="004E7224"/>
    <w:rsid w:val="004E73CA"/>
    <w:rsid w:val="004E786B"/>
    <w:rsid w:val="004E7D8A"/>
    <w:rsid w:val="004F0056"/>
    <w:rsid w:val="004F00DA"/>
    <w:rsid w:val="004F00FC"/>
    <w:rsid w:val="004F0108"/>
    <w:rsid w:val="004F0240"/>
    <w:rsid w:val="004F0244"/>
    <w:rsid w:val="004F0F6B"/>
    <w:rsid w:val="004F1197"/>
    <w:rsid w:val="004F131B"/>
    <w:rsid w:val="004F1442"/>
    <w:rsid w:val="004F1732"/>
    <w:rsid w:val="004F19E2"/>
    <w:rsid w:val="004F1D3F"/>
    <w:rsid w:val="004F1D7B"/>
    <w:rsid w:val="004F1F3B"/>
    <w:rsid w:val="004F20D3"/>
    <w:rsid w:val="004F2195"/>
    <w:rsid w:val="004F22D3"/>
    <w:rsid w:val="004F2365"/>
    <w:rsid w:val="004F2600"/>
    <w:rsid w:val="004F2766"/>
    <w:rsid w:val="004F2AD1"/>
    <w:rsid w:val="004F2B3D"/>
    <w:rsid w:val="004F2BB3"/>
    <w:rsid w:val="004F2C79"/>
    <w:rsid w:val="004F2F76"/>
    <w:rsid w:val="004F2FC5"/>
    <w:rsid w:val="004F30B3"/>
    <w:rsid w:val="004F38CF"/>
    <w:rsid w:val="004F3FA4"/>
    <w:rsid w:val="004F461A"/>
    <w:rsid w:val="004F4C66"/>
    <w:rsid w:val="004F4D1B"/>
    <w:rsid w:val="004F4F13"/>
    <w:rsid w:val="004F50C7"/>
    <w:rsid w:val="004F5299"/>
    <w:rsid w:val="004F5326"/>
    <w:rsid w:val="004F5433"/>
    <w:rsid w:val="004F564C"/>
    <w:rsid w:val="004F5A18"/>
    <w:rsid w:val="004F5BCB"/>
    <w:rsid w:val="004F5CBC"/>
    <w:rsid w:val="004F5D6E"/>
    <w:rsid w:val="004F6000"/>
    <w:rsid w:val="004F6620"/>
    <w:rsid w:val="004F68BF"/>
    <w:rsid w:val="004F6F6A"/>
    <w:rsid w:val="004F70A1"/>
    <w:rsid w:val="004F72F4"/>
    <w:rsid w:val="004F765B"/>
    <w:rsid w:val="004F78FB"/>
    <w:rsid w:val="004F7FB2"/>
    <w:rsid w:val="00500156"/>
    <w:rsid w:val="00500395"/>
    <w:rsid w:val="0050062F"/>
    <w:rsid w:val="005006AF"/>
    <w:rsid w:val="00500A6A"/>
    <w:rsid w:val="00500DA7"/>
    <w:rsid w:val="00500EF6"/>
    <w:rsid w:val="00500F8C"/>
    <w:rsid w:val="00501068"/>
    <w:rsid w:val="00501090"/>
    <w:rsid w:val="005010F7"/>
    <w:rsid w:val="005011D2"/>
    <w:rsid w:val="005015E0"/>
    <w:rsid w:val="00501756"/>
    <w:rsid w:val="005019F6"/>
    <w:rsid w:val="00501A31"/>
    <w:rsid w:val="00501A4F"/>
    <w:rsid w:val="00501A90"/>
    <w:rsid w:val="00501B59"/>
    <w:rsid w:val="00501C6A"/>
    <w:rsid w:val="00501CE8"/>
    <w:rsid w:val="0050222C"/>
    <w:rsid w:val="00502BD9"/>
    <w:rsid w:val="00502E7B"/>
    <w:rsid w:val="0050348F"/>
    <w:rsid w:val="00503A9A"/>
    <w:rsid w:val="00503E05"/>
    <w:rsid w:val="00503FD1"/>
    <w:rsid w:val="0050411D"/>
    <w:rsid w:val="00504203"/>
    <w:rsid w:val="005044E9"/>
    <w:rsid w:val="0050476E"/>
    <w:rsid w:val="00504A8E"/>
    <w:rsid w:val="00504D77"/>
    <w:rsid w:val="00504DD6"/>
    <w:rsid w:val="0050543A"/>
    <w:rsid w:val="00505509"/>
    <w:rsid w:val="0050550B"/>
    <w:rsid w:val="00505554"/>
    <w:rsid w:val="00505CF7"/>
    <w:rsid w:val="00505E47"/>
    <w:rsid w:val="00505F37"/>
    <w:rsid w:val="00505F3E"/>
    <w:rsid w:val="005061B7"/>
    <w:rsid w:val="00506312"/>
    <w:rsid w:val="005063AD"/>
    <w:rsid w:val="00506435"/>
    <w:rsid w:val="005067CF"/>
    <w:rsid w:val="00506B86"/>
    <w:rsid w:val="00506D96"/>
    <w:rsid w:val="00506DD3"/>
    <w:rsid w:val="00506F78"/>
    <w:rsid w:val="00506FDB"/>
    <w:rsid w:val="00507540"/>
    <w:rsid w:val="0050775A"/>
    <w:rsid w:val="00507DC0"/>
    <w:rsid w:val="00507DCB"/>
    <w:rsid w:val="0051066C"/>
    <w:rsid w:val="00510BFB"/>
    <w:rsid w:val="00510D0D"/>
    <w:rsid w:val="005115CB"/>
    <w:rsid w:val="00511620"/>
    <w:rsid w:val="00511723"/>
    <w:rsid w:val="005119AA"/>
    <w:rsid w:val="00511ACD"/>
    <w:rsid w:val="00512013"/>
    <w:rsid w:val="005120CC"/>
    <w:rsid w:val="00512106"/>
    <w:rsid w:val="0051218E"/>
    <w:rsid w:val="005125F0"/>
    <w:rsid w:val="0051267F"/>
    <w:rsid w:val="005126AB"/>
    <w:rsid w:val="005127CE"/>
    <w:rsid w:val="005129D6"/>
    <w:rsid w:val="00512AD9"/>
    <w:rsid w:val="00512C6D"/>
    <w:rsid w:val="005131DC"/>
    <w:rsid w:val="0051366C"/>
    <w:rsid w:val="00513D31"/>
    <w:rsid w:val="005140A7"/>
    <w:rsid w:val="0051418D"/>
    <w:rsid w:val="005145FC"/>
    <w:rsid w:val="0051461D"/>
    <w:rsid w:val="00514A29"/>
    <w:rsid w:val="00514B89"/>
    <w:rsid w:val="005158ED"/>
    <w:rsid w:val="00515FD6"/>
    <w:rsid w:val="005160D5"/>
    <w:rsid w:val="005163CB"/>
    <w:rsid w:val="0051659F"/>
    <w:rsid w:val="00516885"/>
    <w:rsid w:val="00516969"/>
    <w:rsid w:val="00516A3F"/>
    <w:rsid w:val="00516AB1"/>
    <w:rsid w:val="00516C04"/>
    <w:rsid w:val="00516CAB"/>
    <w:rsid w:val="00516F92"/>
    <w:rsid w:val="00516FB0"/>
    <w:rsid w:val="00517230"/>
    <w:rsid w:val="005172FE"/>
    <w:rsid w:val="0051746B"/>
    <w:rsid w:val="00517E8B"/>
    <w:rsid w:val="00517EF9"/>
    <w:rsid w:val="00517F05"/>
    <w:rsid w:val="00517F80"/>
    <w:rsid w:val="005202FB"/>
    <w:rsid w:val="00520324"/>
    <w:rsid w:val="0052037F"/>
    <w:rsid w:val="005204A5"/>
    <w:rsid w:val="005205B8"/>
    <w:rsid w:val="00520AA1"/>
    <w:rsid w:val="00520BD1"/>
    <w:rsid w:val="00520E9A"/>
    <w:rsid w:val="00520F87"/>
    <w:rsid w:val="0052149C"/>
    <w:rsid w:val="00521522"/>
    <w:rsid w:val="00521736"/>
    <w:rsid w:val="005217D1"/>
    <w:rsid w:val="0052186D"/>
    <w:rsid w:val="0052188E"/>
    <w:rsid w:val="0052199E"/>
    <w:rsid w:val="00521BD0"/>
    <w:rsid w:val="00521E33"/>
    <w:rsid w:val="00521E79"/>
    <w:rsid w:val="00522376"/>
    <w:rsid w:val="005223F2"/>
    <w:rsid w:val="0052245E"/>
    <w:rsid w:val="005224A5"/>
    <w:rsid w:val="00522C58"/>
    <w:rsid w:val="00522FF9"/>
    <w:rsid w:val="0052301C"/>
    <w:rsid w:val="00523286"/>
    <w:rsid w:val="005232CF"/>
    <w:rsid w:val="005233D6"/>
    <w:rsid w:val="0052382D"/>
    <w:rsid w:val="005239E1"/>
    <w:rsid w:val="00523F2C"/>
    <w:rsid w:val="00523FA5"/>
    <w:rsid w:val="005241FD"/>
    <w:rsid w:val="005243D1"/>
    <w:rsid w:val="00524550"/>
    <w:rsid w:val="00524895"/>
    <w:rsid w:val="00524A32"/>
    <w:rsid w:val="00524B88"/>
    <w:rsid w:val="00524D0B"/>
    <w:rsid w:val="005252DF"/>
    <w:rsid w:val="00525693"/>
    <w:rsid w:val="00525A05"/>
    <w:rsid w:val="00525A3A"/>
    <w:rsid w:val="00525FFF"/>
    <w:rsid w:val="00526047"/>
    <w:rsid w:val="00526384"/>
    <w:rsid w:val="00526681"/>
    <w:rsid w:val="0052683F"/>
    <w:rsid w:val="005268EB"/>
    <w:rsid w:val="005269BD"/>
    <w:rsid w:val="00526BCA"/>
    <w:rsid w:val="00527090"/>
    <w:rsid w:val="005272F3"/>
    <w:rsid w:val="005273FB"/>
    <w:rsid w:val="00527404"/>
    <w:rsid w:val="00527A07"/>
    <w:rsid w:val="00527D33"/>
    <w:rsid w:val="00527D57"/>
    <w:rsid w:val="00527D93"/>
    <w:rsid w:val="00530889"/>
    <w:rsid w:val="005310C0"/>
    <w:rsid w:val="0053112E"/>
    <w:rsid w:val="00531379"/>
    <w:rsid w:val="00531B1B"/>
    <w:rsid w:val="00531B60"/>
    <w:rsid w:val="00531CC9"/>
    <w:rsid w:val="00531E0C"/>
    <w:rsid w:val="0053200C"/>
    <w:rsid w:val="005322E5"/>
    <w:rsid w:val="005322F5"/>
    <w:rsid w:val="00532475"/>
    <w:rsid w:val="0053253B"/>
    <w:rsid w:val="00532DC6"/>
    <w:rsid w:val="00532F01"/>
    <w:rsid w:val="00533323"/>
    <w:rsid w:val="005334D8"/>
    <w:rsid w:val="00533776"/>
    <w:rsid w:val="00533C59"/>
    <w:rsid w:val="005340BF"/>
    <w:rsid w:val="005340C8"/>
    <w:rsid w:val="00534145"/>
    <w:rsid w:val="00534158"/>
    <w:rsid w:val="00534243"/>
    <w:rsid w:val="0053464C"/>
    <w:rsid w:val="005346FB"/>
    <w:rsid w:val="00534ACD"/>
    <w:rsid w:val="00534B72"/>
    <w:rsid w:val="00534F8A"/>
    <w:rsid w:val="005350C3"/>
    <w:rsid w:val="00535AEF"/>
    <w:rsid w:val="00535D26"/>
    <w:rsid w:val="00535D36"/>
    <w:rsid w:val="00535D8B"/>
    <w:rsid w:val="00535ED2"/>
    <w:rsid w:val="00535FD4"/>
    <w:rsid w:val="00536478"/>
    <w:rsid w:val="00536B3A"/>
    <w:rsid w:val="00536CCF"/>
    <w:rsid w:val="005373B5"/>
    <w:rsid w:val="005377B8"/>
    <w:rsid w:val="00537AA3"/>
    <w:rsid w:val="00537B45"/>
    <w:rsid w:val="00537C3E"/>
    <w:rsid w:val="00537C5E"/>
    <w:rsid w:val="00537EA8"/>
    <w:rsid w:val="00537F95"/>
    <w:rsid w:val="00540198"/>
    <w:rsid w:val="0054029C"/>
    <w:rsid w:val="005402F3"/>
    <w:rsid w:val="00540402"/>
    <w:rsid w:val="00540742"/>
    <w:rsid w:val="00540893"/>
    <w:rsid w:val="00541382"/>
    <w:rsid w:val="00541837"/>
    <w:rsid w:val="00541901"/>
    <w:rsid w:val="00541990"/>
    <w:rsid w:val="0054199E"/>
    <w:rsid w:val="00541B24"/>
    <w:rsid w:val="00542318"/>
    <w:rsid w:val="005426FB"/>
    <w:rsid w:val="005427B0"/>
    <w:rsid w:val="00542824"/>
    <w:rsid w:val="0054285B"/>
    <w:rsid w:val="005428AB"/>
    <w:rsid w:val="00542BDD"/>
    <w:rsid w:val="00542E79"/>
    <w:rsid w:val="005430CF"/>
    <w:rsid w:val="005432A2"/>
    <w:rsid w:val="005432EF"/>
    <w:rsid w:val="0054330A"/>
    <w:rsid w:val="00543352"/>
    <w:rsid w:val="00543538"/>
    <w:rsid w:val="00543561"/>
    <w:rsid w:val="005435E2"/>
    <w:rsid w:val="00543B94"/>
    <w:rsid w:val="00543CCB"/>
    <w:rsid w:val="00544048"/>
    <w:rsid w:val="0054406D"/>
    <w:rsid w:val="005440F0"/>
    <w:rsid w:val="00544409"/>
    <w:rsid w:val="005461FF"/>
    <w:rsid w:val="00546289"/>
    <w:rsid w:val="00546945"/>
    <w:rsid w:val="00546C54"/>
    <w:rsid w:val="0054741B"/>
    <w:rsid w:val="00547750"/>
    <w:rsid w:val="00547875"/>
    <w:rsid w:val="00547ADB"/>
    <w:rsid w:val="00547AF6"/>
    <w:rsid w:val="00547B8C"/>
    <w:rsid w:val="00547C4D"/>
    <w:rsid w:val="00547E2B"/>
    <w:rsid w:val="00550323"/>
    <w:rsid w:val="00550457"/>
    <w:rsid w:val="00550967"/>
    <w:rsid w:val="0055098F"/>
    <w:rsid w:val="00550A77"/>
    <w:rsid w:val="00550A8A"/>
    <w:rsid w:val="00550AFB"/>
    <w:rsid w:val="00550B93"/>
    <w:rsid w:val="00551011"/>
    <w:rsid w:val="00551553"/>
    <w:rsid w:val="0055162A"/>
    <w:rsid w:val="00551969"/>
    <w:rsid w:val="00551B2B"/>
    <w:rsid w:val="00551B8D"/>
    <w:rsid w:val="00551F91"/>
    <w:rsid w:val="005521EE"/>
    <w:rsid w:val="005525B9"/>
    <w:rsid w:val="005526D2"/>
    <w:rsid w:val="00552748"/>
    <w:rsid w:val="00552950"/>
    <w:rsid w:val="00552AFA"/>
    <w:rsid w:val="00552BB5"/>
    <w:rsid w:val="00552D66"/>
    <w:rsid w:val="00552EC7"/>
    <w:rsid w:val="005531E8"/>
    <w:rsid w:val="0055339D"/>
    <w:rsid w:val="00553A43"/>
    <w:rsid w:val="00553C58"/>
    <w:rsid w:val="00553D45"/>
    <w:rsid w:val="005540F1"/>
    <w:rsid w:val="00554252"/>
    <w:rsid w:val="005546B3"/>
    <w:rsid w:val="0055482C"/>
    <w:rsid w:val="005549A4"/>
    <w:rsid w:val="00554B9C"/>
    <w:rsid w:val="00554BBE"/>
    <w:rsid w:val="00555B21"/>
    <w:rsid w:val="00555E07"/>
    <w:rsid w:val="00555F47"/>
    <w:rsid w:val="005563D1"/>
    <w:rsid w:val="005564D2"/>
    <w:rsid w:val="005569F7"/>
    <w:rsid w:val="00556C20"/>
    <w:rsid w:val="00557177"/>
    <w:rsid w:val="0055786C"/>
    <w:rsid w:val="0055791A"/>
    <w:rsid w:val="00557C48"/>
    <w:rsid w:val="00557C54"/>
    <w:rsid w:val="00557DA0"/>
    <w:rsid w:val="005601AB"/>
    <w:rsid w:val="005602B7"/>
    <w:rsid w:val="00560BBA"/>
    <w:rsid w:val="00560D54"/>
    <w:rsid w:val="00560D5D"/>
    <w:rsid w:val="00560E9E"/>
    <w:rsid w:val="005612BD"/>
    <w:rsid w:val="00561345"/>
    <w:rsid w:val="00561435"/>
    <w:rsid w:val="00561692"/>
    <w:rsid w:val="00561A8E"/>
    <w:rsid w:val="00562ACB"/>
    <w:rsid w:val="00562C17"/>
    <w:rsid w:val="00562CEC"/>
    <w:rsid w:val="00562E67"/>
    <w:rsid w:val="005632CB"/>
    <w:rsid w:val="005639E3"/>
    <w:rsid w:val="00563A91"/>
    <w:rsid w:val="00563BE5"/>
    <w:rsid w:val="00563CA4"/>
    <w:rsid w:val="00563CEE"/>
    <w:rsid w:val="00563F76"/>
    <w:rsid w:val="0056402E"/>
    <w:rsid w:val="0056412E"/>
    <w:rsid w:val="005641E3"/>
    <w:rsid w:val="00564BB3"/>
    <w:rsid w:val="00565036"/>
    <w:rsid w:val="00565287"/>
    <w:rsid w:val="00565CB1"/>
    <w:rsid w:val="00565CF4"/>
    <w:rsid w:val="00565E1D"/>
    <w:rsid w:val="00565E4E"/>
    <w:rsid w:val="00566191"/>
    <w:rsid w:val="005662BD"/>
    <w:rsid w:val="005662CA"/>
    <w:rsid w:val="00566613"/>
    <w:rsid w:val="00566616"/>
    <w:rsid w:val="00566DCB"/>
    <w:rsid w:val="00566F36"/>
    <w:rsid w:val="0056728E"/>
    <w:rsid w:val="00567412"/>
    <w:rsid w:val="00567855"/>
    <w:rsid w:val="00567D22"/>
    <w:rsid w:val="00567DB1"/>
    <w:rsid w:val="0056DEDB"/>
    <w:rsid w:val="005701C2"/>
    <w:rsid w:val="005701EC"/>
    <w:rsid w:val="00570266"/>
    <w:rsid w:val="005707E8"/>
    <w:rsid w:val="00570812"/>
    <w:rsid w:val="00570864"/>
    <w:rsid w:val="00570A35"/>
    <w:rsid w:val="00570AEA"/>
    <w:rsid w:val="00570BF4"/>
    <w:rsid w:val="00570E58"/>
    <w:rsid w:val="00570E96"/>
    <w:rsid w:val="00571BCB"/>
    <w:rsid w:val="00571D58"/>
    <w:rsid w:val="00571D66"/>
    <w:rsid w:val="00571D9B"/>
    <w:rsid w:val="00571F35"/>
    <w:rsid w:val="00572022"/>
    <w:rsid w:val="0057206D"/>
    <w:rsid w:val="005721B0"/>
    <w:rsid w:val="005721BA"/>
    <w:rsid w:val="00572658"/>
    <w:rsid w:val="00572828"/>
    <w:rsid w:val="005729B0"/>
    <w:rsid w:val="00572A77"/>
    <w:rsid w:val="00573014"/>
    <w:rsid w:val="0057327C"/>
    <w:rsid w:val="00573546"/>
    <w:rsid w:val="00573950"/>
    <w:rsid w:val="00573C93"/>
    <w:rsid w:val="00573D2D"/>
    <w:rsid w:val="005740C9"/>
    <w:rsid w:val="00574314"/>
    <w:rsid w:val="00574527"/>
    <w:rsid w:val="00574622"/>
    <w:rsid w:val="005747F0"/>
    <w:rsid w:val="005749FB"/>
    <w:rsid w:val="00574BCA"/>
    <w:rsid w:val="00574C9F"/>
    <w:rsid w:val="00574D7A"/>
    <w:rsid w:val="005753D7"/>
    <w:rsid w:val="005753FA"/>
    <w:rsid w:val="00575739"/>
    <w:rsid w:val="005757A8"/>
    <w:rsid w:val="005757DA"/>
    <w:rsid w:val="005758DA"/>
    <w:rsid w:val="00575E89"/>
    <w:rsid w:val="00575F12"/>
    <w:rsid w:val="0057620C"/>
    <w:rsid w:val="00576214"/>
    <w:rsid w:val="00576299"/>
    <w:rsid w:val="00576318"/>
    <w:rsid w:val="0057655F"/>
    <w:rsid w:val="0057664A"/>
    <w:rsid w:val="005766FE"/>
    <w:rsid w:val="00576B02"/>
    <w:rsid w:val="00576DF3"/>
    <w:rsid w:val="00576F5F"/>
    <w:rsid w:val="00577023"/>
    <w:rsid w:val="0057704E"/>
    <w:rsid w:val="005771A6"/>
    <w:rsid w:val="00577D20"/>
    <w:rsid w:val="00577FAB"/>
    <w:rsid w:val="0058023E"/>
    <w:rsid w:val="00580391"/>
    <w:rsid w:val="0058040C"/>
    <w:rsid w:val="005805F4"/>
    <w:rsid w:val="00580808"/>
    <w:rsid w:val="00580B23"/>
    <w:rsid w:val="00580EE0"/>
    <w:rsid w:val="00580FE7"/>
    <w:rsid w:val="00581238"/>
    <w:rsid w:val="00581592"/>
    <w:rsid w:val="00581609"/>
    <w:rsid w:val="005817F8"/>
    <w:rsid w:val="00581B94"/>
    <w:rsid w:val="00581EC1"/>
    <w:rsid w:val="00581EDF"/>
    <w:rsid w:val="0058233B"/>
    <w:rsid w:val="00582600"/>
    <w:rsid w:val="00582C81"/>
    <w:rsid w:val="00582D1E"/>
    <w:rsid w:val="00582D76"/>
    <w:rsid w:val="005831A5"/>
    <w:rsid w:val="005831C3"/>
    <w:rsid w:val="00583215"/>
    <w:rsid w:val="005837C7"/>
    <w:rsid w:val="00583B74"/>
    <w:rsid w:val="00583C9B"/>
    <w:rsid w:val="0058430A"/>
    <w:rsid w:val="005846D5"/>
    <w:rsid w:val="00584745"/>
    <w:rsid w:val="005848BC"/>
    <w:rsid w:val="00584ADD"/>
    <w:rsid w:val="00584B14"/>
    <w:rsid w:val="00584D06"/>
    <w:rsid w:val="00584ECD"/>
    <w:rsid w:val="005850D3"/>
    <w:rsid w:val="005851B9"/>
    <w:rsid w:val="00585274"/>
    <w:rsid w:val="0058551C"/>
    <w:rsid w:val="005855B4"/>
    <w:rsid w:val="00585699"/>
    <w:rsid w:val="00585903"/>
    <w:rsid w:val="005859E6"/>
    <w:rsid w:val="00585D32"/>
    <w:rsid w:val="00585F2B"/>
    <w:rsid w:val="00586029"/>
    <w:rsid w:val="005862CB"/>
    <w:rsid w:val="00586396"/>
    <w:rsid w:val="005863CC"/>
    <w:rsid w:val="005864BE"/>
    <w:rsid w:val="00586AB5"/>
    <w:rsid w:val="00586C71"/>
    <w:rsid w:val="00586C97"/>
    <w:rsid w:val="00586D3B"/>
    <w:rsid w:val="00587083"/>
    <w:rsid w:val="00587368"/>
    <w:rsid w:val="00587809"/>
    <w:rsid w:val="005878D6"/>
    <w:rsid w:val="005879B2"/>
    <w:rsid w:val="00587A53"/>
    <w:rsid w:val="00587E8F"/>
    <w:rsid w:val="00587ED4"/>
    <w:rsid w:val="005900DD"/>
    <w:rsid w:val="005903B9"/>
    <w:rsid w:val="00590587"/>
    <w:rsid w:val="005906E7"/>
    <w:rsid w:val="005907FF"/>
    <w:rsid w:val="00590844"/>
    <w:rsid w:val="005909EE"/>
    <w:rsid w:val="00590C23"/>
    <w:rsid w:val="00591274"/>
    <w:rsid w:val="0059138B"/>
    <w:rsid w:val="00591555"/>
    <w:rsid w:val="005919D6"/>
    <w:rsid w:val="00591A87"/>
    <w:rsid w:val="00591A99"/>
    <w:rsid w:val="00591B1E"/>
    <w:rsid w:val="00591C9B"/>
    <w:rsid w:val="00591CA8"/>
    <w:rsid w:val="00591EB8"/>
    <w:rsid w:val="00591F6F"/>
    <w:rsid w:val="005923FA"/>
    <w:rsid w:val="0059273F"/>
    <w:rsid w:val="005929A4"/>
    <w:rsid w:val="00592B14"/>
    <w:rsid w:val="005930B1"/>
    <w:rsid w:val="00593131"/>
    <w:rsid w:val="0059342B"/>
    <w:rsid w:val="005934F2"/>
    <w:rsid w:val="00593BF9"/>
    <w:rsid w:val="00593C43"/>
    <w:rsid w:val="00593C56"/>
    <w:rsid w:val="00593C6B"/>
    <w:rsid w:val="00593DC1"/>
    <w:rsid w:val="00594689"/>
    <w:rsid w:val="005948E6"/>
    <w:rsid w:val="0059520E"/>
    <w:rsid w:val="00595478"/>
    <w:rsid w:val="00595819"/>
    <w:rsid w:val="0059594E"/>
    <w:rsid w:val="00595BEB"/>
    <w:rsid w:val="00595CE3"/>
    <w:rsid w:val="00595D4D"/>
    <w:rsid w:val="00595EB1"/>
    <w:rsid w:val="0059605C"/>
    <w:rsid w:val="005960B4"/>
    <w:rsid w:val="005965B6"/>
    <w:rsid w:val="00596736"/>
    <w:rsid w:val="0059675E"/>
    <w:rsid w:val="00596849"/>
    <w:rsid w:val="00596F17"/>
    <w:rsid w:val="0059714B"/>
    <w:rsid w:val="005971D0"/>
    <w:rsid w:val="00597289"/>
    <w:rsid w:val="00597409"/>
    <w:rsid w:val="0059749F"/>
    <w:rsid w:val="00597964"/>
    <w:rsid w:val="00597ABA"/>
    <w:rsid w:val="00597E67"/>
    <w:rsid w:val="00597F7A"/>
    <w:rsid w:val="005A014D"/>
    <w:rsid w:val="005A04C4"/>
    <w:rsid w:val="005A0730"/>
    <w:rsid w:val="005A0A3F"/>
    <w:rsid w:val="005A0A83"/>
    <w:rsid w:val="005A0B13"/>
    <w:rsid w:val="005A0BC5"/>
    <w:rsid w:val="005A0C1B"/>
    <w:rsid w:val="005A0C9D"/>
    <w:rsid w:val="005A0EDE"/>
    <w:rsid w:val="005A108D"/>
    <w:rsid w:val="005A1104"/>
    <w:rsid w:val="005A1120"/>
    <w:rsid w:val="005A11E3"/>
    <w:rsid w:val="005A14D2"/>
    <w:rsid w:val="005A15C4"/>
    <w:rsid w:val="005A1605"/>
    <w:rsid w:val="005A178D"/>
    <w:rsid w:val="005A1975"/>
    <w:rsid w:val="005A19F1"/>
    <w:rsid w:val="005A1BC1"/>
    <w:rsid w:val="005A1C2C"/>
    <w:rsid w:val="005A1D21"/>
    <w:rsid w:val="005A1D3A"/>
    <w:rsid w:val="005A1F0A"/>
    <w:rsid w:val="005A205F"/>
    <w:rsid w:val="005A211C"/>
    <w:rsid w:val="005A2321"/>
    <w:rsid w:val="005A23F4"/>
    <w:rsid w:val="005A24AB"/>
    <w:rsid w:val="005A25A9"/>
    <w:rsid w:val="005A299D"/>
    <w:rsid w:val="005A366D"/>
    <w:rsid w:val="005A3FF0"/>
    <w:rsid w:val="005A4139"/>
    <w:rsid w:val="005A4728"/>
    <w:rsid w:val="005A4878"/>
    <w:rsid w:val="005A4D88"/>
    <w:rsid w:val="005A4E52"/>
    <w:rsid w:val="005A5202"/>
    <w:rsid w:val="005A58FA"/>
    <w:rsid w:val="005A5C23"/>
    <w:rsid w:val="005A629F"/>
    <w:rsid w:val="005A6309"/>
    <w:rsid w:val="005A6458"/>
    <w:rsid w:val="005A65FB"/>
    <w:rsid w:val="005A6781"/>
    <w:rsid w:val="005A6BF9"/>
    <w:rsid w:val="005A6E0B"/>
    <w:rsid w:val="005A6E5B"/>
    <w:rsid w:val="005A6FE8"/>
    <w:rsid w:val="005A7CA9"/>
    <w:rsid w:val="005A7ECA"/>
    <w:rsid w:val="005B0250"/>
    <w:rsid w:val="005B025A"/>
    <w:rsid w:val="005B05E2"/>
    <w:rsid w:val="005B0716"/>
    <w:rsid w:val="005B0729"/>
    <w:rsid w:val="005B08AC"/>
    <w:rsid w:val="005B08BF"/>
    <w:rsid w:val="005B0A0B"/>
    <w:rsid w:val="005B0A1A"/>
    <w:rsid w:val="005B15FC"/>
    <w:rsid w:val="005B1B03"/>
    <w:rsid w:val="005B2095"/>
    <w:rsid w:val="005B25AE"/>
    <w:rsid w:val="005B27E5"/>
    <w:rsid w:val="005B2AAE"/>
    <w:rsid w:val="005B30C9"/>
    <w:rsid w:val="005B3102"/>
    <w:rsid w:val="005B314D"/>
    <w:rsid w:val="005B3287"/>
    <w:rsid w:val="005B33AA"/>
    <w:rsid w:val="005B34EF"/>
    <w:rsid w:val="005B3970"/>
    <w:rsid w:val="005B39C1"/>
    <w:rsid w:val="005B3E78"/>
    <w:rsid w:val="005B3FF3"/>
    <w:rsid w:val="005B4201"/>
    <w:rsid w:val="005B4477"/>
    <w:rsid w:val="005B4565"/>
    <w:rsid w:val="005B4647"/>
    <w:rsid w:val="005B4933"/>
    <w:rsid w:val="005B52C4"/>
    <w:rsid w:val="005B5644"/>
    <w:rsid w:val="005B577F"/>
    <w:rsid w:val="005B5977"/>
    <w:rsid w:val="005B5CAD"/>
    <w:rsid w:val="005B5D1C"/>
    <w:rsid w:val="005B5D84"/>
    <w:rsid w:val="005B5F84"/>
    <w:rsid w:val="005B6433"/>
    <w:rsid w:val="005B67D4"/>
    <w:rsid w:val="005B6D2C"/>
    <w:rsid w:val="005B6F9D"/>
    <w:rsid w:val="005B6FE1"/>
    <w:rsid w:val="005B77A8"/>
    <w:rsid w:val="005B7C01"/>
    <w:rsid w:val="005B7D17"/>
    <w:rsid w:val="005B7EC2"/>
    <w:rsid w:val="005C0030"/>
    <w:rsid w:val="005C00BD"/>
    <w:rsid w:val="005C0166"/>
    <w:rsid w:val="005C0216"/>
    <w:rsid w:val="005C058E"/>
    <w:rsid w:val="005C067F"/>
    <w:rsid w:val="005C0790"/>
    <w:rsid w:val="005C0CF4"/>
    <w:rsid w:val="005C0ED2"/>
    <w:rsid w:val="005C0F25"/>
    <w:rsid w:val="005C156F"/>
    <w:rsid w:val="005C17D3"/>
    <w:rsid w:val="005C1DCA"/>
    <w:rsid w:val="005C1E29"/>
    <w:rsid w:val="005C1F88"/>
    <w:rsid w:val="005C211C"/>
    <w:rsid w:val="005C2627"/>
    <w:rsid w:val="005C26F7"/>
    <w:rsid w:val="005C27C8"/>
    <w:rsid w:val="005C290D"/>
    <w:rsid w:val="005C2D7B"/>
    <w:rsid w:val="005C2F7A"/>
    <w:rsid w:val="005C2F84"/>
    <w:rsid w:val="005C32AD"/>
    <w:rsid w:val="005C3690"/>
    <w:rsid w:val="005C36CC"/>
    <w:rsid w:val="005C3B3C"/>
    <w:rsid w:val="005C3BF0"/>
    <w:rsid w:val="005C3E3B"/>
    <w:rsid w:val="005C3E40"/>
    <w:rsid w:val="005C4062"/>
    <w:rsid w:val="005C42FE"/>
    <w:rsid w:val="005C4448"/>
    <w:rsid w:val="005C4956"/>
    <w:rsid w:val="005C4BF2"/>
    <w:rsid w:val="005C4CC5"/>
    <w:rsid w:val="005C4E27"/>
    <w:rsid w:val="005C50AB"/>
    <w:rsid w:val="005C5153"/>
    <w:rsid w:val="005C520E"/>
    <w:rsid w:val="005C5315"/>
    <w:rsid w:val="005C5327"/>
    <w:rsid w:val="005C5357"/>
    <w:rsid w:val="005C5444"/>
    <w:rsid w:val="005C545A"/>
    <w:rsid w:val="005C5506"/>
    <w:rsid w:val="005C5B48"/>
    <w:rsid w:val="005C5B93"/>
    <w:rsid w:val="005C5C3F"/>
    <w:rsid w:val="005C5F7A"/>
    <w:rsid w:val="005C61C5"/>
    <w:rsid w:val="005C6423"/>
    <w:rsid w:val="005C65B4"/>
    <w:rsid w:val="005C6629"/>
    <w:rsid w:val="005C67FF"/>
    <w:rsid w:val="005C6E89"/>
    <w:rsid w:val="005C6F31"/>
    <w:rsid w:val="005C6FFE"/>
    <w:rsid w:val="005C70D9"/>
    <w:rsid w:val="005C71CC"/>
    <w:rsid w:val="005C758E"/>
    <w:rsid w:val="005C75EB"/>
    <w:rsid w:val="005C79B9"/>
    <w:rsid w:val="005C79EB"/>
    <w:rsid w:val="005C7A39"/>
    <w:rsid w:val="005C7A5E"/>
    <w:rsid w:val="005D0A06"/>
    <w:rsid w:val="005D0B6C"/>
    <w:rsid w:val="005D0B90"/>
    <w:rsid w:val="005D0C8B"/>
    <w:rsid w:val="005D0D76"/>
    <w:rsid w:val="005D0DDB"/>
    <w:rsid w:val="005D10E9"/>
    <w:rsid w:val="005D1156"/>
    <w:rsid w:val="005D1343"/>
    <w:rsid w:val="005D1705"/>
    <w:rsid w:val="005D1718"/>
    <w:rsid w:val="005D176A"/>
    <w:rsid w:val="005D1935"/>
    <w:rsid w:val="005D1A22"/>
    <w:rsid w:val="005D1AEE"/>
    <w:rsid w:val="005D2097"/>
    <w:rsid w:val="005D2212"/>
    <w:rsid w:val="005D22D8"/>
    <w:rsid w:val="005D2302"/>
    <w:rsid w:val="005D23CC"/>
    <w:rsid w:val="005D2613"/>
    <w:rsid w:val="005D2616"/>
    <w:rsid w:val="005D261A"/>
    <w:rsid w:val="005D27ED"/>
    <w:rsid w:val="005D2CB5"/>
    <w:rsid w:val="005D2DB5"/>
    <w:rsid w:val="005D2EC2"/>
    <w:rsid w:val="005D31C9"/>
    <w:rsid w:val="005D3481"/>
    <w:rsid w:val="005D35EB"/>
    <w:rsid w:val="005D36AA"/>
    <w:rsid w:val="005D385B"/>
    <w:rsid w:val="005D3A66"/>
    <w:rsid w:val="005D43E4"/>
    <w:rsid w:val="005D456F"/>
    <w:rsid w:val="005D47C0"/>
    <w:rsid w:val="005D4EC2"/>
    <w:rsid w:val="005D4EF2"/>
    <w:rsid w:val="005D510C"/>
    <w:rsid w:val="005D51C3"/>
    <w:rsid w:val="005D5399"/>
    <w:rsid w:val="005D53C5"/>
    <w:rsid w:val="005D5699"/>
    <w:rsid w:val="005D5C13"/>
    <w:rsid w:val="005D6048"/>
    <w:rsid w:val="005D62CD"/>
    <w:rsid w:val="005D68CC"/>
    <w:rsid w:val="005D6915"/>
    <w:rsid w:val="005D6DA9"/>
    <w:rsid w:val="005D6E57"/>
    <w:rsid w:val="005D6FAB"/>
    <w:rsid w:val="005D7416"/>
    <w:rsid w:val="005D753D"/>
    <w:rsid w:val="005D79D5"/>
    <w:rsid w:val="005E01FD"/>
    <w:rsid w:val="005E0567"/>
    <w:rsid w:val="005E05CA"/>
    <w:rsid w:val="005E0628"/>
    <w:rsid w:val="005E0721"/>
    <w:rsid w:val="005E0727"/>
    <w:rsid w:val="005E0B19"/>
    <w:rsid w:val="005E0BC4"/>
    <w:rsid w:val="005E0C79"/>
    <w:rsid w:val="005E1082"/>
    <w:rsid w:val="005E11C1"/>
    <w:rsid w:val="005E150F"/>
    <w:rsid w:val="005E1723"/>
    <w:rsid w:val="005E175E"/>
    <w:rsid w:val="005E1AB0"/>
    <w:rsid w:val="005E1E12"/>
    <w:rsid w:val="005E1F89"/>
    <w:rsid w:val="005E2079"/>
    <w:rsid w:val="005E2408"/>
    <w:rsid w:val="005E2459"/>
    <w:rsid w:val="005E2674"/>
    <w:rsid w:val="005E26DC"/>
    <w:rsid w:val="005E2FA2"/>
    <w:rsid w:val="005E2FFA"/>
    <w:rsid w:val="005E352D"/>
    <w:rsid w:val="005E3633"/>
    <w:rsid w:val="005E379A"/>
    <w:rsid w:val="005E37AB"/>
    <w:rsid w:val="005E37EF"/>
    <w:rsid w:val="005E3D42"/>
    <w:rsid w:val="005E3D6B"/>
    <w:rsid w:val="005E4038"/>
    <w:rsid w:val="005E460B"/>
    <w:rsid w:val="005E48C9"/>
    <w:rsid w:val="005E4A2A"/>
    <w:rsid w:val="005E4C99"/>
    <w:rsid w:val="005E4DD1"/>
    <w:rsid w:val="005E4EBB"/>
    <w:rsid w:val="005E4FB2"/>
    <w:rsid w:val="005E50B9"/>
    <w:rsid w:val="005E5413"/>
    <w:rsid w:val="005E5A73"/>
    <w:rsid w:val="005E5ACE"/>
    <w:rsid w:val="005E5BC9"/>
    <w:rsid w:val="005E5C90"/>
    <w:rsid w:val="005E5D57"/>
    <w:rsid w:val="005E5E03"/>
    <w:rsid w:val="005E5F9C"/>
    <w:rsid w:val="005E61D1"/>
    <w:rsid w:val="005E6933"/>
    <w:rsid w:val="005E698D"/>
    <w:rsid w:val="005E6D50"/>
    <w:rsid w:val="005E6F7C"/>
    <w:rsid w:val="005E7018"/>
    <w:rsid w:val="005E7063"/>
    <w:rsid w:val="005E769E"/>
    <w:rsid w:val="005E7AE0"/>
    <w:rsid w:val="005E7D9B"/>
    <w:rsid w:val="005E7E1A"/>
    <w:rsid w:val="005F07F6"/>
    <w:rsid w:val="005F0884"/>
    <w:rsid w:val="005F10BE"/>
    <w:rsid w:val="005F157B"/>
    <w:rsid w:val="005F1706"/>
    <w:rsid w:val="005F1F93"/>
    <w:rsid w:val="005F21C4"/>
    <w:rsid w:val="005F2223"/>
    <w:rsid w:val="005F22D8"/>
    <w:rsid w:val="005F274E"/>
    <w:rsid w:val="005F2848"/>
    <w:rsid w:val="005F289C"/>
    <w:rsid w:val="005F2A22"/>
    <w:rsid w:val="005F2B0F"/>
    <w:rsid w:val="005F2B5E"/>
    <w:rsid w:val="005F2BFF"/>
    <w:rsid w:val="005F3021"/>
    <w:rsid w:val="005F34D2"/>
    <w:rsid w:val="005F350C"/>
    <w:rsid w:val="005F379A"/>
    <w:rsid w:val="005F3A42"/>
    <w:rsid w:val="005F3AF8"/>
    <w:rsid w:val="005F3B0A"/>
    <w:rsid w:val="005F3B12"/>
    <w:rsid w:val="005F3D83"/>
    <w:rsid w:val="005F3EB8"/>
    <w:rsid w:val="005F417E"/>
    <w:rsid w:val="005F424E"/>
    <w:rsid w:val="005F4CBA"/>
    <w:rsid w:val="005F4F93"/>
    <w:rsid w:val="005F51ED"/>
    <w:rsid w:val="005F5326"/>
    <w:rsid w:val="005F56FC"/>
    <w:rsid w:val="005F57B3"/>
    <w:rsid w:val="005F597C"/>
    <w:rsid w:val="005F5B23"/>
    <w:rsid w:val="005F6108"/>
    <w:rsid w:val="005F6130"/>
    <w:rsid w:val="005F626D"/>
    <w:rsid w:val="005F64B1"/>
    <w:rsid w:val="005F6ABB"/>
    <w:rsid w:val="005F6AC3"/>
    <w:rsid w:val="005F6CD1"/>
    <w:rsid w:val="005F6D67"/>
    <w:rsid w:val="005F732A"/>
    <w:rsid w:val="005F7338"/>
    <w:rsid w:val="005F7800"/>
    <w:rsid w:val="005F7DDC"/>
    <w:rsid w:val="0060002B"/>
    <w:rsid w:val="00600287"/>
    <w:rsid w:val="006002FA"/>
    <w:rsid w:val="0060035E"/>
    <w:rsid w:val="0060039B"/>
    <w:rsid w:val="00600F57"/>
    <w:rsid w:val="00600F88"/>
    <w:rsid w:val="00600FB6"/>
    <w:rsid w:val="0060122D"/>
    <w:rsid w:val="00601252"/>
    <w:rsid w:val="00601366"/>
    <w:rsid w:val="00601419"/>
    <w:rsid w:val="00601592"/>
    <w:rsid w:val="00601713"/>
    <w:rsid w:val="006017AE"/>
    <w:rsid w:val="006017B0"/>
    <w:rsid w:val="00601E8A"/>
    <w:rsid w:val="00601F18"/>
    <w:rsid w:val="00601F69"/>
    <w:rsid w:val="00601F8E"/>
    <w:rsid w:val="00602095"/>
    <w:rsid w:val="006022FB"/>
    <w:rsid w:val="0060283E"/>
    <w:rsid w:val="00602A00"/>
    <w:rsid w:val="00602B2B"/>
    <w:rsid w:val="00602E31"/>
    <w:rsid w:val="00602E5D"/>
    <w:rsid w:val="00602EEE"/>
    <w:rsid w:val="006030D9"/>
    <w:rsid w:val="0060327E"/>
    <w:rsid w:val="00603288"/>
    <w:rsid w:val="00603361"/>
    <w:rsid w:val="0060359F"/>
    <w:rsid w:val="00603A2D"/>
    <w:rsid w:val="00603A6D"/>
    <w:rsid w:val="00603EAA"/>
    <w:rsid w:val="0060400D"/>
    <w:rsid w:val="0060401E"/>
    <w:rsid w:val="006040E7"/>
    <w:rsid w:val="006043FD"/>
    <w:rsid w:val="00604595"/>
    <w:rsid w:val="006045E9"/>
    <w:rsid w:val="006049FA"/>
    <w:rsid w:val="00604BE1"/>
    <w:rsid w:val="00604EED"/>
    <w:rsid w:val="00604F63"/>
    <w:rsid w:val="00604F71"/>
    <w:rsid w:val="00604FBF"/>
    <w:rsid w:val="006054D7"/>
    <w:rsid w:val="00605506"/>
    <w:rsid w:val="00605A4B"/>
    <w:rsid w:val="0060610A"/>
    <w:rsid w:val="00606213"/>
    <w:rsid w:val="006064D9"/>
    <w:rsid w:val="006066FB"/>
    <w:rsid w:val="006067B6"/>
    <w:rsid w:val="006070CD"/>
    <w:rsid w:val="006071E2"/>
    <w:rsid w:val="00607351"/>
    <w:rsid w:val="0060758A"/>
    <w:rsid w:val="00607618"/>
    <w:rsid w:val="006076C2"/>
    <w:rsid w:val="006077E5"/>
    <w:rsid w:val="006077F2"/>
    <w:rsid w:val="00607E03"/>
    <w:rsid w:val="00610088"/>
    <w:rsid w:val="00610380"/>
    <w:rsid w:val="006109CB"/>
    <w:rsid w:val="00610A26"/>
    <w:rsid w:val="00610C95"/>
    <w:rsid w:val="00610D2B"/>
    <w:rsid w:val="00610E33"/>
    <w:rsid w:val="00611265"/>
    <w:rsid w:val="006116AB"/>
    <w:rsid w:val="00611D30"/>
    <w:rsid w:val="00611D3A"/>
    <w:rsid w:val="00612086"/>
    <w:rsid w:val="00612304"/>
    <w:rsid w:val="0061230E"/>
    <w:rsid w:val="00612595"/>
    <w:rsid w:val="00612ABA"/>
    <w:rsid w:val="00612E80"/>
    <w:rsid w:val="00612E9B"/>
    <w:rsid w:val="00612EA5"/>
    <w:rsid w:val="006131C6"/>
    <w:rsid w:val="00613944"/>
    <w:rsid w:val="00613AEE"/>
    <w:rsid w:val="00613CEF"/>
    <w:rsid w:val="00613E54"/>
    <w:rsid w:val="00613F17"/>
    <w:rsid w:val="00613FD4"/>
    <w:rsid w:val="006140A7"/>
    <w:rsid w:val="006141BF"/>
    <w:rsid w:val="0061443E"/>
    <w:rsid w:val="006147E9"/>
    <w:rsid w:val="0061495A"/>
    <w:rsid w:val="00614E48"/>
    <w:rsid w:val="00614F20"/>
    <w:rsid w:val="00614F6F"/>
    <w:rsid w:val="00615195"/>
    <w:rsid w:val="006152B6"/>
    <w:rsid w:val="00615599"/>
    <w:rsid w:val="0061559C"/>
    <w:rsid w:val="006156FB"/>
    <w:rsid w:val="006158B2"/>
    <w:rsid w:val="00615A03"/>
    <w:rsid w:val="00615A08"/>
    <w:rsid w:val="00615C0B"/>
    <w:rsid w:val="00615F16"/>
    <w:rsid w:val="00616101"/>
    <w:rsid w:val="00616147"/>
    <w:rsid w:val="00616DF2"/>
    <w:rsid w:val="00616ED9"/>
    <w:rsid w:val="00617052"/>
    <w:rsid w:val="00620062"/>
    <w:rsid w:val="0062057E"/>
    <w:rsid w:val="00620677"/>
    <w:rsid w:val="0062089F"/>
    <w:rsid w:val="00620B61"/>
    <w:rsid w:val="00620E82"/>
    <w:rsid w:val="00620EE9"/>
    <w:rsid w:val="006210E8"/>
    <w:rsid w:val="0062130E"/>
    <w:rsid w:val="006213C5"/>
    <w:rsid w:val="006214CF"/>
    <w:rsid w:val="00621CC1"/>
    <w:rsid w:val="0062208C"/>
    <w:rsid w:val="006221E8"/>
    <w:rsid w:val="006222C6"/>
    <w:rsid w:val="006225B0"/>
    <w:rsid w:val="006235E9"/>
    <w:rsid w:val="0062361D"/>
    <w:rsid w:val="00623AD3"/>
    <w:rsid w:val="00623AD8"/>
    <w:rsid w:val="00623E0E"/>
    <w:rsid w:val="00624033"/>
    <w:rsid w:val="00624399"/>
    <w:rsid w:val="0062450E"/>
    <w:rsid w:val="006248B9"/>
    <w:rsid w:val="00624A01"/>
    <w:rsid w:val="00624BD4"/>
    <w:rsid w:val="00624BFD"/>
    <w:rsid w:val="00624C98"/>
    <w:rsid w:val="00624DCC"/>
    <w:rsid w:val="00624EC6"/>
    <w:rsid w:val="0062526E"/>
    <w:rsid w:val="00625589"/>
    <w:rsid w:val="006255DD"/>
    <w:rsid w:val="00625615"/>
    <w:rsid w:val="0062569D"/>
    <w:rsid w:val="00625E81"/>
    <w:rsid w:val="0062602B"/>
    <w:rsid w:val="00626228"/>
    <w:rsid w:val="00626296"/>
    <w:rsid w:val="00626AF4"/>
    <w:rsid w:val="00626B90"/>
    <w:rsid w:val="00626F29"/>
    <w:rsid w:val="0062736F"/>
    <w:rsid w:val="00627A95"/>
    <w:rsid w:val="00627B07"/>
    <w:rsid w:val="00627D9A"/>
    <w:rsid w:val="00627F4B"/>
    <w:rsid w:val="00627F51"/>
    <w:rsid w:val="0063005C"/>
    <w:rsid w:val="0063013C"/>
    <w:rsid w:val="00630202"/>
    <w:rsid w:val="00630369"/>
    <w:rsid w:val="0063062D"/>
    <w:rsid w:val="006306FB"/>
    <w:rsid w:val="006308D0"/>
    <w:rsid w:val="00630B28"/>
    <w:rsid w:val="00630BA6"/>
    <w:rsid w:val="00630BD8"/>
    <w:rsid w:val="00630CE5"/>
    <w:rsid w:val="00630E75"/>
    <w:rsid w:val="00630E9C"/>
    <w:rsid w:val="00630EDD"/>
    <w:rsid w:val="006310CD"/>
    <w:rsid w:val="006311BD"/>
    <w:rsid w:val="006315C4"/>
    <w:rsid w:val="006316B9"/>
    <w:rsid w:val="0063174B"/>
    <w:rsid w:val="00631833"/>
    <w:rsid w:val="006318DB"/>
    <w:rsid w:val="00631986"/>
    <w:rsid w:val="00631CF9"/>
    <w:rsid w:val="00631DB9"/>
    <w:rsid w:val="006323B4"/>
    <w:rsid w:val="0063261D"/>
    <w:rsid w:val="006327CB"/>
    <w:rsid w:val="00632929"/>
    <w:rsid w:val="00632A22"/>
    <w:rsid w:val="00632D49"/>
    <w:rsid w:val="00632F60"/>
    <w:rsid w:val="00633148"/>
    <w:rsid w:val="006334F3"/>
    <w:rsid w:val="00633626"/>
    <w:rsid w:val="00633695"/>
    <w:rsid w:val="0063396A"/>
    <w:rsid w:val="006339B8"/>
    <w:rsid w:val="00633A8A"/>
    <w:rsid w:val="00633AFF"/>
    <w:rsid w:val="00633C71"/>
    <w:rsid w:val="00633E35"/>
    <w:rsid w:val="006343B3"/>
    <w:rsid w:val="00634452"/>
    <w:rsid w:val="0063469B"/>
    <w:rsid w:val="00634B08"/>
    <w:rsid w:val="00634BCC"/>
    <w:rsid w:val="00634C71"/>
    <w:rsid w:val="00634FCE"/>
    <w:rsid w:val="006352D2"/>
    <w:rsid w:val="0063539D"/>
    <w:rsid w:val="006355B0"/>
    <w:rsid w:val="00635AD7"/>
    <w:rsid w:val="00635B2A"/>
    <w:rsid w:val="00635B9D"/>
    <w:rsid w:val="0063679A"/>
    <w:rsid w:val="0063682E"/>
    <w:rsid w:val="00636973"/>
    <w:rsid w:val="00636B29"/>
    <w:rsid w:val="00636D75"/>
    <w:rsid w:val="00636FCB"/>
    <w:rsid w:val="006372D0"/>
    <w:rsid w:val="00637309"/>
    <w:rsid w:val="0063740E"/>
    <w:rsid w:val="0063796D"/>
    <w:rsid w:val="00637A86"/>
    <w:rsid w:val="006400B5"/>
    <w:rsid w:val="006400C4"/>
    <w:rsid w:val="006403A8"/>
    <w:rsid w:val="006403D1"/>
    <w:rsid w:val="00640406"/>
    <w:rsid w:val="0064041E"/>
    <w:rsid w:val="00640421"/>
    <w:rsid w:val="0064082B"/>
    <w:rsid w:val="00640D98"/>
    <w:rsid w:val="0064118C"/>
    <w:rsid w:val="006417B2"/>
    <w:rsid w:val="00641894"/>
    <w:rsid w:val="006418AB"/>
    <w:rsid w:val="00641C75"/>
    <w:rsid w:val="00641DBC"/>
    <w:rsid w:val="00641E85"/>
    <w:rsid w:val="0064222D"/>
    <w:rsid w:val="00642F37"/>
    <w:rsid w:val="006431A0"/>
    <w:rsid w:val="0064337D"/>
    <w:rsid w:val="00643590"/>
    <w:rsid w:val="006436FD"/>
    <w:rsid w:val="00643778"/>
    <w:rsid w:val="00643A02"/>
    <w:rsid w:val="0064440A"/>
    <w:rsid w:val="006447D5"/>
    <w:rsid w:val="006449D1"/>
    <w:rsid w:val="00644D92"/>
    <w:rsid w:val="0064517B"/>
    <w:rsid w:val="00645380"/>
    <w:rsid w:val="00645880"/>
    <w:rsid w:val="00646020"/>
    <w:rsid w:val="00646222"/>
    <w:rsid w:val="00646236"/>
    <w:rsid w:val="00646466"/>
    <w:rsid w:val="0064665B"/>
    <w:rsid w:val="00646AC1"/>
    <w:rsid w:val="00646CA6"/>
    <w:rsid w:val="00646D17"/>
    <w:rsid w:val="00646D36"/>
    <w:rsid w:val="00646F5B"/>
    <w:rsid w:val="0064726F"/>
    <w:rsid w:val="00647747"/>
    <w:rsid w:val="00647A52"/>
    <w:rsid w:val="00647A6D"/>
    <w:rsid w:val="00647B05"/>
    <w:rsid w:val="00647B23"/>
    <w:rsid w:val="00647BEA"/>
    <w:rsid w:val="00647FA1"/>
    <w:rsid w:val="00650465"/>
    <w:rsid w:val="00650C67"/>
    <w:rsid w:val="00650E83"/>
    <w:rsid w:val="00650FEA"/>
    <w:rsid w:val="006511EB"/>
    <w:rsid w:val="0065158A"/>
    <w:rsid w:val="0065189C"/>
    <w:rsid w:val="0065279D"/>
    <w:rsid w:val="006527CA"/>
    <w:rsid w:val="00652867"/>
    <w:rsid w:val="00652934"/>
    <w:rsid w:val="00652AF0"/>
    <w:rsid w:val="00652B7E"/>
    <w:rsid w:val="00652F5A"/>
    <w:rsid w:val="006530B5"/>
    <w:rsid w:val="00653EDD"/>
    <w:rsid w:val="006544BE"/>
    <w:rsid w:val="00654D8E"/>
    <w:rsid w:val="00654D9C"/>
    <w:rsid w:val="00654E5E"/>
    <w:rsid w:val="00655593"/>
    <w:rsid w:val="0065563F"/>
    <w:rsid w:val="0065589B"/>
    <w:rsid w:val="00655B25"/>
    <w:rsid w:val="00655B96"/>
    <w:rsid w:val="00655C9C"/>
    <w:rsid w:val="00655E8E"/>
    <w:rsid w:val="006560D8"/>
    <w:rsid w:val="0065695E"/>
    <w:rsid w:val="0065699B"/>
    <w:rsid w:val="00657540"/>
    <w:rsid w:val="006579D9"/>
    <w:rsid w:val="00657A4D"/>
    <w:rsid w:val="00657BF6"/>
    <w:rsid w:val="00657C88"/>
    <w:rsid w:val="00657EAA"/>
    <w:rsid w:val="00657F09"/>
    <w:rsid w:val="006605CD"/>
    <w:rsid w:val="00660B4E"/>
    <w:rsid w:val="00660DC5"/>
    <w:rsid w:val="006610D3"/>
    <w:rsid w:val="00661621"/>
    <w:rsid w:val="00661773"/>
    <w:rsid w:val="00661D13"/>
    <w:rsid w:val="00662502"/>
    <w:rsid w:val="006626DC"/>
    <w:rsid w:val="00662B86"/>
    <w:rsid w:val="00662C7B"/>
    <w:rsid w:val="006630C4"/>
    <w:rsid w:val="00663130"/>
    <w:rsid w:val="0066359D"/>
    <w:rsid w:val="00663626"/>
    <w:rsid w:val="006638F6"/>
    <w:rsid w:val="00663A77"/>
    <w:rsid w:val="00663BC8"/>
    <w:rsid w:val="00663DA7"/>
    <w:rsid w:val="006644CD"/>
    <w:rsid w:val="00664598"/>
    <w:rsid w:val="006649B5"/>
    <w:rsid w:val="00664AA8"/>
    <w:rsid w:val="00664B8B"/>
    <w:rsid w:val="00664ECA"/>
    <w:rsid w:val="00665491"/>
    <w:rsid w:val="00665739"/>
    <w:rsid w:val="00665A09"/>
    <w:rsid w:val="00665B9C"/>
    <w:rsid w:val="00665D85"/>
    <w:rsid w:val="00666156"/>
    <w:rsid w:val="006662E7"/>
    <w:rsid w:val="006666A8"/>
    <w:rsid w:val="006667A7"/>
    <w:rsid w:val="006668E6"/>
    <w:rsid w:val="00666916"/>
    <w:rsid w:val="006669DD"/>
    <w:rsid w:val="00666DFF"/>
    <w:rsid w:val="00666FA0"/>
    <w:rsid w:val="006670D7"/>
    <w:rsid w:val="006676EC"/>
    <w:rsid w:val="00667D23"/>
    <w:rsid w:val="00667E75"/>
    <w:rsid w:val="00667F3A"/>
    <w:rsid w:val="00670061"/>
    <w:rsid w:val="006702FA"/>
    <w:rsid w:val="006705BE"/>
    <w:rsid w:val="00670AA4"/>
    <w:rsid w:val="00670C95"/>
    <w:rsid w:val="00671450"/>
    <w:rsid w:val="00671633"/>
    <w:rsid w:val="00671EEC"/>
    <w:rsid w:val="006721B8"/>
    <w:rsid w:val="006722BF"/>
    <w:rsid w:val="00672715"/>
    <w:rsid w:val="0067274E"/>
    <w:rsid w:val="006728BA"/>
    <w:rsid w:val="00673137"/>
    <w:rsid w:val="00673230"/>
    <w:rsid w:val="006733DC"/>
    <w:rsid w:val="006739CC"/>
    <w:rsid w:val="00673C06"/>
    <w:rsid w:val="00673D69"/>
    <w:rsid w:val="00673DE0"/>
    <w:rsid w:val="00673F5A"/>
    <w:rsid w:val="00674137"/>
    <w:rsid w:val="006743E5"/>
    <w:rsid w:val="006748F8"/>
    <w:rsid w:val="00674BF7"/>
    <w:rsid w:val="00674C29"/>
    <w:rsid w:val="00675038"/>
    <w:rsid w:val="0067514D"/>
    <w:rsid w:val="0067527C"/>
    <w:rsid w:val="006754D7"/>
    <w:rsid w:val="006757B4"/>
    <w:rsid w:val="00675F1E"/>
    <w:rsid w:val="00675F23"/>
    <w:rsid w:val="00676328"/>
    <w:rsid w:val="006763A2"/>
    <w:rsid w:val="006764A3"/>
    <w:rsid w:val="00676683"/>
    <w:rsid w:val="00676DDF"/>
    <w:rsid w:val="006770D8"/>
    <w:rsid w:val="0067785A"/>
    <w:rsid w:val="006779EB"/>
    <w:rsid w:val="00677CFE"/>
    <w:rsid w:val="00677F98"/>
    <w:rsid w:val="00680222"/>
    <w:rsid w:val="0068084D"/>
    <w:rsid w:val="0068113D"/>
    <w:rsid w:val="0068197D"/>
    <w:rsid w:val="00681A57"/>
    <w:rsid w:val="00681A63"/>
    <w:rsid w:val="00681B68"/>
    <w:rsid w:val="00681BDB"/>
    <w:rsid w:val="00681E43"/>
    <w:rsid w:val="0068215D"/>
    <w:rsid w:val="00682162"/>
    <w:rsid w:val="00682253"/>
    <w:rsid w:val="00682419"/>
    <w:rsid w:val="0068250A"/>
    <w:rsid w:val="00682ADE"/>
    <w:rsid w:val="00682CA2"/>
    <w:rsid w:val="0068308A"/>
    <w:rsid w:val="006835E3"/>
    <w:rsid w:val="006836CD"/>
    <w:rsid w:val="006836FC"/>
    <w:rsid w:val="006837FF"/>
    <w:rsid w:val="0068387B"/>
    <w:rsid w:val="00683A25"/>
    <w:rsid w:val="00683B6B"/>
    <w:rsid w:val="00683D98"/>
    <w:rsid w:val="00684444"/>
    <w:rsid w:val="00684834"/>
    <w:rsid w:val="00684978"/>
    <w:rsid w:val="00684AF9"/>
    <w:rsid w:val="00684C84"/>
    <w:rsid w:val="00684E42"/>
    <w:rsid w:val="006850B2"/>
    <w:rsid w:val="00685442"/>
    <w:rsid w:val="0068544A"/>
    <w:rsid w:val="00685914"/>
    <w:rsid w:val="00685A8D"/>
    <w:rsid w:val="00685AAB"/>
    <w:rsid w:val="00685DD8"/>
    <w:rsid w:val="00686462"/>
    <w:rsid w:val="006868A1"/>
    <w:rsid w:val="00686BDA"/>
    <w:rsid w:val="00686C8A"/>
    <w:rsid w:val="00686D9A"/>
    <w:rsid w:val="00686ED0"/>
    <w:rsid w:val="00686F6D"/>
    <w:rsid w:val="00686FA8"/>
    <w:rsid w:val="006871D9"/>
    <w:rsid w:val="00687265"/>
    <w:rsid w:val="00687295"/>
    <w:rsid w:val="00687399"/>
    <w:rsid w:val="006874C6"/>
    <w:rsid w:val="006875B6"/>
    <w:rsid w:val="006875DD"/>
    <w:rsid w:val="00687A58"/>
    <w:rsid w:val="00687F92"/>
    <w:rsid w:val="00687FE6"/>
    <w:rsid w:val="006901C2"/>
    <w:rsid w:val="006903BC"/>
    <w:rsid w:val="0069080F"/>
    <w:rsid w:val="006913BD"/>
    <w:rsid w:val="00691A3C"/>
    <w:rsid w:val="00692018"/>
    <w:rsid w:val="006921AD"/>
    <w:rsid w:val="0069233E"/>
    <w:rsid w:val="0069234B"/>
    <w:rsid w:val="006923BF"/>
    <w:rsid w:val="006924A7"/>
    <w:rsid w:val="006924CD"/>
    <w:rsid w:val="00692A5C"/>
    <w:rsid w:val="00692D7D"/>
    <w:rsid w:val="006931F9"/>
    <w:rsid w:val="00693851"/>
    <w:rsid w:val="00693A62"/>
    <w:rsid w:val="00693CA1"/>
    <w:rsid w:val="00693DB8"/>
    <w:rsid w:val="00694375"/>
    <w:rsid w:val="006943D4"/>
    <w:rsid w:val="0069441A"/>
    <w:rsid w:val="00694559"/>
    <w:rsid w:val="00694627"/>
    <w:rsid w:val="00694B9C"/>
    <w:rsid w:val="00694C18"/>
    <w:rsid w:val="00694E14"/>
    <w:rsid w:val="00694E4C"/>
    <w:rsid w:val="0069517A"/>
    <w:rsid w:val="0069524F"/>
    <w:rsid w:val="006954CA"/>
    <w:rsid w:val="0069560A"/>
    <w:rsid w:val="00695613"/>
    <w:rsid w:val="00695951"/>
    <w:rsid w:val="00695A5C"/>
    <w:rsid w:val="00695B8A"/>
    <w:rsid w:val="00695C1C"/>
    <w:rsid w:val="00695C4C"/>
    <w:rsid w:val="00695D44"/>
    <w:rsid w:val="00695E0D"/>
    <w:rsid w:val="00696123"/>
    <w:rsid w:val="00696235"/>
    <w:rsid w:val="0069624B"/>
    <w:rsid w:val="0069625A"/>
    <w:rsid w:val="006968A3"/>
    <w:rsid w:val="00696D20"/>
    <w:rsid w:val="00697569"/>
    <w:rsid w:val="006975F3"/>
    <w:rsid w:val="006975FE"/>
    <w:rsid w:val="00697965"/>
    <w:rsid w:val="006A0196"/>
    <w:rsid w:val="006A03CB"/>
    <w:rsid w:val="006A06B2"/>
    <w:rsid w:val="006A0881"/>
    <w:rsid w:val="006A0A08"/>
    <w:rsid w:val="006A0B7A"/>
    <w:rsid w:val="006A0D2D"/>
    <w:rsid w:val="006A0F79"/>
    <w:rsid w:val="006A1279"/>
    <w:rsid w:val="006A1399"/>
    <w:rsid w:val="006A15B0"/>
    <w:rsid w:val="006A162B"/>
    <w:rsid w:val="006A16E3"/>
    <w:rsid w:val="006A1E30"/>
    <w:rsid w:val="006A24AE"/>
    <w:rsid w:val="006A263A"/>
    <w:rsid w:val="006A2B33"/>
    <w:rsid w:val="006A2DE5"/>
    <w:rsid w:val="006A2F0E"/>
    <w:rsid w:val="006A3064"/>
    <w:rsid w:val="006A30B2"/>
    <w:rsid w:val="006A332D"/>
    <w:rsid w:val="006A3453"/>
    <w:rsid w:val="006A39E4"/>
    <w:rsid w:val="006A39FD"/>
    <w:rsid w:val="006A3A2D"/>
    <w:rsid w:val="006A3D68"/>
    <w:rsid w:val="006A3E8A"/>
    <w:rsid w:val="006A44AD"/>
    <w:rsid w:val="006A44E2"/>
    <w:rsid w:val="006A4603"/>
    <w:rsid w:val="006A46DD"/>
    <w:rsid w:val="006A477B"/>
    <w:rsid w:val="006A53CB"/>
    <w:rsid w:val="006A5B17"/>
    <w:rsid w:val="006A5D77"/>
    <w:rsid w:val="006A5F61"/>
    <w:rsid w:val="006A63FD"/>
    <w:rsid w:val="006A64AB"/>
    <w:rsid w:val="006A68EC"/>
    <w:rsid w:val="006A6967"/>
    <w:rsid w:val="006A6FE5"/>
    <w:rsid w:val="006A7345"/>
    <w:rsid w:val="006A7386"/>
    <w:rsid w:val="006A7478"/>
    <w:rsid w:val="006A7BD9"/>
    <w:rsid w:val="006A7DB8"/>
    <w:rsid w:val="006A7DF0"/>
    <w:rsid w:val="006A7E5A"/>
    <w:rsid w:val="006AD116"/>
    <w:rsid w:val="006B01A1"/>
    <w:rsid w:val="006B0BDD"/>
    <w:rsid w:val="006B0CCB"/>
    <w:rsid w:val="006B0F8E"/>
    <w:rsid w:val="006B10AB"/>
    <w:rsid w:val="006B1248"/>
    <w:rsid w:val="006B1580"/>
    <w:rsid w:val="006B15BE"/>
    <w:rsid w:val="006B15D9"/>
    <w:rsid w:val="006B16DB"/>
    <w:rsid w:val="006B1804"/>
    <w:rsid w:val="006B1C1A"/>
    <w:rsid w:val="006B1D5E"/>
    <w:rsid w:val="006B2004"/>
    <w:rsid w:val="006B2598"/>
    <w:rsid w:val="006B25FB"/>
    <w:rsid w:val="006B2A7C"/>
    <w:rsid w:val="006B2CAF"/>
    <w:rsid w:val="006B2CFC"/>
    <w:rsid w:val="006B3271"/>
    <w:rsid w:val="006B32E1"/>
    <w:rsid w:val="006B3345"/>
    <w:rsid w:val="006B36F3"/>
    <w:rsid w:val="006B3781"/>
    <w:rsid w:val="006B3A51"/>
    <w:rsid w:val="006B43DB"/>
    <w:rsid w:val="006B43F0"/>
    <w:rsid w:val="006B46E1"/>
    <w:rsid w:val="006B48FD"/>
    <w:rsid w:val="006B4A74"/>
    <w:rsid w:val="006B4ABA"/>
    <w:rsid w:val="006B4AF7"/>
    <w:rsid w:val="006B4CF1"/>
    <w:rsid w:val="006B516E"/>
    <w:rsid w:val="006B520F"/>
    <w:rsid w:val="006B5611"/>
    <w:rsid w:val="006B5758"/>
    <w:rsid w:val="006B581E"/>
    <w:rsid w:val="006B5A39"/>
    <w:rsid w:val="006B5B0E"/>
    <w:rsid w:val="006B5B74"/>
    <w:rsid w:val="006B5BE0"/>
    <w:rsid w:val="006B5EB1"/>
    <w:rsid w:val="006B5FF5"/>
    <w:rsid w:val="006B61FC"/>
    <w:rsid w:val="006B65DE"/>
    <w:rsid w:val="006B6794"/>
    <w:rsid w:val="006B688E"/>
    <w:rsid w:val="006B68EC"/>
    <w:rsid w:val="006B6AC2"/>
    <w:rsid w:val="006B6C97"/>
    <w:rsid w:val="006B6D7A"/>
    <w:rsid w:val="006B6FDE"/>
    <w:rsid w:val="006B7021"/>
    <w:rsid w:val="006B783F"/>
    <w:rsid w:val="006B79B4"/>
    <w:rsid w:val="006BEBCF"/>
    <w:rsid w:val="006C0200"/>
    <w:rsid w:val="006C04FF"/>
    <w:rsid w:val="006C055C"/>
    <w:rsid w:val="006C071A"/>
    <w:rsid w:val="006C08D1"/>
    <w:rsid w:val="006C09C8"/>
    <w:rsid w:val="006C0A32"/>
    <w:rsid w:val="006C0B9F"/>
    <w:rsid w:val="006C0DD7"/>
    <w:rsid w:val="006C1293"/>
    <w:rsid w:val="006C1320"/>
    <w:rsid w:val="006C1528"/>
    <w:rsid w:val="006C1854"/>
    <w:rsid w:val="006C1878"/>
    <w:rsid w:val="006C1C3C"/>
    <w:rsid w:val="006C1D84"/>
    <w:rsid w:val="006C2E54"/>
    <w:rsid w:val="006C2E93"/>
    <w:rsid w:val="006C2F6A"/>
    <w:rsid w:val="006C362A"/>
    <w:rsid w:val="006C3674"/>
    <w:rsid w:val="006C3944"/>
    <w:rsid w:val="006C3ABA"/>
    <w:rsid w:val="006C3F78"/>
    <w:rsid w:val="006C40A3"/>
    <w:rsid w:val="006C40CE"/>
    <w:rsid w:val="006C442A"/>
    <w:rsid w:val="006C4523"/>
    <w:rsid w:val="006C45D6"/>
    <w:rsid w:val="006C4852"/>
    <w:rsid w:val="006C48FC"/>
    <w:rsid w:val="006C518B"/>
    <w:rsid w:val="006C5205"/>
    <w:rsid w:val="006C534E"/>
    <w:rsid w:val="006C5607"/>
    <w:rsid w:val="006C5762"/>
    <w:rsid w:val="006C591E"/>
    <w:rsid w:val="006C5924"/>
    <w:rsid w:val="006C5CB0"/>
    <w:rsid w:val="006C5F87"/>
    <w:rsid w:val="006C6083"/>
    <w:rsid w:val="006C6425"/>
    <w:rsid w:val="006C6552"/>
    <w:rsid w:val="006C67C8"/>
    <w:rsid w:val="006C68BC"/>
    <w:rsid w:val="006C6C6F"/>
    <w:rsid w:val="006C6EB7"/>
    <w:rsid w:val="006C7015"/>
    <w:rsid w:val="006C715D"/>
    <w:rsid w:val="006C7840"/>
    <w:rsid w:val="006C787C"/>
    <w:rsid w:val="006C7CF8"/>
    <w:rsid w:val="006C7EB2"/>
    <w:rsid w:val="006D02A3"/>
    <w:rsid w:val="006D0539"/>
    <w:rsid w:val="006D0A15"/>
    <w:rsid w:val="006D0C6F"/>
    <w:rsid w:val="006D132F"/>
    <w:rsid w:val="006D15FA"/>
    <w:rsid w:val="006D16C3"/>
    <w:rsid w:val="006D1765"/>
    <w:rsid w:val="006D1951"/>
    <w:rsid w:val="006D198E"/>
    <w:rsid w:val="006D199B"/>
    <w:rsid w:val="006D1D2D"/>
    <w:rsid w:val="006D2145"/>
    <w:rsid w:val="006D2323"/>
    <w:rsid w:val="006D26E5"/>
    <w:rsid w:val="006D2A96"/>
    <w:rsid w:val="006D2AD2"/>
    <w:rsid w:val="006D2DA9"/>
    <w:rsid w:val="006D3F68"/>
    <w:rsid w:val="006D41FB"/>
    <w:rsid w:val="006D4505"/>
    <w:rsid w:val="006D450B"/>
    <w:rsid w:val="006D4D11"/>
    <w:rsid w:val="006D4D8C"/>
    <w:rsid w:val="006D4DC4"/>
    <w:rsid w:val="006D4E33"/>
    <w:rsid w:val="006D4EC4"/>
    <w:rsid w:val="006D51F5"/>
    <w:rsid w:val="006D5200"/>
    <w:rsid w:val="006D5371"/>
    <w:rsid w:val="006D54AB"/>
    <w:rsid w:val="006D55D8"/>
    <w:rsid w:val="006D5793"/>
    <w:rsid w:val="006D5AA1"/>
    <w:rsid w:val="006D5E7B"/>
    <w:rsid w:val="006D5EBF"/>
    <w:rsid w:val="006D6341"/>
    <w:rsid w:val="006D6577"/>
    <w:rsid w:val="006D6A42"/>
    <w:rsid w:val="006D70BD"/>
    <w:rsid w:val="006D73B5"/>
    <w:rsid w:val="006D7563"/>
    <w:rsid w:val="006D75A5"/>
    <w:rsid w:val="006D77EA"/>
    <w:rsid w:val="006D78C2"/>
    <w:rsid w:val="006D7C20"/>
    <w:rsid w:val="006D7EC9"/>
    <w:rsid w:val="006E0176"/>
    <w:rsid w:val="006E0383"/>
    <w:rsid w:val="006E03DF"/>
    <w:rsid w:val="006E0438"/>
    <w:rsid w:val="006E04D8"/>
    <w:rsid w:val="006E0785"/>
    <w:rsid w:val="006E09E6"/>
    <w:rsid w:val="006E0BA7"/>
    <w:rsid w:val="006E1196"/>
    <w:rsid w:val="006E13DF"/>
    <w:rsid w:val="006E1499"/>
    <w:rsid w:val="006E16CA"/>
    <w:rsid w:val="006E17DB"/>
    <w:rsid w:val="006E18A9"/>
    <w:rsid w:val="006E1D88"/>
    <w:rsid w:val="006E2168"/>
    <w:rsid w:val="006E2898"/>
    <w:rsid w:val="006E2CFA"/>
    <w:rsid w:val="006E3319"/>
    <w:rsid w:val="006E37DA"/>
    <w:rsid w:val="006E3991"/>
    <w:rsid w:val="006E3D08"/>
    <w:rsid w:val="006E3D2C"/>
    <w:rsid w:val="006E4054"/>
    <w:rsid w:val="006E4249"/>
    <w:rsid w:val="006E43B9"/>
    <w:rsid w:val="006E4570"/>
    <w:rsid w:val="006E45AD"/>
    <w:rsid w:val="006E48D8"/>
    <w:rsid w:val="006E5289"/>
    <w:rsid w:val="006E5797"/>
    <w:rsid w:val="006E5BA0"/>
    <w:rsid w:val="006E5F62"/>
    <w:rsid w:val="006E60D0"/>
    <w:rsid w:val="006E6377"/>
    <w:rsid w:val="006E6402"/>
    <w:rsid w:val="006E6568"/>
    <w:rsid w:val="006E6591"/>
    <w:rsid w:val="006E6598"/>
    <w:rsid w:val="006E65A0"/>
    <w:rsid w:val="006E6814"/>
    <w:rsid w:val="006E69DB"/>
    <w:rsid w:val="006E6CE9"/>
    <w:rsid w:val="006E71E2"/>
    <w:rsid w:val="006E749F"/>
    <w:rsid w:val="006E760C"/>
    <w:rsid w:val="006E778F"/>
    <w:rsid w:val="006E789C"/>
    <w:rsid w:val="006E78B2"/>
    <w:rsid w:val="006E7A6E"/>
    <w:rsid w:val="006E7C6F"/>
    <w:rsid w:val="006E7FA8"/>
    <w:rsid w:val="006F014B"/>
    <w:rsid w:val="006F0427"/>
    <w:rsid w:val="006F09CA"/>
    <w:rsid w:val="006F0A78"/>
    <w:rsid w:val="006F0C69"/>
    <w:rsid w:val="006F0C9E"/>
    <w:rsid w:val="006F15D7"/>
    <w:rsid w:val="006F1631"/>
    <w:rsid w:val="006F17E8"/>
    <w:rsid w:val="006F1C11"/>
    <w:rsid w:val="006F1CC9"/>
    <w:rsid w:val="006F1E3E"/>
    <w:rsid w:val="006F1F8A"/>
    <w:rsid w:val="006F2438"/>
    <w:rsid w:val="006F2779"/>
    <w:rsid w:val="006F27E1"/>
    <w:rsid w:val="006F27F3"/>
    <w:rsid w:val="006F2E40"/>
    <w:rsid w:val="006F2E73"/>
    <w:rsid w:val="006F2EF7"/>
    <w:rsid w:val="006F2F4B"/>
    <w:rsid w:val="006F317E"/>
    <w:rsid w:val="006F318E"/>
    <w:rsid w:val="006F325B"/>
    <w:rsid w:val="006F3932"/>
    <w:rsid w:val="006F3ABC"/>
    <w:rsid w:val="006F3FE4"/>
    <w:rsid w:val="006F408E"/>
    <w:rsid w:val="006F413D"/>
    <w:rsid w:val="006F41F4"/>
    <w:rsid w:val="006F4265"/>
    <w:rsid w:val="006F4A67"/>
    <w:rsid w:val="006F4B4E"/>
    <w:rsid w:val="006F4B9C"/>
    <w:rsid w:val="006F4CE5"/>
    <w:rsid w:val="006F4D1A"/>
    <w:rsid w:val="006F4E48"/>
    <w:rsid w:val="006F503A"/>
    <w:rsid w:val="006F50B7"/>
    <w:rsid w:val="006F522A"/>
    <w:rsid w:val="006F53F3"/>
    <w:rsid w:val="006F5508"/>
    <w:rsid w:val="006F5514"/>
    <w:rsid w:val="006F57D2"/>
    <w:rsid w:val="006F581A"/>
    <w:rsid w:val="006F5BAE"/>
    <w:rsid w:val="006F5DB4"/>
    <w:rsid w:val="006F6068"/>
    <w:rsid w:val="006F6255"/>
    <w:rsid w:val="006F62E3"/>
    <w:rsid w:val="006F6570"/>
    <w:rsid w:val="006F6B30"/>
    <w:rsid w:val="006F73C1"/>
    <w:rsid w:val="006F74B6"/>
    <w:rsid w:val="006F7858"/>
    <w:rsid w:val="006F7EF8"/>
    <w:rsid w:val="006FD974"/>
    <w:rsid w:val="0070042A"/>
    <w:rsid w:val="00700431"/>
    <w:rsid w:val="0070050F"/>
    <w:rsid w:val="00700D84"/>
    <w:rsid w:val="00700E2F"/>
    <w:rsid w:val="00700E36"/>
    <w:rsid w:val="00701B52"/>
    <w:rsid w:val="00701B77"/>
    <w:rsid w:val="00701E95"/>
    <w:rsid w:val="007025EE"/>
    <w:rsid w:val="00702628"/>
    <w:rsid w:val="00702947"/>
    <w:rsid w:val="00702AC6"/>
    <w:rsid w:val="00702C70"/>
    <w:rsid w:val="00702D47"/>
    <w:rsid w:val="00702DE2"/>
    <w:rsid w:val="0070307D"/>
    <w:rsid w:val="007031ED"/>
    <w:rsid w:val="007032D4"/>
    <w:rsid w:val="007033A8"/>
    <w:rsid w:val="0070350D"/>
    <w:rsid w:val="00703619"/>
    <w:rsid w:val="007036F4"/>
    <w:rsid w:val="00703880"/>
    <w:rsid w:val="007038C6"/>
    <w:rsid w:val="00703C51"/>
    <w:rsid w:val="00703C63"/>
    <w:rsid w:val="00703CE9"/>
    <w:rsid w:val="00704BB1"/>
    <w:rsid w:val="007054F1"/>
    <w:rsid w:val="007055BB"/>
    <w:rsid w:val="00705DA9"/>
    <w:rsid w:val="00705E1E"/>
    <w:rsid w:val="00705F16"/>
    <w:rsid w:val="00706018"/>
    <w:rsid w:val="007060B6"/>
    <w:rsid w:val="00706230"/>
    <w:rsid w:val="007063A2"/>
    <w:rsid w:val="007064F6"/>
    <w:rsid w:val="00706523"/>
    <w:rsid w:val="00706754"/>
    <w:rsid w:val="007068E0"/>
    <w:rsid w:val="00706AB2"/>
    <w:rsid w:val="00706DF6"/>
    <w:rsid w:val="00706E69"/>
    <w:rsid w:val="00707114"/>
    <w:rsid w:val="00707499"/>
    <w:rsid w:val="0070778C"/>
    <w:rsid w:val="007078AD"/>
    <w:rsid w:val="0070791F"/>
    <w:rsid w:val="00707BF8"/>
    <w:rsid w:val="00707DAD"/>
    <w:rsid w:val="00707EE5"/>
    <w:rsid w:val="0071013D"/>
    <w:rsid w:val="0071042E"/>
    <w:rsid w:val="00710667"/>
    <w:rsid w:val="0071075C"/>
    <w:rsid w:val="00710A77"/>
    <w:rsid w:val="00710B89"/>
    <w:rsid w:val="00710C57"/>
    <w:rsid w:val="00710C76"/>
    <w:rsid w:val="00710D3D"/>
    <w:rsid w:val="00710DEA"/>
    <w:rsid w:val="00711022"/>
    <w:rsid w:val="00711319"/>
    <w:rsid w:val="00711531"/>
    <w:rsid w:val="00711631"/>
    <w:rsid w:val="00711691"/>
    <w:rsid w:val="007118EC"/>
    <w:rsid w:val="00711B42"/>
    <w:rsid w:val="00711C7E"/>
    <w:rsid w:val="00711DFD"/>
    <w:rsid w:val="00712062"/>
    <w:rsid w:val="007122E3"/>
    <w:rsid w:val="00712533"/>
    <w:rsid w:val="00712539"/>
    <w:rsid w:val="00712D28"/>
    <w:rsid w:val="00712DBE"/>
    <w:rsid w:val="00712E73"/>
    <w:rsid w:val="00712EE2"/>
    <w:rsid w:val="00713574"/>
    <w:rsid w:val="007136F6"/>
    <w:rsid w:val="00713723"/>
    <w:rsid w:val="00713A46"/>
    <w:rsid w:val="00713C1B"/>
    <w:rsid w:val="0071416D"/>
    <w:rsid w:val="007143FD"/>
    <w:rsid w:val="007148AD"/>
    <w:rsid w:val="007149B3"/>
    <w:rsid w:val="00714DDB"/>
    <w:rsid w:val="007150F1"/>
    <w:rsid w:val="00715445"/>
    <w:rsid w:val="00715954"/>
    <w:rsid w:val="00715B28"/>
    <w:rsid w:val="00715C0E"/>
    <w:rsid w:val="00715E61"/>
    <w:rsid w:val="00716136"/>
    <w:rsid w:val="00716210"/>
    <w:rsid w:val="0071632C"/>
    <w:rsid w:val="007166FB"/>
    <w:rsid w:val="007168B3"/>
    <w:rsid w:val="007168ED"/>
    <w:rsid w:val="00716BA7"/>
    <w:rsid w:val="00716D4C"/>
    <w:rsid w:val="00717196"/>
    <w:rsid w:val="00717327"/>
    <w:rsid w:val="00717661"/>
    <w:rsid w:val="00717683"/>
    <w:rsid w:val="007178BE"/>
    <w:rsid w:val="00717C29"/>
    <w:rsid w:val="00717C2F"/>
    <w:rsid w:val="00717D8A"/>
    <w:rsid w:val="00717DDA"/>
    <w:rsid w:val="007201B1"/>
    <w:rsid w:val="00720EC5"/>
    <w:rsid w:val="00720FD5"/>
    <w:rsid w:val="007210C0"/>
    <w:rsid w:val="0072125C"/>
    <w:rsid w:val="00721650"/>
    <w:rsid w:val="0072169B"/>
    <w:rsid w:val="00721BA6"/>
    <w:rsid w:val="00722293"/>
    <w:rsid w:val="0072246F"/>
    <w:rsid w:val="007226A9"/>
    <w:rsid w:val="00722817"/>
    <w:rsid w:val="0072286C"/>
    <w:rsid w:val="00722AE7"/>
    <w:rsid w:val="00722BAD"/>
    <w:rsid w:val="00722C33"/>
    <w:rsid w:val="00722C46"/>
    <w:rsid w:val="00722CE7"/>
    <w:rsid w:val="00722DB0"/>
    <w:rsid w:val="00722E0D"/>
    <w:rsid w:val="007230C7"/>
    <w:rsid w:val="007230FB"/>
    <w:rsid w:val="0072332A"/>
    <w:rsid w:val="0072335E"/>
    <w:rsid w:val="00723BE2"/>
    <w:rsid w:val="00723C63"/>
    <w:rsid w:val="00723CD0"/>
    <w:rsid w:val="007241FF"/>
    <w:rsid w:val="0072430A"/>
    <w:rsid w:val="0072444E"/>
    <w:rsid w:val="00724B37"/>
    <w:rsid w:val="00724B7A"/>
    <w:rsid w:val="007250C1"/>
    <w:rsid w:val="00725161"/>
    <w:rsid w:val="007251A7"/>
    <w:rsid w:val="007251FC"/>
    <w:rsid w:val="00725594"/>
    <w:rsid w:val="0072579B"/>
    <w:rsid w:val="00725824"/>
    <w:rsid w:val="00725A24"/>
    <w:rsid w:val="007260CC"/>
    <w:rsid w:val="0072623C"/>
    <w:rsid w:val="00726CAC"/>
    <w:rsid w:val="007270ED"/>
    <w:rsid w:val="00727130"/>
    <w:rsid w:val="007272DF"/>
    <w:rsid w:val="00727B56"/>
    <w:rsid w:val="00730131"/>
    <w:rsid w:val="0073019C"/>
    <w:rsid w:val="00730402"/>
    <w:rsid w:val="00730759"/>
    <w:rsid w:val="0073088E"/>
    <w:rsid w:val="007308E4"/>
    <w:rsid w:val="007309C4"/>
    <w:rsid w:val="00730B53"/>
    <w:rsid w:val="00730C8F"/>
    <w:rsid w:val="00730EC0"/>
    <w:rsid w:val="007312F5"/>
    <w:rsid w:val="007314B2"/>
    <w:rsid w:val="0073159E"/>
    <w:rsid w:val="00731822"/>
    <w:rsid w:val="007319F3"/>
    <w:rsid w:val="00731BC8"/>
    <w:rsid w:val="00731FF1"/>
    <w:rsid w:val="00732184"/>
    <w:rsid w:val="00732276"/>
    <w:rsid w:val="0073233C"/>
    <w:rsid w:val="007327F8"/>
    <w:rsid w:val="0073288A"/>
    <w:rsid w:val="007328A0"/>
    <w:rsid w:val="00732A5F"/>
    <w:rsid w:val="00732AB6"/>
    <w:rsid w:val="00732D5B"/>
    <w:rsid w:val="00732DA8"/>
    <w:rsid w:val="007331AC"/>
    <w:rsid w:val="00733391"/>
    <w:rsid w:val="007335A2"/>
    <w:rsid w:val="0073433C"/>
    <w:rsid w:val="007346B6"/>
    <w:rsid w:val="0073492C"/>
    <w:rsid w:val="00734995"/>
    <w:rsid w:val="00734B95"/>
    <w:rsid w:val="00734E02"/>
    <w:rsid w:val="00734F60"/>
    <w:rsid w:val="007353FD"/>
    <w:rsid w:val="00735507"/>
    <w:rsid w:val="0073565D"/>
    <w:rsid w:val="00735D0A"/>
    <w:rsid w:val="00735D79"/>
    <w:rsid w:val="00736262"/>
    <w:rsid w:val="00736617"/>
    <w:rsid w:val="007369B9"/>
    <w:rsid w:val="007369FD"/>
    <w:rsid w:val="007372F4"/>
    <w:rsid w:val="00737374"/>
    <w:rsid w:val="00737434"/>
    <w:rsid w:val="00737477"/>
    <w:rsid w:val="0073747B"/>
    <w:rsid w:val="0073788D"/>
    <w:rsid w:val="00737E05"/>
    <w:rsid w:val="00737E16"/>
    <w:rsid w:val="00737EBC"/>
    <w:rsid w:val="0074009E"/>
    <w:rsid w:val="007400A9"/>
    <w:rsid w:val="007403CA"/>
    <w:rsid w:val="007404B9"/>
    <w:rsid w:val="00740500"/>
    <w:rsid w:val="0074081B"/>
    <w:rsid w:val="00740865"/>
    <w:rsid w:val="00740935"/>
    <w:rsid w:val="00740DA9"/>
    <w:rsid w:val="00740FBB"/>
    <w:rsid w:val="0074104E"/>
    <w:rsid w:val="00741084"/>
    <w:rsid w:val="0074111F"/>
    <w:rsid w:val="00741162"/>
    <w:rsid w:val="0074174D"/>
    <w:rsid w:val="00741C27"/>
    <w:rsid w:val="00741D3E"/>
    <w:rsid w:val="00741D8C"/>
    <w:rsid w:val="007424F5"/>
    <w:rsid w:val="0074257F"/>
    <w:rsid w:val="00742A7D"/>
    <w:rsid w:val="00742AB6"/>
    <w:rsid w:val="00742AD0"/>
    <w:rsid w:val="00742F0F"/>
    <w:rsid w:val="00743118"/>
    <w:rsid w:val="007431EB"/>
    <w:rsid w:val="00743546"/>
    <w:rsid w:val="00743893"/>
    <w:rsid w:val="007439FA"/>
    <w:rsid w:val="00743C3A"/>
    <w:rsid w:val="00743E30"/>
    <w:rsid w:val="00743ECB"/>
    <w:rsid w:val="00744381"/>
    <w:rsid w:val="007444A7"/>
    <w:rsid w:val="007447A0"/>
    <w:rsid w:val="007447FD"/>
    <w:rsid w:val="007448C6"/>
    <w:rsid w:val="0074498F"/>
    <w:rsid w:val="00744B00"/>
    <w:rsid w:val="00744F50"/>
    <w:rsid w:val="00745968"/>
    <w:rsid w:val="0074610E"/>
    <w:rsid w:val="007463EC"/>
    <w:rsid w:val="007468B3"/>
    <w:rsid w:val="00746AF8"/>
    <w:rsid w:val="00746E4A"/>
    <w:rsid w:val="00746F04"/>
    <w:rsid w:val="00746F2B"/>
    <w:rsid w:val="00747034"/>
    <w:rsid w:val="007474E4"/>
    <w:rsid w:val="00747783"/>
    <w:rsid w:val="0074798B"/>
    <w:rsid w:val="00747EA3"/>
    <w:rsid w:val="00747F17"/>
    <w:rsid w:val="0074F66C"/>
    <w:rsid w:val="007503EF"/>
    <w:rsid w:val="007504D9"/>
    <w:rsid w:val="007504DB"/>
    <w:rsid w:val="0075073D"/>
    <w:rsid w:val="007508B1"/>
    <w:rsid w:val="0075094C"/>
    <w:rsid w:val="00750A01"/>
    <w:rsid w:val="007511A5"/>
    <w:rsid w:val="007513F7"/>
    <w:rsid w:val="0075163D"/>
    <w:rsid w:val="00751BCA"/>
    <w:rsid w:val="00751D10"/>
    <w:rsid w:val="007522DD"/>
    <w:rsid w:val="007525BA"/>
    <w:rsid w:val="00752718"/>
    <w:rsid w:val="0075296D"/>
    <w:rsid w:val="00753074"/>
    <w:rsid w:val="00753141"/>
    <w:rsid w:val="00753768"/>
    <w:rsid w:val="00753942"/>
    <w:rsid w:val="00754067"/>
    <w:rsid w:val="00754259"/>
    <w:rsid w:val="007542EF"/>
    <w:rsid w:val="00754393"/>
    <w:rsid w:val="00754C5D"/>
    <w:rsid w:val="007551A5"/>
    <w:rsid w:val="0075536D"/>
    <w:rsid w:val="007555F2"/>
    <w:rsid w:val="00755766"/>
    <w:rsid w:val="00755BB9"/>
    <w:rsid w:val="00755FD0"/>
    <w:rsid w:val="00756183"/>
    <w:rsid w:val="0075631F"/>
    <w:rsid w:val="00756581"/>
    <w:rsid w:val="0075670B"/>
    <w:rsid w:val="00756A50"/>
    <w:rsid w:val="00756C9A"/>
    <w:rsid w:val="00756F7B"/>
    <w:rsid w:val="00757053"/>
    <w:rsid w:val="007575C3"/>
    <w:rsid w:val="00757842"/>
    <w:rsid w:val="00757AB9"/>
    <w:rsid w:val="00757D6E"/>
    <w:rsid w:val="00757F84"/>
    <w:rsid w:val="007600FB"/>
    <w:rsid w:val="00760589"/>
    <w:rsid w:val="0076077B"/>
    <w:rsid w:val="007608B2"/>
    <w:rsid w:val="00760B9B"/>
    <w:rsid w:val="0076146F"/>
    <w:rsid w:val="007616E7"/>
    <w:rsid w:val="007617B6"/>
    <w:rsid w:val="00761A0E"/>
    <w:rsid w:val="00761A27"/>
    <w:rsid w:val="00761DB5"/>
    <w:rsid w:val="0076205B"/>
    <w:rsid w:val="0076207E"/>
    <w:rsid w:val="0076210E"/>
    <w:rsid w:val="00762492"/>
    <w:rsid w:val="0076280C"/>
    <w:rsid w:val="007629FB"/>
    <w:rsid w:val="00763024"/>
    <w:rsid w:val="00763034"/>
    <w:rsid w:val="007635E2"/>
    <w:rsid w:val="0076361F"/>
    <w:rsid w:val="00763ABD"/>
    <w:rsid w:val="00763CB8"/>
    <w:rsid w:val="00763CC3"/>
    <w:rsid w:val="00763CF6"/>
    <w:rsid w:val="00763E39"/>
    <w:rsid w:val="00764100"/>
    <w:rsid w:val="007643E4"/>
    <w:rsid w:val="007643FF"/>
    <w:rsid w:val="0076481D"/>
    <w:rsid w:val="0076482D"/>
    <w:rsid w:val="007649E9"/>
    <w:rsid w:val="007649F1"/>
    <w:rsid w:val="00764D86"/>
    <w:rsid w:val="00764DCC"/>
    <w:rsid w:val="00764E91"/>
    <w:rsid w:val="00764E95"/>
    <w:rsid w:val="00764FE0"/>
    <w:rsid w:val="007650BC"/>
    <w:rsid w:val="007650DE"/>
    <w:rsid w:val="007654BD"/>
    <w:rsid w:val="007657AB"/>
    <w:rsid w:val="00765865"/>
    <w:rsid w:val="00765B69"/>
    <w:rsid w:val="00765D42"/>
    <w:rsid w:val="007661E6"/>
    <w:rsid w:val="00766205"/>
    <w:rsid w:val="0076654D"/>
    <w:rsid w:val="007665DA"/>
    <w:rsid w:val="00766A70"/>
    <w:rsid w:val="00766B1A"/>
    <w:rsid w:val="00766B48"/>
    <w:rsid w:val="00766D5C"/>
    <w:rsid w:val="00766F8E"/>
    <w:rsid w:val="00767286"/>
    <w:rsid w:val="0076773A"/>
    <w:rsid w:val="007677A7"/>
    <w:rsid w:val="007677C1"/>
    <w:rsid w:val="00767839"/>
    <w:rsid w:val="00767A1E"/>
    <w:rsid w:val="00767A4A"/>
    <w:rsid w:val="00767C36"/>
    <w:rsid w:val="00767D19"/>
    <w:rsid w:val="0077024B"/>
    <w:rsid w:val="007703D3"/>
    <w:rsid w:val="0077044C"/>
    <w:rsid w:val="007704A9"/>
    <w:rsid w:val="0077086C"/>
    <w:rsid w:val="00770C26"/>
    <w:rsid w:val="00770D83"/>
    <w:rsid w:val="00770DFA"/>
    <w:rsid w:val="0077136C"/>
    <w:rsid w:val="007717C2"/>
    <w:rsid w:val="0077183F"/>
    <w:rsid w:val="00771984"/>
    <w:rsid w:val="00771D22"/>
    <w:rsid w:val="00771FB6"/>
    <w:rsid w:val="00772349"/>
    <w:rsid w:val="0077262B"/>
    <w:rsid w:val="0077288C"/>
    <w:rsid w:val="00772A93"/>
    <w:rsid w:val="00772BC7"/>
    <w:rsid w:val="00772C13"/>
    <w:rsid w:val="00772C55"/>
    <w:rsid w:val="00773273"/>
    <w:rsid w:val="00773560"/>
    <w:rsid w:val="007736DE"/>
    <w:rsid w:val="00773916"/>
    <w:rsid w:val="00773D73"/>
    <w:rsid w:val="00774118"/>
    <w:rsid w:val="007741E2"/>
    <w:rsid w:val="00774472"/>
    <w:rsid w:val="00774AEA"/>
    <w:rsid w:val="00774C67"/>
    <w:rsid w:val="00774D29"/>
    <w:rsid w:val="00775248"/>
    <w:rsid w:val="007758F2"/>
    <w:rsid w:val="00775BA5"/>
    <w:rsid w:val="00775E16"/>
    <w:rsid w:val="00775EEB"/>
    <w:rsid w:val="0077605F"/>
    <w:rsid w:val="007760E9"/>
    <w:rsid w:val="0077635D"/>
    <w:rsid w:val="007769BD"/>
    <w:rsid w:val="00776A5F"/>
    <w:rsid w:val="00776D5A"/>
    <w:rsid w:val="00776DAF"/>
    <w:rsid w:val="00776E39"/>
    <w:rsid w:val="00776EAF"/>
    <w:rsid w:val="00777221"/>
    <w:rsid w:val="00777334"/>
    <w:rsid w:val="00777343"/>
    <w:rsid w:val="0077746A"/>
    <w:rsid w:val="007774EC"/>
    <w:rsid w:val="00777554"/>
    <w:rsid w:val="00777680"/>
    <w:rsid w:val="00777A1D"/>
    <w:rsid w:val="00777B5A"/>
    <w:rsid w:val="00777C4D"/>
    <w:rsid w:val="00777CAE"/>
    <w:rsid w:val="0078015D"/>
    <w:rsid w:val="00780231"/>
    <w:rsid w:val="00780362"/>
    <w:rsid w:val="00780A98"/>
    <w:rsid w:val="00780BA2"/>
    <w:rsid w:val="00780D19"/>
    <w:rsid w:val="00780E1F"/>
    <w:rsid w:val="0078107C"/>
    <w:rsid w:val="00781113"/>
    <w:rsid w:val="0078145C"/>
    <w:rsid w:val="0078173A"/>
    <w:rsid w:val="00781C7B"/>
    <w:rsid w:val="00781FA7"/>
    <w:rsid w:val="007821DC"/>
    <w:rsid w:val="007822F6"/>
    <w:rsid w:val="007823AD"/>
    <w:rsid w:val="0078247A"/>
    <w:rsid w:val="007827C4"/>
    <w:rsid w:val="0078293E"/>
    <w:rsid w:val="00782BF0"/>
    <w:rsid w:val="00782CEB"/>
    <w:rsid w:val="00782DE3"/>
    <w:rsid w:val="007830D3"/>
    <w:rsid w:val="00783110"/>
    <w:rsid w:val="007833B4"/>
    <w:rsid w:val="00783520"/>
    <w:rsid w:val="007836A7"/>
    <w:rsid w:val="007836D0"/>
    <w:rsid w:val="007838AB"/>
    <w:rsid w:val="00783E1F"/>
    <w:rsid w:val="00783F07"/>
    <w:rsid w:val="00783FF3"/>
    <w:rsid w:val="0078418C"/>
    <w:rsid w:val="00784437"/>
    <w:rsid w:val="0078463F"/>
    <w:rsid w:val="00784784"/>
    <w:rsid w:val="00784C82"/>
    <w:rsid w:val="00784CC1"/>
    <w:rsid w:val="00784D45"/>
    <w:rsid w:val="00784F78"/>
    <w:rsid w:val="00785224"/>
    <w:rsid w:val="00785299"/>
    <w:rsid w:val="0078530B"/>
    <w:rsid w:val="007853C1"/>
    <w:rsid w:val="0078541D"/>
    <w:rsid w:val="00785663"/>
    <w:rsid w:val="007858E8"/>
    <w:rsid w:val="00785CF5"/>
    <w:rsid w:val="00785E7B"/>
    <w:rsid w:val="00786138"/>
    <w:rsid w:val="007864EA"/>
    <w:rsid w:val="00786654"/>
    <w:rsid w:val="00787376"/>
    <w:rsid w:val="007873E1"/>
    <w:rsid w:val="007876F3"/>
    <w:rsid w:val="007876FC"/>
    <w:rsid w:val="0079002C"/>
    <w:rsid w:val="00790290"/>
    <w:rsid w:val="0079051F"/>
    <w:rsid w:val="00790587"/>
    <w:rsid w:val="007905DE"/>
    <w:rsid w:val="00790708"/>
    <w:rsid w:val="00790D84"/>
    <w:rsid w:val="00790F06"/>
    <w:rsid w:val="00791656"/>
    <w:rsid w:val="00791721"/>
    <w:rsid w:val="00791963"/>
    <w:rsid w:val="00791A69"/>
    <w:rsid w:val="00791CD9"/>
    <w:rsid w:val="00791D77"/>
    <w:rsid w:val="00791DF9"/>
    <w:rsid w:val="00791ECF"/>
    <w:rsid w:val="00791F1C"/>
    <w:rsid w:val="00791FFD"/>
    <w:rsid w:val="00792004"/>
    <w:rsid w:val="007921A2"/>
    <w:rsid w:val="007922AE"/>
    <w:rsid w:val="007923C4"/>
    <w:rsid w:val="0079282B"/>
    <w:rsid w:val="00792903"/>
    <w:rsid w:val="00792A31"/>
    <w:rsid w:val="00792D0D"/>
    <w:rsid w:val="00793087"/>
    <w:rsid w:val="007930EB"/>
    <w:rsid w:val="00793104"/>
    <w:rsid w:val="00793563"/>
    <w:rsid w:val="007935D3"/>
    <w:rsid w:val="00793621"/>
    <w:rsid w:val="0079395A"/>
    <w:rsid w:val="00794112"/>
    <w:rsid w:val="007947F2"/>
    <w:rsid w:val="00794D2D"/>
    <w:rsid w:val="00794ECA"/>
    <w:rsid w:val="00794EE6"/>
    <w:rsid w:val="007950CC"/>
    <w:rsid w:val="0079513C"/>
    <w:rsid w:val="00795A83"/>
    <w:rsid w:val="00795AED"/>
    <w:rsid w:val="00795B4A"/>
    <w:rsid w:val="00795C91"/>
    <w:rsid w:val="00795CD1"/>
    <w:rsid w:val="00795EE5"/>
    <w:rsid w:val="00795FC9"/>
    <w:rsid w:val="00795FD4"/>
    <w:rsid w:val="007962B5"/>
    <w:rsid w:val="0079630A"/>
    <w:rsid w:val="007964C8"/>
    <w:rsid w:val="007965FD"/>
    <w:rsid w:val="0079672A"/>
    <w:rsid w:val="00796AF0"/>
    <w:rsid w:val="00796C90"/>
    <w:rsid w:val="00796ED4"/>
    <w:rsid w:val="00796F03"/>
    <w:rsid w:val="00797478"/>
    <w:rsid w:val="00797967"/>
    <w:rsid w:val="007A091E"/>
    <w:rsid w:val="007A0CA4"/>
    <w:rsid w:val="007A1470"/>
    <w:rsid w:val="007A1820"/>
    <w:rsid w:val="007A188E"/>
    <w:rsid w:val="007A1987"/>
    <w:rsid w:val="007A1DEF"/>
    <w:rsid w:val="007A2517"/>
    <w:rsid w:val="007A26BB"/>
    <w:rsid w:val="007A2756"/>
    <w:rsid w:val="007A27F6"/>
    <w:rsid w:val="007A2A54"/>
    <w:rsid w:val="007A2BF5"/>
    <w:rsid w:val="007A2EA7"/>
    <w:rsid w:val="007A311D"/>
    <w:rsid w:val="007A3361"/>
    <w:rsid w:val="007A3434"/>
    <w:rsid w:val="007A3A41"/>
    <w:rsid w:val="007A3F29"/>
    <w:rsid w:val="007A4457"/>
    <w:rsid w:val="007A47BA"/>
    <w:rsid w:val="007A49C1"/>
    <w:rsid w:val="007A4E08"/>
    <w:rsid w:val="007A52C4"/>
    <w:rsid w:val="007A541E"/>
    <w:rsid w:val="007A5456"/>
    <w:rsid w:val="007A5608"/>
    <w:rsid w:val="007A5FE9"/>
    <w:rsid w:val="007A6A7A"/>
    <w:rsid w:val="007A6E01"/>
    <w:rsid w:val="007A72C1"/>
    <w:rsid w:val="007A72D0"/>
    <w:rsid w:val="007A7636"/>
    <w:rsid w:val="007A7A8F"/>
    <w:rsid w:val="007A7B7E"/>
    <w:rsid w:val="007A7C2E"/>
    <w:rsid w:val="007A7C4B"/>
    <w:rsid w:val="007A7D54"/>
    <w:rsid w:val="007A7E52"/>
    <w:rsid w:val="007B0638"/>
    <w:rsid w:val="007B0B4B"/>
    <w:rsid w:val="007B0C08"/>
    <w:rsid w:val="007B0CB5"/>
    <w:rsid w:val="007B0D9F"/>
    <w:rsid w:val="007B0E59"/>
    <w:rsid w:val="007B0E7E"/>
    <w:rsid w:val="007B0F93"/>
    <w:rsid w:val="007B10EE"/>
    <w:rsid w:val="007B13B6"/>
    <w:rsid w:val="007B176A"/>
    <w:rsid w:val="007B18BD"/>
    <w:rsid w:val="007B1935"/>
    <w:rsid w:val="007B196B"/>
    <w:rsid w:val="007B1D10"/>
    <w:rsid w:val="007B1F5E"/>
    <w:rsid w:val="007B24A2"/>
    <w:rsid w:val="007B25EF"/>
    <w:rsid w:val="007B2965"/>
    <w:rsid w:val="007B2978"/>
    <w:rsid w:val="007B30BD"/>
    <w:rsid w:val="007B32F6"/>
    <w:rsid w:val="007B33CE"/>
    <w:rsid w:val="007B3508"/>
    <w:rsid w:val="007B3B0F"/>
    <w:rsid w:val="007B3E9D"/>
    <w:rsid w:val="007B4104"/>
    <w:rsid w:val="007B4572"/>
    <w:rsid w:val="007B475C"/>
    <w:rsid w:val="007B49A3"/>
    <w:rsid w:val="007B4B87"/>
    <w:rsid w:val="007B5274"/>
    <w:rsid w:val="007B551A"/>
    <w:rsid w:val="007B5632"/>
    <w:rsid w:val="007B5793"/>
    <w:rsid w:val="007B59EB"/>
    <w:rsid w:val="007B5C97"/>
    <w:rsid w:val="007B5E91"/>
    <w:rsid w:val="007B5F3B"/>
    <w:rsid w:val="007B5F87"/>
    <w:rsid w:val="007B6118"/>
    <w:rsid w:val="007B6178"/>
    <w:rsid w:val="007B61F3"/>
    <w:rsid w:val="007B6512"/>
    <w:rsid w:val="007B667C"/>
    <w:rsid w:val="007B68F2"/>
    <w:rsid w:val="007B6B0B"/>
    <w:rsid w:val="007B78AE"/>
    <w:rsid w:val="007B7E45"/>
    <w:rsid w:val="007BFBE8"/>
    <w:rsid w:val="007C001E"/>
    <w:rsid w:val="007C031B"/>
    <w:rsid w:val="007C07FF"/>
    <w:rsid w:val="007C0B43"/>
    <w:rsid w:val="007C0D44"/>
    <w:rsid w:val="007C0E08"/>
    <w:rsid w:val="007C0F6D"/>
    <w:rsid w:val="007C1167"/>
    <w:rsid w:val="007C13F7"/>
    <w:rsid w:val="007C1498"/>
    <w:rsid w:val="007C1675"/>
    <w:rsid w:val="007C2354"/>
    <w:rsid w:val="007C26B3"/>
    <w:rsid w:val="007C2F4A"/>
    <w:rsid w:val="007C31CA"/>
    <w:rsid w:val="007C39A4"/>
    <w:rsid w:val="007C3FF2"/>
    <w:rsid w:val="007C409A"/>
    <w:rsid w:val="007C46CD"/>
    <w:rsid w:val="007C470B"/>
    <w:rsid w:val="007C4A08"/>
    <w:rsid w:val="007C4C05"/>
    <w:rsid w:val="007C4F91"/>
    <w:rsid w:val="007C522F"/>
    <w:rsid w:val="007C53C8"/>
    <w:rsid w:val="007C5580"/>
    <w:rsid w:val="007C55F6"/>
    <w:rsid w:val="007C56DA"/>
    <w:rsid w:val="007C5729"/>
    <w:rsid w:val="007C58DB"/>
    <w:rsid w:val="007C5B91"/>
    <w:rsid w:val="007C5CBB"/>
    <w:rsid w:val="007C5E8D"/>
    <w:rsid w:val="007C5FB3"/>
    <w:rsid w:val="007C600E"/>
    <w:rsid w:val="007C62B9"/>
    <w:rsid w:val="007C652A"/>
    <w:rsid w:val="007C65C6"/>
    <w:rsid w:val="007C6914"/>
    <w:rsid w:val="007C6A31"/>
    <w:rsid w:val="007C6B7A"/>
    <w:rsid w:val="007C6BC6"/>
    <w:rsid w:val="007C6BDD"/>
    <w:rsid w:val="007C6C02"/>
    <w:rsid w:val="007C73B4"/>
    <w:rsid w:val="007C7EB9"/>
    <w:rsid w:val="007D011E"/>
    <w:rsid w:val="007D0482"/>
    <w:rsid w:val="007D052A"/>
    <w:rsid w:val="007D08A5"/>
    <w:rsid w:val="007D0C88"/>
    <w:rsid w:val="007D0E21"/>
    <w:rsid w:val="007D118D"/>
    <w:rsid w:val="007D168F"/>
    <w:rsid w:val="007D18CA"/>
    <w:rsid w:val="007D1A69"/>
    <w:rsid w:val="007D1A76"/>
    <w:rsid w:val="007D1E0D"/>
    <w:rsid w:val="007D1EFB"/>
    <w:rsid w:val="007D1FBE"/>
    <w:rsid w:val="007D2088"/>
    <w:rsid w:val="007D20FA"/>
    <w:rsid w:val="007D2124"/>
    <w:rsid w:val="007D2376"/>
    <w:rsid w:val="007D23B2"/>
    <w:rsid w:val="007D246A"/>
    <w:rsid w:val="007D24E4"/>
    <w:rsid w:val="007D2729"/>
    <w:rsid w:val="007D2746"/>
    <w:rsid w:val="007D31DB"/>
    <w:rsid w:val="007D32E0"/>
    <w:rsid w:val="007D32ED"/>
    <w:rsid w:val="007D33FD"/>
    <w:rsid w:val="007D34E4"/>
    <w:rsid w:val="007D3666"/>
    <w:rsid w:val="007D3B7E"/>
    <w:rsid w:val="007D3B8D"/>
    <w:rsid w:val="007D4096"/>
    <w:rsid w:val="007D4530"/>
    <w:rsid w:val="007D453D"/>
    <w:rsid w:val="007D4595"/>
    <w:rsid w:val="007D46EA"/>
    <w:rsid w:val="007D472E"/>
    <w:rsid w:val="007D4CE2"/>
    <w:rsid w:val="007D4DB3"/>
    <w:rsid w:val="007D4DBC"/>
    <w:rsid w:val="007D539A"/>
    <w:rsid w:val="007D599C"/>
    <w:rsid w:val="007D59CB"/>
    <w:rsid w:val="007D5CB7"/>
    <w:rsid w:val="007D6078"/>
    <w:rsid w:val="007D6506"/>
    <w:rsid w:val="007D6665"/>
    <w:rsid w:val="007D680A"/>
    <w:rsid w:val="007D6B68"/>
    <w:rsid w:val="007D6BF6"/>
    <w:rsid w:val="007D6C46"/>
    <w:rsid w:val="007D6EEC"/>
    <w:rsid w:val="007D7167"/>
    <w:rsid w:val="007D734E"/>
    <w:rsid w:val="007D774E"/>
    <w:rsid w:val="007D7C49"/>
    <w:rsid w:val="007E000E"/>
    <w:rsid w:val="007E0603"/>
    <w:rsid w:val="007E093D"/>
    <w:rsid w:val="007E0B49"/>
    <w:rsid w:val="007E0D37"/>
    <w:rsid w:val="007E0EB5"/>
    <w:rsid w:val="007E0F7F"/>
    <w:rsid w:val="007E1039"/>
    <w:rsid w:val="007E121A"/>
    <w:rsid w:val="007E1402"/>
    <w:rsid w:val="007E15CA"/>
    <w:rsid w:val="007E18EF"/>
    <w:rsid w:val="007E1A2F"/>
    <w:rsid w:val="007E1B1D"/>
    <w:rsid w:val="007E1E44"/>
    <w:rsid w:val="007E2080"/>
    <w:rsid w:val="007E23F5"/>
    <w:rsid w:val="007E2669"/>
    <w:rsid w:val="007E26FD"/>
    <w:rsid w:val="007E2716"/>
    <w:rsid w:val="007E2D10"/>
    <w:rsid w:val="007E30F9"/>
    <w:rsid w:val="007E33A0"/>
    <w:rsid w:val="007E3585"/>
    <w:rsid w:val="007E3647"/>
    <w:rsid w:val="007E3B1F"/>
    <w:rsid w:val="007E3B3F"/>
    <w:rsid w:val="007E3DB9"/>
    <w:rsid w:val="007E3DBB"/>
    <w:rsid w:val="007E428B"/>
    <w:rsid w:val="007E46B0"/>
    <w:rsid w:val="007E4708"/>
    <w:rsid w:val="007E4A1A"/>
    <w:rsid w:val="007E4A96"/>
    <w:rsid w:val="007E4BBF"/>
    <w:rsid w:val="007E52B4"/>
    <w:rsid w:val="007E545C"/>
    <w:rsid w:val="007E5492"/>
    <w:rsid w:val="007E55F9"/>
    <w:rsid w:val="007E5618"/>
    <w:rsid w:val="007E56CB"/>
    <w:rsid w:val="007E62DC"/>
    <w:rsid w:val="007E647F"/>
    <w:rsid w:val="007E6A79"/>
    <w:rsid w:val="007E6AA5"/>
    <w:rsid w:val="007E6D48"/>
    <w:rsid w:val="007E6DC2"/>
    <w:rsid w:val="007E71FB"/>
    <w:rsid w:val="007E7564"/>
    <w:rsid w:val="007E75A2"/>
    <w:rsid w:val="007E75F4"/>
    <w:rsid w:val="007E769F"/>
    <w:rsid w:val="007E79C0"/>
    <w:rsid w:val="007E7A50"/>
    <w:rsid w:val="007E7CF9"/>
    <w:rsid w:val="007F0779"/>
    <w:rsid w:val="007F0986"/>
    <w:rsid w:val="007F0DA8"/>
    <w:rsid w:val="007F12A2"/>
    <w:rsid w:val="007F1511"/>
    <w:rsid w:val="007F1926"/>
    <w:rsid w:val="007F1BFE"/>
    <w:rsid w:val="007F1CA4"/>
    <w:rsid w:val="007F220E"/>
    <w:rsid w:val="007F24E3"/>
    <w:rsid w:val="007F2805"/>
    <w:rsid w:val="007F2E1F"/>
    <w:rsid w:val="007F30F7"/>
    <w:rsid w:val="007F36BF"/>
    <w:rsid w:val="007F37DF"/>
    <w:rsid w:val="007F3975"/>
    <w:rsid w:val="007F399D"/>
    <w:rsid w:val="007F3B23"/>
    <w:rsid w:val="007F3B73"/>
    <w:rsid w:val="007F3E68"/>
    <w:rsid w:val="007F3ECE"/>
    <w:rsid w:val="007F4076"/>
    <w:rsid w:val="007F40EA"/>
    <w:rsid w:val="007F4485"/>
    <w:rsid w:val="007F4618"/>
    <w:rsid w:val="007F464C"/>
    <w:rsid w:val="007F46A8"/>
    <w:rsid w:val="007F47AF"/>
    <w:rsid w:val="007F483F"/>
    <w:rsid w:val="007F4CB4"/>
    <w:rsid w:val="007F4CC9"/>
    <w:rsid w:val="007F4EF6"/>
    <w:rsid w:val="007F52BA"/>
    <w:rsid w:val="007F5495"/>
    <w:rsid w:val="007F5569"/>
    <w:rsid w:val="007F561F"/>
    <w:rsid w:val="007F574D"/>
    <w:rsid w:val="007F5A7A"/>
    <w:rsid w:val="007F5C49"/>
    <w:rsid w:val="007F5EC1"/>
    <w:rsid w:val="007F5FB5"/>
    <w:rsid w:val="007F5FF2"/>
    <w:rsid w:val="007F65BA"/>
    <w:rsid w:val="007F6603"/>
    <w:rsid w:val="007F681B"/>
    <w:rsid w:val="007F6F9A"/>
    <w:rsid w:val="007F762B"/>
    <w:rsid w:val="007F7689"/>
    <w:rsid w:val="007F7773"/>
    <w:rsid w:val="007F779E"/>
    <w:rsid w:val="007F79A4"/>
    <w:rsid w:val="007F7A08"/>
    <w:rsid w:val="007F7A5B"/>
    <w:rsid w:val="007F7EA5"/>
    <w:rsid w:val="007F7FF5"/>
    <w:rsid w:val="00800301"/>
    <w:rsid w:val="008003FF"/>
    <w:rsid w:val="00800664"/>
    <w:rsid w:val="008006F7"/>
    <w:rsid w:val="00800A41"/>
    <w:rsid w:val="00800DE3"/>
    <w:rsid w:val="00800FB6"/>
    <w:rsid w:val="008011DF"/>
    <w:rsid w:val="00801311"/>
    <w:rsid w:val="00801721"/>
    <w:rsid w:val="00801810"/>
    <w:rsid w:val="00801936"/>
    <w:rsid w:val="0080195A"/>
    <w:rsid w:val="00801F4B"/>
    <w:rsid w:val="008020E8"/>
    <w:rsid w:val="00802616"/>
    <w:rsid w:val="008027D6"/>
    <w:rsid w:val="00802A43"/>
    <w:rsid w:val="00802B4D"/>
    <w:rsid w:val="00802B6E"/>
    <w:rsid w:val="00802F86"/>
    <w:rsid w:val="008031A5"/>
    <w:rsid w:val="008031EB"/>
    <w:rsid w:val="008032AD"/>
    <w:rsid w:val="0080378F"/>
    <w:rsid w:val="00803935"/>
    <w:rsid w:val="00803D1C"/>
    <w:rsid w:val="00803D32"/>
    <w:rsid w:val="008045A4"/>
    <w:rsid w:val="008048D2"/>
    <w:rsid w:val="00804F24"/>
    <w:rsid w:val="008051AF"/>
    <w:rsid w:val="0080558C"/>
    <w:rsid w:val="00805590"/>
    <w:rsid w:val="008058BC"/>
    <w:rsid w:val="008058CD"/>
    <w:rsid w:val="0080591B"/>
    <w:rsid w:val="0080620D"/>
    <w:rsid w:val="00806436"/>
    <w:rsid w:val="00806546"/>
    <w:rsid w:val="008066B0"/>
    <w:rsid w:val="008068F3"/>
    <w:rsid w:val="00806A83"/>
    <w:rsid w:val="00806F21"/>
    <w:rsid w:val="00806FA1"/>
    <w:rsid w:val="0080708D"/>
    <w:rsid w:val="00807260"/>
    <w:rsid w:val="008073A8"/>
    <w:rsid w:val="00807A84"/>
    <w:rsid w:val="00807B4F"/>
    <w:rsid w:val="00807B72"/>
    <w:rsid w:val="00807B7E"/>
    <w:rsid w:val="00807BA2"/>
    <w:rsid w:val="00810362"/>
    <w:rsid w:val="00810663"/>
    <w:rsid w:val="00810C61"/>
    <w:rsid w:val="00810F3C"/>
    <w:rsid w:val="00811070"/>
    <w:rsid w:val="00811085"/>
    <w:rsid w:val="0081112D"/>
    <w:rsid w:val="0081114B"/>
    <w:rsid w:val="008112A5"/>
    <w:rsid w:val="008117B3"/>
    <w:rsid w:val="00811D9F"/>
    <w:rsid w:val="0081205F"/>
    <w:rsid w:val="0081229E"/>
    <w:rsid w:val="00812337"/>
    <w:rsid w:val="00812547"/>
    <w:rsid w:val="00812791"/>
    <w:rsid w:val="008128D2"/>
    <w:rsid w:val="00812B73"/>
    <w:rsid w:val="00812D65"/>
    <w:rsid w:val="00812E0C"/>
    <w:rsid w:val="008134EA"/>
    <w:rsid w:val="008138CB"/>
    <w:rsid w:val="00813C11"/>
    <w:rsid w:val="00813CE3"/>
    <w:rsid w:val="00813D8A"/>
    <w:rsid w:val="00814178"/>
    <w:rsid w:val="008141BD"/>
    <w:rsid w:val="00814348"/>
    <w:rsid w:val="008145A4"/>
    <w:rsid w:val="008146CD"/>
    <w:rsid w:val="00814EFA"/>
    <w:rsid w:val="00814F22"/>
    <w:rsid w:val="00814F81"/>
    <w:rsid w:val="00815026"/>
    <w:rsid w:val="00815097"/>
    <w:rsid w:val="008153EE"/>
    <w:rsid w:val="008154F0"/>
    <w:rsid w:val="008155CB"/>
    <w:rsid w:val="0081564F"/>
    <w:rsid w:val="008158D9"/>
    <w:rsid w:val="00815B3A"/>
    <w:rsid w:val="00815B4D"/>
    <w:rsid w:val="00815CC6"/>
    <w:rsid w:val="008167F9"/>
    <w:rsid w:val="00816895"/>
    <w:rsid w:val="00816988"/>
    <w:rsid w:val="00816F3A"/>
    <w:rsid w:val="00816FF3"/>
    <w:rsid w:val="0081711D"/>
    <w:rsid w:val="0081721A"/>
    <w:rsid w:val="008172DE"/>
    <w:rsid w:val="00817384"/>
    <w:rsid w:val="00817497"/>
    <w:rsid w:val="008174A2"/>
    <w:rsid w:val="0081755E"/>
    <w:rsid w:val="0081758C"/>
    <w:rsid w:val="00817798"/>
    <w:rsid w:val="008177C0"/>
    <w:rsid w:val="00817C6C"/>
    <w:rsid w:val="00817EF3"/>
    <w:rsid w:val="0082013E"/>
    <w:rsid w:val="008201D0"/>
    <w:rsid w:val="008201E2"/>
    <w:rsid w:val="00820706"/>
    <w:rsid w:val="00820A3B"/>
    <w:rsid w:val="00820AAE"/>
    <w:rsid w:val="00820AF9"/>
    <w:rsid w:val="00820B6A"/>
    <w:rsid w:val="00820C0B"/>
    <w:rsid w:val="008211C9"/>
    <w:rsid w:val="008212F5"/>
    <w:rsid w:val="00821513"/>
    <w:rsid w:val="00821C2F"/>
    <w:rsid w:val="00821DAC"/>
    <w:rsid w:val="00821E81"/>
    <w:rsid w:val="00821F88"/>
    <w:rsid w:val="00822188"/>
    <w:rsid w:val="008221AE"/>
    <w:rsid w:val="0082221B"/>
    <w:rsid w:val="008223EB"/>
    <w:rsid w:val="00822A60"/>
    <w:rsid w:val="00822B28"/>
    <w:rsid w:val="00822CDA"/>
    <w:rsid w:val="00822D29"/>
    <w:rsid w:val="00822FAE"/>
    <w:rsid w:val="008233EB"/>
    <w:rsid w:val="00823400"/>
    <w:rsid w:val="0082354E"/>
    <w:rsid w:val="00823908"/>
    <w:rsid w:val="00823A1F"/>
    <w:rsid w:val="00823C1E"/>
    <w:rsid w:val="00823CAA"/>
    <w:rsid w:val="00823E18"/>
    <w:rsid w:val="008243B9"/>
    <w:rsid w:val="00824692"/>
    <w:rsid w:val="008248F4"/>
    <w:rsid w:val="0082496B"/>
    <w:rsid w:val="00824C11"/>
    <w:rsid w:val="00824D3E"/>
    <w:rsid w:val="00824E8D"/>
    <w:rsid w:val="00825093"/>
    <w:rsid w:val="0082527C"/>
    <w:rsid w:val="00825467"/>
    <w:rsid w:val="008256D5"/>
    <w:rsid w:val="008257A8"/>
    <w:rsid w:val="00825B8B"/>
    <w:rsid w:val="008260F5"/>
    <w:rsid w:val="00826137"/>
    <w:rsid w:val="008262D1"/>
    <w:rsid w:val="00826493"/>
    <w:rsid w:val="00826A77"/>
    <w:rsid w:val="00826D2B"/>
    <w:rsid w:val="00826D4C"/>
    <w:rsid w:val="008270DA"/>
    <w:rsid w:val="008270E0"/>
    <w:rsid w:val="00827605"/>
    <w:rsid w:val="00827721"/>
    <w:rsid w:val="00827B7E"/>
    <w:rsid w:val="00827C93"/>
    <w:rsid w:val="00827D2D"/>
    <w:rsid w:val="008301BC"/>
    <w:rsid w:val="00830266"/>
    <w:rsid w:val="008302AA"/>
    <w:rsid w:val="00830425"/>
    <w:rsid w:val="00830993"/>
    <w:rsid w:val="008309D9"/>
    <w:rsid w:val="00830A43"/>
    <w:rsid w:val="00830B00"/>
    <w:rsid w:val="00830CEA"/>
    <w:rsid w:val="00830D74"/>
    <w:rsid w:val="00830F43"/>
    <w:rsid w:val="0083140D"/>
    <w:rsid w:val="008315F6"/>
    <w:rsid w:val="00831679"/>
    <w:rsid w:val="00831BCB"/>
    <w:rsid w:val="00831D5F"/>
    <w:rsid w:val="00831D6E"/>
    <w:rsid w:val="00831E1E"/>
    <w:rsid w:val="00832199"/>
    <w:rsid w:val="0083231E"/>
    <w:rsid w:val="008324A5"/>
    <w:rsid w:val="00832506"/>
    <w:rsid w:val="0083259F"/>
    <w:rsid w:val="00832C24"/>
    <w:rsid w:val="00832C4F"/>
    <w:rsid w:val="00832D98"/>
    <w:rsid w:val="00832FB5"/>
    <w:rsid w:val="00832FDF"/>
    <w:rsid w:val="00832FE2"/>
    <w:rsid w:val="008332AC"/>
    <w:rsid w:val="00833383"/>
    <w:rsid w:val="008336E3"/>
    <w:rsid w:val="00833846"/>
    <w:rsid w:val="00833967"/>
    <w:rsid w:val="00833A79"/>
    <w:rsid w:val="00833A9C"/>
    <w:rsid w:val="00833E0B"/>
    <w:rsid w:val="00834415"/>
    <w:rsid w:val="0083466F"/>
    <w:rsid w:val="008346FC"/>
    <w:rsid w:val="00834902"/>
    <w:rsid w:val="00834986"/>
    <w:rsid w:val="00834DDD"/>
    <w:rsid w:val="00834EF3"/>
    <w:rsid w:val="00835119"/>
    <w:rsid w:val="008351A6"/>
    <w:rsid w:val="008355C7"/>
    <w:rsid w:val="008357A0"/>
    <w:rsid w:val="00835929"/>
    <w:rsid w:val="00835DD6"/>
    <w:rsid w:val="00835F72"/>
    <w:rsid w:val="00835F77"/>
    <w:rsid w:val="00836189"/>
    <w:rsid w:val="008366E4"/>
    <w:rsid w:val="00836CF1"/>
    <w:rsid w:val="00836D5B"/>
    <w:rsid w:val="00836E9C"/>
    <w:rsid w:val="0083737E"/>
    <w:rsid w:val="0083757E"/>
    <w:rsid w:val="00837812"/>
    <w:rsid w:val="00837A9B"/>
    <w:rsid w:val="00837C77"/>
    <w:rsid w:val="00837E8D"/>
    <w:rsid w:val="00837FD1"/>
    <w:rsid w:val="008403C3"/>
    <w:rsid w:val="008404AA"/>
    <w:rsid w:val="00840631"/>
    <w:rsid w:val="0084075F"/>
    <w:rsid w:val="00840A17"/>
    <w:rsid w:val="00840EB0"/>
    <w:rsid w:val="00840EF5"/>
    <w:rsid w:val="00841FB4"/>
    <w:rsid w:val="00842275"/>
    <w:rsid w:val="008422A6"/>
    <w:rsid w:val="00842765"/>
    <w:rsid w:val="008428BD"/>
    <w:rsid w:val="00842DD0"/>
    <w:rsid w:val="008431D5"/>
    <w:rsid w:val="00843832"/>
    <w:rsid w:val="00843873"/>
    <w:rsid w:val="008439A3"/>
    <w:rsid w:val="00844668"/>
    <w:rsid w:val="00844788"/>
    <w:rsid w:val="0084498F"/>
    <w:rsid w:val="00844ADF"/>
    <w:rsid w:val="00844BD1"/>
    <w:rsid w:val="00844FA1"/>
    <w:rsid w:val="008451BC"/>
    <w:rsid w:val="0084527C"/>
    <w:rsid w:val="0084543F"/>
    <w:rsid w:val="0084545A"/>
    <w:rsid w:val="00845489"/>
    <w:rsid w:val="008456B1"/>
    <w:rsid w:val="0084582C"/>
    <w:rsid w:val="008459CD"/>
    <w:rsid w:val="00845AD7"/>
    <w:rsid w:val="0084631A"/>
    <w:rsid w:val="008463FE"/>
    <w:rsid w:val="0084642C"/>
    <w:rsid w:val="00846555"/>
    <w:rsid w:val="00846872"/>
    <w:rsid w:val="00846B7E"/>
    <w:rsid w:val="00846C8C"/>
    <w:rsid w:val="008473FE"/>
    <w:rsid w:val="00847403"/>
    <w:rsid w:val="008474C6"/>
    <w:rsid w:val="008475AA"/>
    <w:rsid w:val="008501AE"/>
    <w:rsid w:val="0085040C"/>
    <w:rsid w:val="00850595"/>
    <w:rsid w:val="00850B49"/>
    <w:rsid w:val="00850B7D"/>
    <w:rsid w:val="00850CD1"/>
    <w:rsid w:val="0085102C"/>
    <w:rsid w:val="008511C7"/>
    <w:rsid w:val="008515EE"/>
    <w:rsid w:val="0085180B"/>
    <w:rsid w:val="00851E12"/>
    <w:rsid w:val="0085216D"/>
    <w:rsid w:val="008522FD"/>
    <w:rsid w:val="008523D8"/>
    <w:rsid w:val="008523DC"/>
    <w:rsid w:val="00852483"/>
    <w:rsid w:val="00852527"/>
    <w:rsid w:val="008529F1"/>
    <w:rsid w:val="00852CF7"/>
    <w:rsid w:val="00853107"/>
    <w:rsid w:val="00853309"/>
    <w:rsid w:val="00853846"/>
    <w:rsid w:val="00853E07"/>
    <w:rsid w:val="00853E12"/>
    <w:rsid w:val="00853FEA"/>
    <w:rsid w:val="00854249"/>
    <w:rsid w:val="00854652"/>
    <w:rsid w:val="008546FE"/>
    <w:rsid w:val="008551EC"/>
    <w:rsid w:val="00855467"/>
    <w:rsid w:val="00855B01"/>
    <w:rsid w:val="00855B25"/>
    <w:rsid w:val="00855FFF"/>
    <w:rsid w:val="00856054"/>
    <w:rsid w:val="00856286"/>
    <w:rsid w:val="008564DF"/>
    <w:rsid w:val="008566B8"/>
    <w:rsid w:val="00856AC5"/>
    <w:rsid w:val="00856E46"/>
    <w:rsid w:val="0085722D"/>
    <w:rsid w:val="008572EA"/>
    <w:rsid w:val="00857966"/>
    <w:rsid w:val="00857A82"/>
    <w:rsid w:val="00857B0D"/>
    <w:rsid w:val="00857B15"/>
    <w:rsid w:val="00857C82"/>
    <w:rsid w:val="00857CDA"/>
    <w:rsid w:val="008602EA"/>
    <w:rsid w:val="00860633"/>
    <w:rsid w:val="00860665"/>
    <w:rsid w:val="0086077E"/>
    <w:rsid w:val="00860AEA"/>
    <w:rsid w:val="00860B8F"/>
    <w:rsid w:val="00860EBB"/>
    <w:rsid w:val="00860F03"/>
    <w:rsid w:val="008610CE"/>
    <w:rsid w:val="008612DD"/>
    <w:rsid w:val="008615F9"/>
    <w:rsid w:val="008618D4"/>
    <w:rsid w:val="00861AAE"/>
    <w:rsid w:val="00861AFA"/>
    <w:rsid w:val="008620B6"/>
    <w:rsid w:val="00862205"/>
    <w:rsid w:val="008622C4"/>
    <w:rsid w:val="008622EA"/>
    <w:rsid w:val="00862878"/>
    <w:rsid w:val="00862AA2"/>
    <w:rsid w:val="008630DD"/>
    <w:rsid w:val="00863283"/>
    <w:rsid w:val="00863ADB"/>
    <w:rsid w:val="00864050"/>
    <w:rsid w:val="0086416A"/>
    <w:rsid w:val="008641B9"/>
    <w:rsid w:val="008642F8"/>
    <w:rsid w:val="00864C76"/>
    <w:rsid w:val="00864D41"/>
    <w:rsid w:val="00864E67"/>
    <w:rsid w:val="00864EBC"/>
    <w:rsid w:val="00865ADE"/>
    <w:rsid w:val="00865BB4"/>
    <w:rsid w:val="00865E33"/>
    <w:rsid w:val="00866336"/>
    <w:rsid w:val="00866763"/>
    <w:rsid w:val="0086677B"/>
    <w:rsid w:val="00866E90"/>
    <w:rsid w:val="00866EE3"/>
    <w:rsid w:val="00866FAB"/>
    <w:rsid w:val="00867245"/>
    <w:rsid w:val="008673AD"/>
    <w:rsid w:val="008673FA"/>
    <w:rsid w:val="008676DA"/>
    <w:rsid w:val="00867A81"/>
    <w:rsid w:val="00867BD4"/>
    <w:rsid w:val="00867BDC"/>
    <w:rsid w:val="00867D4D"/>
    <w:rsid w:val="00867EAF"/>
    <w:rsid w:val="0087030D"/>
    <w:rsid w:val="008703D7"/>
    <w:rsid w:val="008705B0"/>
    <w:rsid w:val="008706A0"/>
    <w:rsid w:val="008706C7"/>
    <w:rsid w:val="00870F01"/>
    <w:rsid w:val="00871389"/>
    <w:rsid w:val="008716F7"/>
    <w:rsid w:val="0087197A"/>
    <w:rsid w:val="00871CF2"/>
    <w:rsid w:val="00871D23"/>
    <w:rsid w:val="00871D43"/>
    <w:rsid w:val="00871D9C"/>
    <w:rsid w:val="008720FA"/>
    <w:rsid w:val="008721D2"/>
    <w:rsid w:val="008725DB"/>
    <w:rsid w:val="0087271D"/>
    <w:rsid w:val="00872CC3"/>
    <w:rsid w:val="00872D39"/>
    <w:rsid w:val="00872DCA"/>
    <w:rsid w:val="00872DF4"/>
    <w:rsid w:val="00872F15"/>
    <w:rsid w:val="00873033"/>
    <w:rsid w:val="00873089"/>
    <w:rsid w:val="008734BC"/>
    <w:rsid w:val="00873617"/>
    <w:rsid w:val="00873738"/>
    <w:rsid w:val="008737B0"/>
    <w:rsid w:val="008739C3"/>
    <w:rsid w:val="00873ECB"/>
    <w:rsid w:val="008740E8"/>
    <w:rsid w:val="00874216"/>
    <w:rsid w:val="008742C3"/>
    <w:rsid w:val="00874734"/>
    <w:rsid w:val="00874851"/>
    <w:rsid w:val="008748AA"/>
    <w:rsid w:val="008748DF"/>
    <w:rsid w:val="00874ECD"/>
    <w:rsid w:val="008751A9"/>
    <w:rsid w:val="00875271"/>
    <w:rsid w:val="0087528E"/>
    <w:rsid w:val="00875313"/>
    <w:rsid w:val="0087536D"/>
    <w:rsid w:val="008753F7"/>
    <w:rsid w:val="008756AD"/>
    <w:rsid w:val="0087581A"/>
    <w:rsid w:val="008758A1"/>
    <w:rsid w:val="00875A66"/>
    <w:rsid w:val="00875D05"/>
    <w:rsid w:val="008761BA"/>
    <w:rsid w:val="00876657"/>
    <w:rsid w:val="00876B7E"/>
    <w:rsid w:val="00877431"/>
    <w:rsid w:val="008777AB"/>
    <w:rsid w:val="008777AF"/>
    <w:rsid w:val="008800DF"/>
    <w:rsid w:val="008800FA"/>
    <w:rsid w:val="0088020C"/>
    <w:rsid w:val="00880694"/>
    <w:rsid w:val="00880A83"/>
    <w:rsid w:val="00880F42"/>
    <w:rsid w:val="00880F8B"/>
    <w:rsid w:val="0088159B"/>
    <w:rsid w:val="008819C5"/>
    <w:rsid w:val="00881A4C"/>
    <w:rsid w:val="00881C03"/>
    <w:rsid w:val="00881CAD"/>
    <w:rsid w:val="00881E09"/>
    <w:rsid w:val="00881E60"/>
    <w:rsid w:val="0088210C"/>
    <w:rsid w:val="00882269"/>
    <w:rsid w:val="008823A6"/>
    <w:rsid w:val="008827A4"/>
    <w:rsid w:val="00882967"/>
    <w:rsid w:val="00882B60"/>
    <w:rsid w:val="00882B93"/>
    <w:rsid w:val="00882B95"/>
    <w:rsid w:val="00882CDF"/>
    <w:rsid w:val="00882E0C"/>
    <w:rsid w:val="008833E2"/>
    <w:rsid w:val="008836F4"/>
    <w:rsid w:val="008837D5"/>
    <w:rsid w:val="00883C9C"/>
    <w:rsid w:val="00883CC8"/>
    <w:rsid w:val="00883DF4"/>
    <w:rsid w:val="008840F0"/>
    <w:rsid w:val="008844E7"/>
    <w:rsid w:val="00884521"/>
    <w:rsid w:val="008845C5"/>
    <w:rsid w:val="0088469D"/>
    <w:rsid w:val="00884700"/>
    <w:rsid w:val="00884725"/>
    <w:rsid w:val="008848A2"/>
    <w:rsid w:val="00884983"/>
    <w:rsid w:val="008849CF"/>
    <w:rsid w:val="00884FD7"/>
    <w:rsid w:val="00885818"/>
    <w:rsid w:val="00885DEC"/>
    <w:rsid w:val="00886031"/>
    <w:rsid w:val="00886481"/>
    <w:rsid w:val="00886965"/>
    <w:rsid w:val="00886A34"/>
    <w:rsid w:val="00886A7A"/>
    <w:rsid w:val="00886C35"/>
    <w:rsid w:val="00886D07"/>
    <w:rsid w:val="0088752E"/>
    <w:rsid w:val="00887794"/>
    <w:rsid w:val="00887EAE"/>
    <w:rsid w:val="00887F29"/>
    <w:rsid w:val="0089017A"/>
    <w:rsid w:val="008905CF"/>
    <w:rsid w:val="008909A9"/>
    <w:rsid w:val="00890FBB"/>
    <w:rsid w:val="00890FD5"/>
    <w:rsid w:val="00890FF8"/>
    <w:rsid w:val="008911B9"/>
    <w:rsid w:val="00891464"/>
    <w:rsid w:val="00891809"/>
    <w:rsid w:val="00891A32"/>
    <w:rsid w:val="00891A90"/>
    <w:rsid w:val="00891CD0"/>
    <w:rsid w:val="00891DB6"/>
    <w:rsid w:val="00891E54"/>
    <w:rsid w:val="0089212F"/>
    <w:rsid w:val="00892273"/>
    <w:rsid w:val="008923C7"/>
    <w:rsid w:val="008923D6"/>
    <w:rsid w:val="00892411"/>
    <w:rsid w:val="008929FD"/>
    <w:rsid w:val="00892CC5"/>
    <w:rsid w:val="00892CF2"/>
    <w:rsid w:val="00892DC1"/>
    <w:rsid w:val="00892DF9"/>
    <w:rsid w:val="00892F5B"/>
    <w:rsid w:val="00893C7E"/>
    <w:rsid w:val="00893D84"/>
    <w:rsid w:val="00893E15"/>
    <w:rsid w:val="0089415C"/>
    <w:rsid w:val="00894413"/>
    <w:rsid w:val="008944A8"/>
    <w:rsid w:val="008947A2"/>
    <w:rsid w:val="008949D7"/>
    <w:rsid w:val="00894E79"/>
    <w:rsid w:val="00894EFE"/>
    <w:rsid w:val="00895215"/>
    <w:rsid w:val="00895CDA"/>
    <w:rsid w:val="00896326"/>
    <w:rsid w:val="00896C64"/>
    <w:rsid w:val="00896F72"/>
    <w:rsid w:val="0089762B"/>
    <w:rsid w:val="008976F7"/>
    <w:rsid w:val="008978ED"/>
    <w:rsid w:val="0089799A"/>
    <w:rsid w:val="00897AD3"/>
    <w:rsid w:val="00897CF7"/>
    <w:rsid w:val="008A0263"/>
    <w:rsid w:val="008A02C0"/>
    <w:rsid w:val="008A0433"/>
    <w:rsid w:val="008A062C"/>
    <w:rsid w:val="008A0913"/>
    <w:rsid w:val="008A0A86"/>
    <w:rsid w:val="008A0B00"/>
    <w:rsid w:val="008A0D7D"/>
    <w:rsid w:val="008A0EA3"/>
    <w:rsid w:val="008A0EC6"/>
    <w:rsid w:val="008A0F06"/>
    <w:rsid w:val="008A1455"/>
    <w:rsid w:val="008A15FF"/>
    <w:rsid w:val="008A18A4"/>
    <w:rsid w:val="008A192D"/>
    <w:rsid w:val="008A1BA8"/>
    <w:rsid w:val="008A1EEF"/>
    <w:rsid w:val="008A2399"/>
    <w:rsid w:val="008A2541"/>
    <w:rsid w:val="008A25D2"/>
    <w:rsid w:val="008A2BEF"/>
    <w:rsid w:val="008A2E07"/>
    <w:rsid w:val="008A2FFF"/>
    <w:rsid w:val="008A3127"/>
    <w:rsid w:val="008A316C"/>
    <w:rsid w:val="008A32AA"/>
    <w:rsid w:val="008A33B3"/>
    <w:rsid w:val="008A35B9"/>
    <w:rsid w:val="008A46C2"/>
    <w:rsid w:val="008A487F"/>
    <w:rsid w:val="008A4904"/>
    <w:rsid w:val="008A4B7F"/>
    <w:rsid w:val="008A4BD0"/>
    <w:rsid w:val="008A4CD3"/>
    <w:rsid w:val="008A4D1D"/>
    <w:rsid w:val="008A4EA3"/>
    <w:rsid w:val="008A4FCD"/>
    <w:rsid w:val="008A4FFA"/>
    <w:rsid w:val="008A504D"/>
    <w:rsid w:val="008A5088"/>
    <w:rsid w:val="008A527E"/>
    <w:rsid w:val="008A5579"/>
    <w:rsid w:val="008A57F9"/>
    <w:rsid w:val="008A5802"/>
    <w:rsid w:val="008A5C66"/>
    <w:rsid w:val="008A5D9C"/>
    <w:rsid w:val="008A5E1A"/>
    <w:rsid w:val="008A6428"/>
    <w:rsid w:val="008A6A05"/>
    <w:rsid w:val="008A6A55"/>
    <w:rsid w:val="008A6C6F"/>
    <w:rsid w:val="008A7368"/>
    <w:rsid w:val="008A7A52"/>
    <w:rsid w:val="008A7C9E"/>
    <w:rsid w:val="008A7D7B"/>
    <w:rsid w:val="008A7E00"/>
    <w:rsid w:val="008B0107"/>
    <w:rsid w:val="008B02DB"/>
    <w:rsid w:val="008B06A8"/>
    <w:rsid w:val="008B06C3"/>
    <w:rsid w:val="008B075B"/>
    <w:rsid w:val="008B08F7"/>
    <w:rsid w:val="008B0908"/>
    <w:rsid w:val="008B09CD"/>
    <w:rsid w:val="008B0AC7"/>
    <w:rsid w:val="008B0D35"/>
    <w:rsid w:val="008B1135"/>
    <w:rsid w:val="008B11E8"/>
    <w:rsid w:val="008B121D"/>
    <w:rsid w:val="008B140E"/>
    <w:rsid w:val="008B1417"/>
    <w:rsid w:val="008B1D54"/>
    <w:rsid w:val="008B1ECE"/>
    <w:rsid w:val="008B20CE"/>
    <w:rsid w:val="008B22BE"/>
    <w:rsid w:val="008B23C9"/>
    <w:rsid w:val="008B23F2"/>
    <w:rsid w:val="008B2464"/>
    <w:rsid w:val="008B26D0"/>
    <w:rsid w:val="008B2707"/>
    <w:rsid w:val="008B2860"/>
    <w:rsid w:val="008B290C"/>
    <w:rsid w:val="008B2DDE"/>
    <w:rsid w:val="008B3120"/>
    <w:rsid w:val="008B32EA"/>
    <w:rsid w:val="008B3616"/>
    <w:rsid w:val="008B3739"/>
    <w:rsid w:val="008B375B"/>
    <w:rsid w:val="008B3907"/>
    <w:rsid w:val="008B39A3"/>
    <w:rsid w:val="008B39A4"/>
    <w:rsid w:val="008B3A45"/>
    <w:rsid w:val="008B3B37"/>
    <w:rsid w:val="008B4598"/>
    <w:rsid w:val="008B459D"/>
    <w:rsid w:val="008B4891"/>
    <w:rsid w:val="008B48EE"/>
    <w:rsid w:val="008B4AEC"/>
    <w:rsid w:val="008B4BE6"/>
    <w:rsid w:val="008B4ECB"/>
    <w:rsid w:val="008B541A"/>
    <w:rsid w:val="008B551D"/>
    <w:rsid w:val="008B5611"/>
    <w:rsid w:val="008B599B"/>
    <w:rsid w:val="008B5AE5"/>
    <w:rsid w:val="008B5C2B"/>
    <w:rsid w:val="008B5D51"/>
    <w:rsid w:val="008B5F7D"/>
    <w:rsid w:val="008B60C6"/>
    <w:rsid w:val="008B62DA"/>
    <w:rsid w:val="008B62E5"/>
    <w:rsid w:val="008B650C"/>
    <w:rsid w:val="008B65BE"/>
    <w:rsid w:val="008B6623"/>
    <w:rsid w:val="008B69B2"/>
    <w:rsid w:val="008B69F3"/>
    <w:rsid w:val="008B6AB2"/>
    <w:rsid w:val="008B6E16"/>
    <w:rsid w:val="008B7159"/>
    <w:rsid w:val="008B7D72"/>
    <w:rsid w:val="008B7D7F"/>
    <w:rsid w:val="008B7DCC"/>
    <w:rsid w:val="008C0596"/>
    <w:rsid w:val="008C060C"/>
    <w:rsid w:val="008C0AA1"/>
    <w:rsid w:val="008C0D31"/>
    <w:rsid w:val="008C0DC9"/>
    <w:rsid w:val="008C0DDB"/>
    <w:rsid w:val="008C0F3C"/>
    <w:rsid w:val="008C103B"/>
    <w:rsid w:val="008C113B"/>
    <w:rsid w:val="008C1582"/>
    <w:rsid w:val="008C1857"/>
    <w:rsid w:val="008C1893"/>
    <w:rsid w:val="008C1916"/>
    <w:rsid w:val="008C2029"/>
    <w:rsid w:val="008C202A"/>
    <w:rsid w:val="008C216B"/>
    <w:rsid w:val="008C21A6"/>
    <w:rsid w:val="008C2444"/>
    <w:rsid w:val="008C255C"/>
    <w:rsid w:val="008C26A2"/>
    <w:rsid w:val="008C2922"/>
    <w:rsid w:val="008C2B9F"/>
    <w:rsid w:val="008C2D84"/>
    <w:rsid w:val="008C2FC8"/>
    <w:rsid w:val="008C3180"/>
    <w:rsid w:val="008C323C"/>
    <w:rsid w:val="008C3524"/>
    <w:rsid w:val="008C3664"/>
    <w:rsid w:val="008C374D"/>
    <w:rsid w:val="008C37D8"/>
    <w:rsid w:val="008C3908"/>
    <w:rsid w:val="008C3920"/>
    <w:rsid w:val="008C3DF5"/>
    <w:rsid w:val="008C3EE4"/>
    <w:rsid w:val="008C454D"/>
    <w:rsid w:val="008C457C"/>
    <w:rsid w:val="008C47BA"/>
    <w:rsid w:val="008C47EA"/>
    <w:rsid w:val="008C48C7"/>
    <w:rsid w:val="008C4958"/>
    <w:rsid w:val="008C49F8"/>
    <w:rsid w:val="008C4ABC"/>
    <w:rsid w:val="008C536D"/>
    <w:rsid w:val="008C5453"/>
    <w:rsid w:val="008C56F7"/>
    <w:rsid w:val="008C59BB"/>
    <w:rsid w:val="008C5D18"/>
    <w:rsid w:val="008C63A7"/>
    <w:rsid w:val="008C6434"/>
    <w:rsid w:val="008C6569"/>
    <w:rsid w:val="008C65EF"/>
    <w:rsid w:val="008C66F9"/>
    <w:rsid w:val="008C67C7"/>
    <w:rsid w:val="008C6811"/>
    <w:rsid w:val="008C6C99"/>
    <w:rsid w:val="008C6F8F"/>
    <w:rsid w:val="008C7028"/>
    <w:rsid w:val="008C79CB"/>
    <w:rsid w:val="008C7A6C"/>
    <w:rsid w:val="008C7A93"/>
    <w:rsid w:val="008C7B97"/>
    <w:rsid w:val="008C7DCB"/>
    <w:rsid w:val="008D00EE"/>
    <w:rsid w:val="008D08B3"/>
    <w:rsid w:val="008D0A3B"/>
    <w:rsid w:val="008D0F1C"/>
    <w:rsid w:val="008D14A6"/>
    <w:rsid w:val="008D14C6"/>
    <w:rsid w:val="008D1587"/>
    <w:rsid w:val="008D16C4"/>
    <w:rsid w:val="008D18FC"/>
    <w:rsid w:val="008D1C69"/>
    <w:rsid w:val="008D1CF5"/>
    <w:rsid w:val="008D208B"/>
    <w:rsid w:val="008D25A2"/>
    <w:rsid w:val="008D2789"/>
    <w:rsid w:val="008D293E"/>
    <w:rsid w:val="008D334A"/>
    <w:rsid w:val="008D34D8"/>
    <w:rsid w:val="008D3816"/>
    <w:rsid w:val="008D39DF"/>
    <w:rsid w:val="008D4293"/>
    <w:rsid w:val="008D42FC"/>
    <w:rsid w:val="008D442A"/>
    <w:rsid w:val="008D4492"/>
    <w:rsid w:val="008D4535"/>
    <w:rsid w:val="008D47EE"/>
    <w:rsid w:val="008D48F2"/>
    <w:rsid w:val="008D4AD2"/>
    <w:rsid w:val="008D4C15"/>
    <w:rsid w:val="008D4CB8"/>
    <w:rsid w:val="008D4CDE"/>
    <w:rsid w:val="008D518F"/>
    <w:rsid w:val="008D525A"/>
    <w:rsid w:val="008D52C1"/>
    <w:rsid w:val="008D54E4"/>
    <w:rsid w:val="008D5855"/>
    <w:rsid w:val="008D593A"/>
    <w:rsid w:val="008D5A31"/>
    <w:rsid w:val="008D5DD9"/>
    <w:rsid w:val="008D5EAF"/>
    <w:rsid w:val="008D5EE7"/>
    <w:rsid w:val="008D6205"/>
    <w:rsid w:val="008D62DA"/>
    <w:rsid w:val="008D6682"/>
    <w:rsid w:val="008D6738"/>
    <w:rsid w:val="008D673C"/>
    <w:rsid w:val="008D6A7F"/>
    <w:rsid w:val="008D6CA6"/>
    <w:rsid w:val="008D6F0B"/>
    <w:rsid w:val="008D70E0"/>
    <w:rsid w:val="008D71FF"/>
    <w:rsid w:val="008D746C"/>
    <w:rsid w:val="008D7684"/>
    <w:rsid w:val="008D7703"/>
    <w:rsid w:val="008D79CF"/>
    <w:rsid w:val="008D7F82"/>
    <w:rsid w:val="008D7FDC"/>
    <w:rsid w:val="008D7FE7"/>
    <w:rsid w:val="008E027C"/>
    <w:rsid w:val="008E02B6"/>
    <w:rsid w:val="008E0914"/>
    <w:rsid w:val="008E0C2A"/>
    <w:rsid w:val="008E1102"/>
    <w:rsid w:val="008E12CC"/>
    <w:rsid w:val="008E1683"/>
    <w:rsid w:val="008E2239"/>
    <w:rsid w:val="008E228C"/>
    <w:rsid w:val="008E27BE"/>
    <w:rsid w:val="008E2D4B"/>
    <w:rsid w:val="008E2EB6"/>
    <w:rsid w:val="008E2EF8"/>
    <w:rsid w:val="008E2FE9"/>
    <w:rsid w:val="008E31C7"/>
    <w:rsid w:val="008E32AF"/>
    <w:rsid w:val="008E370D"/>
    <w:rsid w:val="008E3718"/>
    <w:rsid w:val="008E38BF"/>
    <w:rsid w:val="008E3BFC"/>
    <w:rsid w:val="008E3DC4"/>
    <w:rsid w:val="008E3E11"/>
    <w:rsid w:val="008E3F24"/>
    <w:rsid w:val="008E3F25"/>
    <w:rsid w:val="008E42F0"/>
    <w:rsid w:val="008E44CF"/>
    <w:rsid w:val="008E48D3"/>
    <w:rsid w:val="008E4984"/>
    <w:rsid w:val="008E4C4D"/>
    <w:rsid w:val="008E51B9"/>
    <w:rsid w:val="008E5286"/>
    <w:rsid w:val="008E5502"/>
    <w:rsid w:val="008E55C6"/>
    <w:rsid w:val="008E55E3"/>
    <w:rsid w:val="008E58D6"/>
    <w:rsid w:val="008E5CCD"/>
    <w:rsid w:val="008E6156"/>
    <w:rsid w:val="008E6208"/>
    <w:rsid w:val="008E6298"/>
    <w:rsid w:val="008E6467"/>
    <w:rsid w:val="008E6A98"/>
    <w:rsid w:val="008E6D6C"/>
    <w:rsid w:val="008E6E52"/>
    <w:rsid w:val="008E7119"/>
    <w:rsid w:val="008E73CB"/>
    <w:rsid w:val="008E762B"/>
    <w:rsid w:val="008E77C2"/>
    <w:rsid w:val="008E7C11"/>
    <w:rsid w:val="008E7C90"/>
    <w:rsid w:val="008E7D05"/>
    <w:rsid w:val="008E7EA9"/>
    <w:rsid w:val="008F0292"/>
    <w:rsid w:val="008F09D0"/>
    <w:rsid w:val="008F0B01"/>
    <w:rsid w:val="008F0D83"/>
    <w:rsid w:val="008F0E00"/>
    <w:rsid w:val="008F13EF"/>
    <w:rsid w:val="008F1663"/>
    <w:rsid w:val="008F1DB8"/>
    <w:rsid w:val="008F2077"/>
    <w:rsid w:val="008F24D9"/>
    <w:rsid w:val="008F2857"/>
    <w:rsid w:val="008F295C"/>
    <w:rsid w:val="008F2E81"/>
    <w:rsid w:val="008F3028"/>
    <w:rsid w:val="008F3539"/>
    <w:rsid w:val="008F3C96"/>
    <w:rsid w:val="008F402E"/>
    <w:rsid w:val="008F4217"/>
    <w:rsid w:val="008F45CE"/>
    <w:rsid w:val="008F4691"/>
    <w:rsid w:val="008F4BF5"/>
    <w:rsid w:val="008F4E96"/>
    <w:rsid w:val="008F4EA4"/>
    <w:rsid w:val="008F4EB9"/>
    <w:rsid w:val="008F4FA4"/>
    <w:rsid w:val="008F5291"/>
    <w:rsid w:val="008F5AD0"/>
    <w:rsid w:val="008F5EB4"/>
    <w:rsid w:val="008F6282"/>
    <w:rsid w:val="008F62CC"/>
    <w:rsid w:val="008F66D1"/>
    <w:rsid w:val="008F6DAB"/>
    <w:rsid w:val="008F73DE"/>
    <w:rsid w:val="008F7BAD"/>
    <w:rsid w:val="008F7BCF"/>
    <w:rsid w:val="008F7CC9"/>
    <w:rsid w:val="008F7E11"/>
    <w:rsid w:val="008F7EF8"/>
    <w:rsid w:val="008F7F7C"/>
    <w:rsid w:val="008F7FF8"/>
    <w:rsid w:val="0090015C"/>
    <w:rsid w:val="009003F6"/>
    <w:rsid w:val="00900584"/>
    <w:rsid w:val="009006D7"/>
    <w:rsid w:val="00900860"/>
    <w:rsid w:val="009008A2"/>
    <w:rsid w:val="00900B4C"/>
    <w:rsid w:val="00900EDC"/>
    <w:rsid w:val="009013E9"/>
    <w:rsid w:val="00901B78"/>
    <w:rsid w:val="00901E3D"/>
    <w:rsid w:val="009020C3"/>
    <w:rsid w:val="0090211C"/>
    <w:rsid w:val="00902707"/>
    <w:rsid w:val="0090288C"/>
    <w:rsid w:val="00902904"/>
    <w:rsid w:val="00902BC5"/>
    <w:rsid w:val="0090310E"/>
    <w:rsid w:val="0090311E"/>
    <w:rsid w:val="00903796"/>
    <w:rsid w:val="00903C8F"/>
    <w:rsid w:val="00903D8D"/>
    <w:rsid w:val="00904263"/>
    <w:rsid w:val="00904304"/>
    <w:rsid w:val="009046DB"/>
    <w:rsid w:val="009048E3"/>
    <w:rsid w:val="009049A2"/>
    <w:rsid w:val="00904DCA"/>
    <w:rsid w:val="0090502E"/>
    <w:rsid w:val="00905B35"/>
    <w:rsid w:val="00905D46"/>
    <w:rsid w:val="00905E6C"/>
    <w:rsid w:val="00905F21"/>
    <w:rsid w:val="009060E3"/>
    <w:rsid w:val="0090639A"/>
    <w:rsid w:val="009063B6"/>
    <w:rsid w:val="00906810"/>
    <w:rsid w:val="00906957"/>
    <w:rsid w:val="00906DB4"/>
    <w:rsid w:val="00906E33"/>
    <w:rsid w:val="00906F28"/>
    <w:rsid w:val="00907077"/>
    <w:rsid w:val="00907490"/>
    <w:rsid w:val="0090749F"/>
    <w:rsid w:val="00907B97"/>
    <w:rsid w:val="00907BA7"/>
    <w:rsid w:val="00907C28"/>
    <w:rsid w:val="00907C64"/>
    <w:rsid w:val="00907CE4"/>
    <w:rsid w:val="00907E0E"/>
    <w:rsid w:val="00907F67"/>
    <w:rsid w:val="00910110"/>
    <w:rsid w:val="009111EB"/>
    <w:rsid w:val="00911329"/>
    <w:rsid w:val="009113A8"/>
    <w:rsid w:val="0091142B"/>
    <w:rsid w:val="009114A3"/>
    <w:rsid w:val="0091174F"/>
    <w:rsid w:val="009117DB"/>
    <w:rsid w:val="009119FA"/>
    <w:rsid w:val="00911AEA"/>
    <w:rsid w:val="00911C71"/>
    <w:rsid w:val="00911E38"/>
    <w:rsid w:val="00911FEA"/>
    <w:rsid w:val="009121B7"/>
    <w:rsid w:val="009122F7"/>
    <w:rsid w:val="009125BD"/>
    <w:rsid w:val="00912B21"/>
    <w:rsid w:val="00912BB4"/>
    <w:rsid w:val="00912CBC"/>
    <w:rsid w:val="00912F04"/>
    <w:rsid w:val="00912FEE"/>
    <w:rsid w:val="00913228"/>
    <w:rsid w:val="00913914"/>
    <w:rsid w:val="00913A07"/>
    <w:rsid w:val="00913AEE"/>
    <w:rsid w:val="00913EFF"/>
    <w:rsid w:val="009143ED"/>
    <w:rsid w:val="00914472"/>
    <w:rsid w:val="009144DA"/>
    <w:rsid w:val="009146D7"/>
    <w:rsid w:val="009147E8"/>
    <w:rsid w:val="009147FF"/>
    <w:rsid w:val="0091482D"/>
    <w:rsid w:val="009148C0"/>
    <w:rsid w:val="00914B0F"/>
    <w:rsid w:val="00914C95"/>
    <w:rsid w:val="00914CF3"/>
    <w:rsid w:val="00915019"/>
    <w:rsid w:val="00915090"/>
    <w:rsid w:val="0091548E"/>
    <w:rsid w:val="0091573E"/>
    <w:rsid w:val="00915861"/>
    <w:rsid w:val="00915911"/>
    <w:rsid w:val="00915E3F"/>
    <w:rsid w:val="00915EE0"/>
    <w:rsid w:val="009162E4"/>
    <w:rsid w:val="0091641E"/>
    <w:rsid w:val="009167F8"/>
    <w:rsid w:val="009168E7"/>
    <w:rsid w:val="00916CBE"/>
    <w:rsid w:val="00916EB9"/>
    <w:rsid w:val="009173EF"/>
    <w:rsid w:val="00917865"/>
    <w:rsid w:val="00917930"/>
    <w:rsid w:val="00917B6C"/>
    <w:rsid w:val="00917BF4"/>
    <w:rsid w:val="00917C85"/>
    <w:rsid w:val="00917DEA"/>
    <w:rsid w:val="00917E79"/>
    <w:rsid w:val="0092048E"/>
    <w:rsid w:val="0092051D"/>
    <w:rsid w:val="00920575"/>
    <w:rsid w:val="0092073E"/>
    <w:rsid w:val="009209E9"/>
    <w:rsid w:val="00920CD7"/>
    <w:rsid w:val="00920D04"/>
    <w:rsid w:val="00920D49"/>
    <w:rsid w:val="0092110B"/>
    <w:rsid w:val="00921CD8"/>
    <w:rsid w:val="00921EC9"/>
    <w:rsid w:val="00921F88"/>
    <w:rsid w:val="009223D9"/>
    <w:rsid w:val="00922943"/>
    <w:rsid w:val="00922D33"/>
    <w:rsid w:val="00922E48"/>
    <w:rsid w:val="0092317A"/>
    <w:rsid w:val="00923471"/>
    <w:rsid w:val="009237EA"/>
    <w:rsid w:val="00923B1A"/>
    <w:rsid w:val="0092421C"/>
    <w:rsid w:val="00924958"/>
    <w:rsid w:val="00924F75"/>
    <w:rsid w:val="009250B6"/>
    <w:rsid w:val="00925102"/>
    <w:rsid w:val="009251DD"/>
    <w:rsid w:val="009251E2"/>
    <w:rsid w:val="00925490"/>
    <w:rsid w:val="00925BFE"/>
    <w:rsid w:val="00926105"/>
    <w:rsid w:val="0092617F"/>
    <w:rsid w:val="00926AE6"/>
    <w:rsid w:val="00926AE7"/>
    <w:rsid w:val="00926AE9"/>
    <w:rsid w:val="00926C53"/>
    <w:rsid w:val="00926E16"/>
    <w:rsid w:val="0092731C"/>
    <w:rsid w:val="00927335"/>
    <w:rsid w:val="009273A0"/>
    <w:rsid w:val="00927574"/>
    <w:rsid w:val="009275EC"/>
    <w:rsid w:val="009276E4"/>
    <w:rsid w:val="00927887"/>
    <w:rsid w:val="00927B4C"/>
    <w:rsid w:val="00927D82"/>
    <w:rsid w:val="0093008F"/>
    <w:rsid w:val="009302CD"/>
    <w:rsid w:val="00930541"/>
    <w:rsid w:val="009307AF"/>
    <w:rsid w:val="009313D4"/>
    <w:rsid w:val="00931721"/>
    <w:rsid w:val="00931972"/>
    <w:rsid w:val="00932001"/>
    <w:rsid w:val="0093248E"/>
    <w:rsid w:val="009325EE"/>
    <w:rsid w:val="009326E8"/>
    <w:rsid w:val="009329F2"/>
    <w:rsid w:val="00932B7C"/>
    <w:rsid w:val="00932CB4"/>
    <w:rsid w:val="00932D13"/>
    <w:rsid w:val="00932D3F"/>
    <w:rsid w:val="00932E83"/>
    <w:rsid w:val="00933154"/>
    <w:rsid w:val="00933576"/>
    <w:rsid w:val="0093365B"/>
    <w:rsid w:val="00933818"/>
    <w:rsid w:val="00933935"/>
    <w:rsid w:val="00933B76"/>
    <w:rsid w:val="00933C0A"/>
    <w:rsid w:val="00933D40"/>
    <w:rsid w:val="00933E4C"/>
    <w:rsid w:val="0093474A"/>
    <w:rsid w:val="00934BAA"/>
    <w:rsid w:val="00934E59"/>
    <w:rsid w:val="00934EC5"/>
    <w:rsid w:val="00934F8E"/>
    <w:rsid w:val="00935C72"/>
    <w:rsid w:val="00935E05"/>
    <w:rsid w:val="00935E1E"/>
    <w:rsid w:val="00935F6E"/>
    <w:rsid w:val="00936947"/>
    <w:rsid w:val="009369D5"/>
    <w:rsid w:val="00936B34"/>
    <w:rsid w:val="00936BE7"/>
    <w:rsid w:val="00936CB6"/>
    <w:rsid w:val="00936D2B"/>
    <w:rsid w:val="00937508"/>
    <w:rsid w:val="0093766A"/>
    <w:rsid w:val="00937DC1"/>
    <w:rsid w:val="00940206"/>
    <w:rsid w:val="009402B8"/>
    <w:rsid w:val="009404CD"/>
    <w:rsid w:val="00940502"/>
    <w:rsid w:val="00940566"/>
    <w:rsid w:val="009406FA"/>
    <w:rsid w:val="00940763"/>
    <w:rsid w:val="00940B8D"/>
    <w:rsid w:val="00940BDD"/>
    <w:rsid w:val="00940C6F"/>
    <w:rsid w:val="00940DBC"/>
    <w:rsid w:val="00940E24"/>
    <w:rsid w:val="009410EA"/>
    <w:rsid w:val="0094117F"/>
    <w:rsid w:val="009412AC"/>
    <w:rsid w:val="009414D7"/>
    <w:rsid w:val="0094179D"/>
    <w:rsid w:val="009417EF"/>
    <w:rsid w:val="00941A14"/>
    <w:rsid w:val="00941D74"/>
    <w:rsid w:val="00941DDD"/>
    <w:rsid w:val="00941E5B"/>
    <w:rsid w:val="00941FDB"/>
    <w:rsid w:val="00941FF1"/>
    <w:rsid w:val="0094262F"/>
    <w:rsid w:val="00942BC7"/>
    <w:rsid w:val="00942D7B"/>
    <w:rsid w:val="00942E89"/>
    <w:rsid w:val="00942EB9"/>
    <w:rsid w:val="00943380"/>
    <w:rsid w:val="0094353F"/>
    <w:rsid w:val="009436F1"/>
    <w:rsid w:val="00943B3B"/>
    <w:rsid w:val="00943B4F"/>
    <w:rsid w:val="00943DAA"/>
    <w:rsid w:val="00944181"/>
    <w:rsid w:val="009442FC"/>
    <w:rsid w:val="0094442B"/>
    <w:rsid w:val="009446C1"/>
    <w:rsid w:val="00944797"/>
    <w:rsid w:val="00944925"/>
    <w:rsid w:val="00944B10"/>
    <w:rsid w:val="00944BC6"/>
    <w:rsid w:val="00944C19"/>
    <w:rsid w:val="00944E33"/>
    <w:rsid w:val="009450CB"/>
    <w:rsid w:val="009451A7"/>
    <w:rsid w:val="00945544"/>
    <w:rsid w:val="0094554F"/>
    <w:rsid w:val="009456C8"/>
    <w:rsid w:val="00945772"/>
    <w:rsid w:val="009457AB"/>
    <w:rsid w:val="00945964"/>
    <w:rsid w:val="00945FA3"/>
    <w:rsid w:val="00946219"/>
    <w:rsid w:val="00947180"/>
    <w:rsid w:val="009471DD"/>
    <w:rsid w:val="00947BBE"/>
    <w:rsid w:val="00947E05"/>
    <w:rsid w:val="00947E86"/>
    <w:rsid w:val="009503FF"/>
    <w:rsid w:val="0095049A"/>
    <w:rsid w:val="0095057B"/>
    <w:rsid w:val="00950940"/>
    <w:rsid w:val="00950AFD"/>
    <w:rsid w:val="00950D94"/>
    <w:rsid w:val="00950FA3"/>
    <w:rsid w:val="00951112"/>
    <w:rsid w:val="009512F0"/>
    <w:rsid w:val="009514A5"/>
    <w:rsid w:val="009517DB"/>
    <w:rsid w:val="009518E3"/>
    <w:rsid w:val="009521E5"/>
    <w:rsid w:val="00952287"/>
    <w:rsid w:val="009524A0"/>
    <w:rsid w:val="009529DD"/>
    <w:rsid w:val="00952AB9"/>
    <w:rsid w:val="00952B11"/>
    <w:rsid w:val="00952DF2"/>
    <w:rsid w:val="00952EE6"/>
    <w:rsid w:val="00952FAA"/>
    <w:rsid w:val="00953054"/>
    <w:rsid w:val="00953090"/>
    <w:rsid w:val="00953466"/>
    <w:rsid w:val="00953816"/>
    <w:rsid w:val="0095393A"/>
    <w:rsid w:val="00953A8E"/>
    <w:rsid w:val="00953B41"/>
    <w:rsid w:val="00953BE6"/>
    <w:rsid w:val="00953DE9"/>
    <w:rsid w:val="0095407D"/>
    <w:rsid w:val="00954720"/>
    <w:rsid w:val="00954794"/>
    <w:rsid w:val="009547B7"/>
    <w:rsid w:val="009549F9"/>
    <w:rsid w:val="00954BB4"/>
    <w:rsid w:val="00954D1C"/>
    <w:rsid w:val="00954D77"/>
    <w:rsid w:val="00954DFE"/>
    <w:rsid w:val="00955383"/>
    <w:rsid w:val="00955575"/>
    <w:rsid w:val="0095558D"/>
    <w:rsid w:val="009555A2"/>
    <w:rsid w:val="00955827"/>
    <w:rsid w:val="00955CA5"/>
    <w:rsid w:val="00955E06"/>
    <w:rsid w:val="00956245"/>
    <w:rsid w:val="00956429"/>
    <w:rsid w:val="009568B2"/>
    <w:rsid w:val="0095696E"/>
    <w:rsid w:val="00956BE5"/>
    <w:rsid w:val="00956D0D"/>
    <w:rsid w:val="00956E32"/>
    <w:rsid w:val="00957696"/>
    <w:rsid w:val="009577FF"/>
    <w:rsid w:val="00957C2A"/>
    <w:rsid w:val="00957EC5"/>
    <w:rsid w:val="0096013A"/>
    <w:rsid w:val="00960A4F"/>
    <w:rsid w:val="00960F27"/>
    <w:rsid w:val="0096100A"/>
    <w:rsid w:val="0096102D"/>
    <w:rsid w:val="0096108F"/>
    <w:rsid w:val="009618A4"/>
    <w:rsid w:val="00961B84"/>
    <w:rsid w:val="00961D71"/>
    <w:rsid w:val="0096219C"/>
    <w:rsid w:val="0096245A"/>
    <w:rsid w:val="0096246C"/>
    <w:rsid w:val="009624F3"/>
    <w:rsid w:val="009625AE"/>
    <w:rsid w:val="009626BC"/>
    <w:rsid w:val="009632CC"/>
    <w:rsid w:val="009634D2"/>
    <w:rsid w:val="00963AAB"/>
    <w:rsid w:val="00963BCA"/>
    <w:rsid w:val="00963D29"/>
    <w:rsid w:val="00963D52"/>
    <w:rsid w:val="00964041"/>
    <w:rsid w:val="00964213"/>
    <w:rsid w:val="0096439C"/>
    <w:rsid w:val="0096459B"/>
    <w:rsid w:val="0096464C"/>
    <w:rsid w:val="00964AAB"/>
    <w:rsid w:val="00964AE7"/>
    <w:rsid w:val="00964D66"/>
    <w:rsid w:val="00964DA3"/>
    <w:rsid w:val="00964F9F"/>
    <w:rsid w:val="0096541D"/>
    <w:rsid w:val="00965585"/>
    <w:rsid w:val="00965917"/>
    <w:rsid w:val="00965A4B"/>
    <w:rsid w:val="00965AD7"/>
    <w:rsid w:val="00965AF7"/>
    <w:rsid w:val="00965CFF"/>
    <w:rsid w:val="00965FA3"/>
    <w:rsid w:val="00965FD1"/>
    <w:rsid w:val="00966122"/>
    <w:rsid w:val="009665CB"/>
    <w:rsid w:val="009665E2"/>
    <w:rsid w:val="00966709"/>
    <w:rsid w:val="0096670A"/>
    <w:rsid w:val="00966EE1"/>
    <w:rsid w:val="00967089"/>
    <w:rsid w:val="009670D6"/>
    <w:rsid w:val="00967298"/>
    <w:rsid w:val="00967469"/>
    <w:rsid w:val="00967556"/>
    <w:rsid w:val="0096792F"/>
    <w:rsid w:val="00967AAE"/>
    <w:rsid w:val="00967EF4"/>
    <w:rsid w:val="00967FCA"/>
    <w:rsid w:val="00967FE2"/>
    <w:rsid w:val="00970192"/>
    <w:rsid w:val="00970196"/>
    <w:rsid w:val="009701F2"/>
    <w:rsid w:val="0097028A"/>
    <w:rsid w:val="009703C8"/>
    <w:rsid w:val="009706A1"/>
    <w:rsid w:val="00970986"/>
    <w:rsid w:val="00970C0F"/>
    <w:rsid w:val="00970CD5"/>
    <w:rsid w:val="00970D1B"/>
    <w:rsid w:val="00970DCD"/>
    <w:rsid w:val="00970F38"/>
    <w:rsid w:val="00970FA4"/>
    <w:rsid w:val="009712EE"/>
    <w:rsid w:val="00971505"/>
    <w:rsid w:val="00971589"/>
    <w:rsid w:val="00971648"/>
    <w:rsid w:val="00971728"/>
    <w:rsid w:val="00971797"/>
    <w:rsid w:val="00971867"/>
    <w:rsid w:val="00971B76"/>
    <w:rsid w:val="00971B7B"/>
    <w:rsid w:val="00971C86"/>
    <w:rsid w:val="00971D43"/>
    <w:rsid w:val="00971E19"/>
    <w:rsid w:val="009721CE"/>
    <w:rsid w:val="009724F4"/>
    <w:rsid w:val="0097282E"/>
    <w:rsid w:val="00972F1E"/>
    <w:rsid w:val="009732BD"/>
    <w:rsid w:val="00973332"/>
    <w:rsid w:val="00973405"/>
    <w:rsid w:val="009734B9"/>
    <w:rsid w:val="009737AD"/>
    <w:rsid w:val="00973874"/>
    <w:rsid w:val="009738AB"/>
    <w:rsid w:val="00973C3A"/>
    <w:rsid w:val="0097465B"/>
    <w:rsid w:val="00974BE8"/>
    <w:rsid w:val="00974E6B"/>
    <w:rsid w:val="00974E9F"/>
    <w:rsid w:val="00974EEA"/>
    <w:rsid w:val="00974F38"/>
    <w:rsid w:val="00975125"/>
    <w:rsid w:val="009752ED"/>
    <w:rsid w:val="00975518"/>
    <w:rsid w:val="009756FE"/>
    <w:rsid w:val="00975AB7"/>
    <w:rsid w:val="00975C6C"/>
    <w:rsid w:val="009763A5"/>
    <w:rsid w:val="009765F4"/>
    <w:rsid w:val="00976783"/>
    <w:rsid w:val="009768CD"/>
    <w:rsid w:val="009768EF"/>
    <w:rsid w:val="009769F0"/>
    <w:rsid w:val="00976FA5"/>
    <w:rsid w:val="009771D8"/>
    <w:rsid w:val="00977206"/>
    <w:rsid w:val="0097774D"/>
    <w:rsid w:val="00977B88"/>
    <w:rsid w:val="00977B90"/>
    <w:rsid w:val="00977C10"/>
    <w:rsid w:val="00977C87"/>
    <w:rsid w:val="0098020E"/>
    <w:rsid w:val="009803D7"/>
    <w:rsid w:val="009804A1"/>
    <w:rsid w:val="00980554"/>
    <w:rsid w:val="009809F3"/>
    <w:rsid w:val="00980AC8"/>
    <w:rsid w:val="00980BEA"/>
    <w:rsid w:val="00980C27"/>
    <w:rsid w:val="00981103"/>
    <w:rsid w:val="00981152"/>
    <w:rsid w:val="009813F2"/>
    <w:rsid w:val="0098143F"/>
    <w:rsid w:val="00981551"/>
    <w:rsid w:val="009816D0"/>
    <w:rsid w:val="00981728"/>
    <w:rsid w:val="009817F5"/>
    <w:rsid w:val="009819DE"/>
    <w:rsid w:val="00981A42"/>
    <w:rsid w:val="009820CD"/>
    <w:rsid w:val="0098219E"/>
    <w:rsid w:val="00982243"/>
    <w:rsid w:val="00982381"/>
    <w:rsid w:val="009823AB"/>
    <w:rsid w:val="009823C0"/>
    <w:rsid w:val="009823D6"/>
    <w:rsid w:val="009823E1"/>
    <w:rsid w:val="00982423"/>
    <w:rsid w:val="009827D8"/>
    <w:rsid w:val="00982861"/>
    <w:rsid w:val="009829BC"/>
    <w:rsid w:val="00982D1E"/>
    <w:rsid w:val="0098300E"/>
    <w:rsid w:val="0098320A"/>
    <w:rsid w:val="0098340C"/>
    <w:rsid w:val="00983764"/>
    <w:rsid w:val="00983822"/>
    <w:rsid w:val="00983975"/>
    <w:rsid w:val="00983B5D"/>
    <w:rsid w:val="00983D9A"/>
    <w:rsid w:val="00983DBC"/>
    <w:rsid w:val="00983E52"/>
    <w:rsid w:val="00983FCF"/>
    <w:rsid w:val="0098422D"/>
    <w:rsid w:val="0098424C"/>
    <w:rsid w:val="00984262"/>
    <w:rsid w:val="0098458E"/>
    <w:rsid w:val="009845D7"/>
    <w:rsid w:val="0098486A"/>
    <w:rsid w:val="00984937"/>
    <w:rsid w:val="00984CE1"/>
    <w:rsid w:val="00984E0F"/>
    <w:rsid w:val="00984F2D"/>
    <w:rsid w:val="00984F38"/>
    <w:rsid w:val="00984FF3"/>
    <w:rsid w:val="0098519E"/>
    <w:rsid w:val="009851AA"/>
    <w:rsid w:val="009851B6"/>
    <w:rsid w:val="00985443"/>
    <w:rsid w:val="00985589"/>
    <w:rsid w:val="00985681"/>
    <w:rsid w:val="00985756"/>
    <w:rsid w:val="009857AA"/>
    <w:rsid w:val="00985919"/>
    <w:rsid w:val="00985DBE"/>
    <w:rsid w:val="00985EF0"/>
    <w:rsid w:val="00986004"/>
    <w:rsid w:val="0098613F"/>
    <w:rsid w:val="00986402"/>
    <w:rsid w:val="009864B1"/>
    <w:rsid w:val="00986867"/>
    <w:rsid w:val="00986901"/>
    <w:rsid w:val="00986F21"/>
    <w:rsid w:val="009872C0"/>
    <w:rsid w:val="009878B2"/>
    <w:rsid w:val="009879A7"/>
    <w:rsid w:val="00987C41"/>
    <w:rsid w:val="00987CC9"/>
    <w:rsid w:val="00987F42"/>
    <w:rsid w:val="00987FEF"/>
    <w:rsid w:val="00990380"/>
    <w:rsid w:val="0099042B"/>
    <w:rsid w:val="00990505"/>
    <w:rsid w:val="00990714"/>
    <w:rsid w:val="009909BD"/>
    <w:rsid w:val="009909FA"/>
    <w:rsid w:val="00990A44"/>
    <w:rsid w:val="00990CDF"/>
    <w:rsid w:val="00990DBB"/>
    <w:rsid w:val="0099121B"/>
    <w:rsid w:val="00991247"/>
    <w:rsid w:val="00991299"/>
    <w:rsid w:val="00991333"/>
    <w:rsid w:val="009913AE"/>
    <w:rsid w:val="00991858"/>
    <w:rsid w:val="0099190D"/>
    <w:rsid w:val="00991DCC"/>
    <w:rsid w:val="009920FC"/>
    <w:rsid w:val="00992B2B"/>
    <w:rsid w:val="00992D13"/>
    <w:rsid w:val="00993397"/>
    <w:rsid w:val="009936A6"/>
    <w:rsid w:val="009937D7"/>
    <w:rsid w:val="00993915"/>
    <w:rsid w:val="0099432D"/>
    <w:rsid w:val="00994488"/>
    <w:rsid w:val="00994693"/>
    <w:rsid w:val="009948E7"/>
    <w:rsid w:val="00994C18"/>
    <w:rsid w:val="00994CA4"/>
    <w:rsid w:val="00995077"/>
    <w:rsid w:val="009951A1"/>
    <w:rsid w:val="0099530B"/>
    <w:rsid w:val="00995521"/>
    <w:rsid w:val="009959B9"/>
    <w:rsid w:val="00995AE8"/>
    <w:rsid w:val="00995AF1"/>
    <w:rsid w:val="00995D65"/>
    <w:rsid w:val="00995E1F"/>
    <w:rsid w:val="00995FEF"/>
    <w:rsid w:val="00996132"/>
    <w:rsid w:val="00996329"/>
    <w:rsid w:val="00996644"/>
    <w:rsid w:val="009966E1"/>
    <w:rsid w:val="00996730"/>
    <w:rsid w:val="00996811"/>
    <w:rsid w:val="00996A0E"/>
    <w:rsid w:val="0099701D"/>
    <w:rsid w:val="00997060"/>
    <w:rsid w:val="009970F5"/>
    <w:rsid w:val="009973FB"/>
    <w:rsid w:val="0099747F"/>
    <w:rsid w:val="0099750E"/>
    <w:rsid w:val="0099778F"/>
    <w:rsid w:val="00997857"/>
    <w:rsid w:val="00997FDE"/>
    <w:rsid w:val="009A07A9"/>
    <w:rsid w:val="009A09E9"/>
    <w:rsid w:val="009A0D49"/>
    <w:rsid w:val="009A10D2"/>
    <w:rsid w:val="009A1655"/>
    <w:rsid w:val="009A1AFD"/>
    <w:rsid w:val="009A1C2F"/>
    <w:rsid w:val="009A1D2C"/>
    <w:rsid w:val="009A1FB5"/>
    <w:rsid w:val="009A20CE"/>
    <w:rsid w:val="009A20FF"/>
    <w:rsid w:val="009A22F9"/>
    <w:rsid w:val="009A2A9A"/>
    <w:rsid w:val="009A2B15"/>
    <w:rsid w:val="009A2B4F"/>
    <w:rsid w:val="009A2B59"/>
    <w:rsid w:val="009A2B5C"/>
    <w:rsid w:val="009A2DA4"/>
    <w:rsid w:val="009A2EA0"/>
    <w:rsid w:val="009A2EB0"/>
    <w:rsid w:val="009A2F61"/>
    <w:rsid w:val="009A2FED"/>
    <w:rsid w:val="009A3318"/>
    <w:rsid w:val="009A34ED"/>
    <w:rsid w:val="009A35AC"/>
    <w:rsid w:val="009A367D"/>
    <w:rsid w:val="009A37BC"/>
    <w:rsid w:val="009A37FC"/>
    <w:rsid w:val="009A3972"/>
    <w:rsid w:val="009A3B2D"/>
    <w:rsid w:val="009A3B5E"/>
    <w:rsid w:val="009A3DCE"/>
    <w:rsid w:val="009A4085"/>
    <w:rsid w:val="009A4748"/>
    <w:rsid w:val="009A48FA"/>
    <w:rsid w:val="009A4967"/>
    <w:rsid w:val="009A496A"/>
    <w:rsid w:val="009A49AD"/>
    <w:rsid w:val="009A4AB5"/>
    <w:rsid w:val="009A4D0B"/>
    <w:rsid w:val="009A5435"/>
    <w:rsid w:val="009A55B3"/>
    <w:rsid w:val="009A570A"/>
    <w:rsid w:val="009A5B17"/>
    <w:rsid w:val="009A5DEF"/>
    <w:rsid w:val="009A6070"/>
    <w:rsid w:val="009A65F2"/>
    <w:rsid w:val="009A67AD"/>
    <w:rsid w:val="009A6937"/>
    <w:rsid w:val="009A6A42"/>
    <w:rsid w:val="009A6A48"/>
    <w:rsid w:val="009A6A74"/>
    <w:rsid w:val="009A7291"/>
    <w:rsid w:val="009A7504"/>
    <w:rsid w:val="009A77FC"/>
    <w:rsid w:val="009A792C"/>
    <w:rsid w:val="009A7948"/>
    <w:rsid w:val="009A7A83"/>
    <w:rsid w:val="009A7B99"/>
    <w:rsid w:val="009A7E5F"/>
    <w:rsid w:val="009A7EA9"/>
    <w:rsid w:val="009B0208"/>
    <w:rsid w:val="009B0306"/>
    <w:rsid w:val="009B0314"/>
    <w:rsid w:val="009B0483"/>
    <w:rsid w:val="009B076C"/>
    <w:rsid w:val="009B0A15"/>
    <w:rsid w:val="009B0A3D"/>
    <w:rsid w:val="009B0CC9"/>
    <w:rsid w:val="009B0D95"/>
    <w:rsid w:val="009B11EF"/>
    <w:rsid w:val="009B11F1"/>
    <w:rsid w:val="009B171E"/>
    <w:rsid w:val="009B1856"/>
    <w:rsid w:val="009B1AD7"/>
    <w:rsid w:val="009B1ED1"/>
    <w:rsid w:val="009B21C2"/>
    <w:rsid w:val="009B27E3"/>
    <w:rsid w:val="009B27EC"/>
    <w:rsid w:val="009B293D"/>
    <w:rsid w:val="009B2CBB"/>
    <w:rsid w:val="009B2DD2"/>
    <w:rsid w:val="009B2F59"/>
    <w:rsid w:val="009B3030"/>
    <w:rsid w:val="009B32D2"/>
    <w:rsid w:val="009B333E"/>
    <w:rsid w:val="009B3711"/>
    <w:rsid w:val="009B3CF2"/>
    <w:rsid w:val="009B40EA"/>
    <w:rsid w:val="009B40F0"/>
    <w:rsid w:val="009B41F3"/>
    <w:rsid w:val="009B42A7"/>
    <w:rsid w:val="009B43E6"/>
    <w:rsid w:val="009B4535"/>
    <w:rsid w:val="009B45CA"/>
    <w:rsid w:val="009B48C3"/>
    <w:rsid w:val="009B4C7C"/>
    <w:rsid w:val="009B4E07"/>
    <w:rsid w:val="009B4EE9"/>
    <w:rsid w:val="009B5021"/>
    <w:rsid w:val="009B5059"/>
    <w:rsid w:val="009B513E"/>
    <w:rsid w:val="009B5263"/>
    <w:rsid w:val="009B5267"/>
    <w:rsid w:val="009B53DE"/>
    <w:rsid w:val="009B564A"/>
    <w:rsid w:val="009B57DC"/>
    <w:rsid w:val="009B57DF"/>
    <w:rsid w:val="009B5995"/>
    <w:rsid w:val="009B5E5F"/>
    <w:rsid w:val="009B5EFA"/>
    <w:rsid w:val="009B6002"/>
    <w:rsid w:val="009B60B7"/>
    <w:rsid w:val="009B6457"/>
    <w:rsid w:val="009B6845"/>
    <w:rsid w:val="009B69E1"/>
    <w:rsid w:val="009B6A8C"/>
    <w:rsid w:val="009B6C9A"/>
    <w:rsid w:val="009B7071"/>
    <w:rsid w:val="009B7087"/>
    <w:rsid w:val="009B70D8"/>
    <w:rsid w:val="009B70F8"/>
    <w:rsid w:val="009B714B"/>
    <w:rsid w:val="009B7359"/>
    <w:rsid w:val="009B736E"/>
    <w:rsid w:val="009B7661"/>
    <w:rsid w:val="009B7C12"/>
    <w:rsid w:val="009B7C44"/>
    <w:rsid w:val="009B7E78"/>
    <w:rsid w:val="009C0145"/>
    <w:rsid w:val="009C0503"/>
    <w:rsid w:val="009C0651"/>
    <w:rsid w:val="009C0724"/>
    <w:rsid w:val="009C0808"/>
    <w:rsid w:val="009C08CE"/>
    <w:rsid w:val="009C0AF8"/>
    <w:rsid w:val="009C121C"/>
    <w:rsid w:val="009C1263"/>
    <w:rsid w:val="009C157E"/>
    <w:rsid w:val="009C1660"/>
    <w:rsid w:val="009C1ACA"/>
    <w:rsid w:val="009C1DA4"/>
    <w:rsid w:val="009C1F53"/>
    <w:rsid w:val="009C1FEF"/>
    <w:rsid w:val="009C2111"/>
    <w:rsid w:val="009C231F"/>
    <w:rsid w:val="009C2401"/>
    <w:rsid w:val="009C2704"/>
    <w:rsid w:val="009C273F"/>
    <w:rsid w:val="009C277C"/>
    <w:rsid w:val="009C2970"/>
    <w:rsid w:val="009C2EE3"/>
    <w:rsid w:val="009C30C7"/>
    <w:rsid w:val="009C3257"/>
    <w:rsid w:val="009C3874"/>
    <w:rsid w:val="009C3877"/>
    <w:rsid w:val="009C3879"/>
    <w:rsid w:val="009C39EC"/>
    <w:rsid w:val="009C3A02"/>
    <w:rsid w:val="009C3B83"/>
    <w:rsid w:val="009C3DC2"/>
    <w:rsid w:val="009C42AD"/>
    <w:rsid w:val="009C4360"/>
    <w:rsid w:val="009C44D4"/>
    <w:rsid w:val="009C4924"/>
    <w:rsid w:val="009C504C"/>
    <w:rsid w:val="009C5218"/>
    <w:rsid w:val="009C55D1"/>
    <w:rsid w:val="009C5DC4"/>
    <w:rsid w:val="009C63F4"/>
    <w:rsid w:val="009C6437"/>
    <w:rsid w:val="009C662B"/>
    <w:rsid w:val="009C6A94"/>
    <w:rsid w:val="009C6C20"/>
    <w:rsid w:val="009C70E7"/>
    <w:rsid w:val="009C7183"/>
    <w:rsid w:val="009C73F1"/>
    <w:rsid w:val="009C7573"/>
    <w:rsid w:val="009C7980"/>
    <w:rsid w:val="009C799B"/>
    <w:rsid w:val="009C7BB1"/>
    <w:rsid w:val="009C7F98"/>
    <w:rsid w:val="009D0072"/>
    <w:rsid w:val="009D0139"/>
    <w:rsid w:val="009D0245"/>
    <w:rsid w:val="009D08AD"/>
    <w:rsid w:val="009D0A86"/>
    <w:rsid w:val="009D0BBB"/>
    <w:rsid w:val="009D0DE2"/>
    <w:rsid w:val="009D12C4"/>
    <w:rsid w:val="009D163D"/>
    <w:rsid w:val="009D1650"/>
    <w:rsid w:val="009D1841"/>
    <w:rsid w:val="009D1EE1"/>
    <w:rsid w:val="009D2155"/>
    <w:rsid w:val="009D2315"/>
    <w:rsid w:val="009D26F1"/>
    <w:rsid w:val="009D2719"/>
    <w:rsid w:val="009D2F03"/>
    <w:rsid w:val="009D2F05"/>
    <w:rsid w:val="009D321F"/>
    <w:rsid w:val="009D32FF"/>
    <w:rsid w:val="009D35AC"/>
    <w:rsid w:val="009D36A6"/>
    <w:rsid w:val="009D38CA"/>
    <w:rsid w:val="009D392B"/>
    <w:rsid w:val="009D44AA"/>
    <w:rsid w:val="009D4AB9"/>
    <w:rsid w:val="009D4AD2"/>
    <w:rsid w:val="009D4F77"/>
    <w:rsid w:val="009D50D0"/>
    <w:rsid w:val="009D515E"/>
    <w:rsid w:val="009D52E5"/>
    <w:rsid w:val="009D533C"/>
    <w:rsid w:val="009D54FE"/>
    <w:rsid w:val="009D57AD"/>
    <w:rsid w:val="009D5989"/>
    <w:rsid w:val="009D5C9E"/>
    <w:rsid w:val="009D5DD3"/>
    <w:rsid w:val="009D6369"/>
    <w:rsid w:val="009D63D8"/>
    <w:rsid w:val="009D6625"/>
    <w:rsid w:val="009D6693"/>
    <w:rsid w:val="009D693F"/>
    <w:rsid w:val="009D6C52"/>
    <w:rsid w:val="009D6CBF"/>
    <w:rsid w:val="009D6DCA"/>
    <w:rsid w:val="009D6F50"/>
    <w:rsid w:val="009D704B"/>
    <w:rsid w:val="009D713C"/>
    <w:rsid w:val="009D7293"/>
    <w:rsid w:val="009D74E4"/>
    <w:rsid w:val="009D765A"/>
    <w:rsid w:val="009D776A"/>
    <w:rsid w:val="009D7838"/>
    <w:rsid w:val="009D7D15"/>
    <w:rsid w:val="009D7DE6"/>
    <w:rsid w:val="009E003E"/>
    <w:rsid w:val="009E01A0"/>
    <w:rsid w:val="009E051F"/>
    <w:rsid w:val="009E059A"/>
    <w:rsid w:val="009E071D"/>
    <w:rsid w:val="009E0A27"/>
    <w:rsid w:val="009E0A37"/>
    <w:rsid w:val="009E0CA5"/>
    <w:rsid w:val="009E0EEF"/>
    <w:rsid w:val="009E13C1"/>
    <w:rsid w:val="009E174C"/>
    <w:rsid w:val="009E1B4E"/>
    <w:rsid w:val="009E1C5C"/>
    <w:rsid w:val="009E1DB1"/>
    <w:rsid w:val="009E229D"/>
    <w:rsid w:val="009E22B7"/>
    <w:rsid w:val="009E23BE"/>
    <w:rsid w:val="009E2861"/>
    <w:rsid w:val="009E2A0C"/>
    <w:rsid w:val="009E2B2D"/>
    <w:rsid w:val="009E2CED"/>
    <w:rsid w:val="009E31C6"/>
    <w:rsid w:val="009E3394"/>
    <w:rsid w:val="009E3838"/>
    <w:rsid w:val="009E3907"/>
    <w:rsid w:val="009E3FD5"/>
    <w:rsid w:val="009E4065"/>
    <w:rsid w:val="009E451F"/>
    <w:rsid w:val="009E454B"/>
    <w:rsid w:val="009E45F8"/>
    <w:rsid w:val="009E4BDA"/>
    <w:rsid w:val="009E4D59"/>
    <w:rsid w:val="009E4F35"/>
    <w:rsid w:val="009E4FE7"/>
    <w:rsid w:val="009E535B"/>
    <w:rsid w:val="009E5580"/>
    <w:rsid w:val="009E55FE"/>
    <w:rsid w:val="009E56A2"/>
    <w:rsid w:val="009E5806"/>
    <w:rsid w:val="009E584D"/>
    <w:rsid w:val="009E5ADA"/>
    <w:rsid w:val="009E60B9"/>
    <w:rsid w:val="009E61BE"/>
    <w:rsid w:val="009E6458"/>
    <w:rsid w:val="009E653E"/>
    <w:rsid w:val="009E6749"/>
    <w:rsid w:val="009E6CE5"/>
    <w:rsid w:val="009E6DE8"/>
    <w:rsid w:val="009E7120"/>
    <w:rsid w:val="009E7155"/>
    <w:rsid w:val="009E7420"/>
    <w:rsid w:val="009E76CA"/>
    <w:rsid w:val="009E7EE4"/>
    <w:rsid w:val="009E7F5D"/>
    <w:rsid w:val="009F016E"/>
    <w:rsid w:val="009F062B"/>
    <w:rsid w:val="009F0659"/>
    <w:rsid w:val="009F08CE"/>
    <w:rsid w:val="009F0A40"/>
    <w:rsid w:val="009F0D8C"/>
    <w:rsid w:val="009F1239"/>
    <w:rsid w:val="009F14C7"/>
    <w:rsid w:val="009F162C"/>
    <w:rsid w:val="009F16A8"/>
    <w:rsid w:val="009F1849"/>
    <w:rsid w:val="009F18E1"/>
    <w:rsid w:val="009F1919"/>
    <w:rsid w:val="009F1BBA"/>
    <w:rsid w:val="009F1F2E"/>
    <w:rsid w:val="009F1FC0"/>
    <w:rsid w:val="009F1FF4"/>
    <w:rsid w:val="009F232F"/>
    <w:rsid w:val="009F264F"/>
    <w:rsid w:val="009F272F"/>
    <w:rsid w:val="009F2A75"/>
    <w:rsid w:val="009F31A7"/>
    <w:rsid w:val="009F32D5"/>
    <w:rsid w:val="009F342C"/>
    <w:rsid w:val="009F35AA"/>
    <w:rsid w:val="009F3A83"/>
    <w:rsid w:val="009F3DEE"/>
    <w:rsid w:val="009F4C15"/>
    <w:rsid w:val="009F5698"/>
    <w:rsid w:val="009F577E"/>
    <w:rsid w:val="009F5B63"/>
    <w:rsid w:val="009F5D0C"/>
    <w:rsid w:val="009F5F7D"/>
    <w:rsid w:val="009F62A2"/>
    <w:rsid w:val="009F639C"/>
    <w:rsid w:val="009F66BE"/>
    <w:rsid w:val="009F69E9"/>
    <w:rsid w:val="009F6D30"/>
    <w:rsid w:val="009F7130"/>
    <w:rsid w:val="009F7438"/>
    <w:rsid w:val="009F7725"/>
    <w:rsid w:val="009F77A5"/>
    <w:rsid w:val="009F7879"/>
    <w:rsid w:val="009F7B60"/>
    <w:rsid w:val="009F7C82"/>
    <w:rsid w:val="00A00004"/>
    <w:rsid w:val="00A00017"/>
    <w:rsid w:val="00A0008F"/>
    <w:rsid w:val="00A001BE"/>
    <w:rsid w:val="00A007CB"/>
    <w:rsid w:val="00A009BB"/>
    <w:rsid w:val="00A00A1F"/>
    <w:rsid w:val="00A00F20"/>
    <w:rsid w:val="00A00FF2"/>
    <w:rsid w:val="00A010C8"/>
    <w:rsid w:val="00A0129A"/>
    <w:rsid w:val="00A01355"/>
    <w:rsid w:val="00A0168F"/>
    <w:rsid w:val="00A022E2"/>
    <w:rsid w:val="00A02386"/>
    <w:rsid w:val="00A023A1"/>
    <w:rsid w:val="00A02961"/>
    <w:rsid w:val="00A02BDF"/>
    <w:rsid w:val="00A02E06"/>
    <w:rsid w:val="00A0364A"/>
    <w:rsid w:val="00A036FF"/>
    <w:rsid w:val="00A03720"/>
    <w:rsid w:val="00A03A05"/>
    <w:rsid w:val="00A03A4D"/>
    <w:rsid w:val="00A0403B"/>
    <w:rsid w:val="00A04437"/>
    <w:rsid w:val="00A04575"/>
    <w:rsid w:val="00A04817"/>
    <w:rsid w:val="00A04986"/>
    <w:rsid w:val="00A04B39"/>
    <w:rsid w:val="00A04B3E"/>
    <w:rsid w:val="00A04CDB"/>
    <w:rsid w:val="00A05640"/>
    <w:rsid w:val="00A0591C"/>
    <w:rsid w:val="00A05D82"/>
    <w:rsid w:val="00A05F0E"/>
    <w:rsid w:val="00A05F1B"/>
    <w:rsid w:val="00A062E9"/>
    <w:rsid w:val="00A06503"/>
    <w:rsid w:val="00A0655F"/>
    <w:rsid w:val="00A06D5B"/>
    <w:rsid w:val="00A06FC7"/>
    <w:rsid w:val="00A06FCB"/>
    <w:rsid w:val="00A0735A"/>
    <w:rsid w:val="00A07773"/>
    <w:rsid w:val="00A078BA"/>
    <w:rsid w:val="00A078EE"/>
    <w:rsid w:val="00A07C05"/>
    <w:rsid w:val="00A07C56"/>
    <w:rsid w:val="00A07DA2"/>
    <w:rsid w:val="00A10261"/>
    <w:rsid w:val="00A10382"/>
    <w:rsid w:val="00A104D6"/>
    <w:rsid w:val="00A1060D"/>
    <w:rsid w:val="00A10824"/>
    <w:rsid w:val="00A109FD"/>
    <w:rsid w:val="00A10C69"/>
    <w:rsid w:val="00A10DEF"/>
    <w:rsid w:val="00A10E8E"/>
    <w:rsid w:val="00A10F25"/>
    <w:rsid w:val="00A11015"/>
    <w:rsid w:val="00A1121D"/>
    <w:rsid w:val="00A11850"/>
    <w:rsid w:val="00A119B8"/>
    <w:rsid w:val="00A11FC1"/>
    <w:rsid w:val="00A12090"/>
    <w:rsid w:val="00A120B4"/>
    <w:rsid w:val="00A123EF"/>
    <w:rsid w:val="00A124C7"/>
    <w:rsid w:val="00A129C7"/>
    <w:rsid w:val="00A12B2E"/>
    <w:rsid w:val="00A12D98"/>
    <w:rsid w:val="00A12DE9"/>
    <w:rsid w:val="00A12E11"/>
    <w:rsid w:val="00A12E2B"/>
    <w:rsid w:val="00A12F68"/>
    <w:rsid w:val="00A12FA9"/>
    <w:rsid w:val="00A131E5"/>
    <w:rsid w:val="00A135E9"/>
    <w:rsid w:val="00A13609"/>
    <w:rsid w:val="00A1365B"/>
    <w:rsid w:val="00A13B70"/>
    <w:rsid w:val="00A13EE5"/>
    <w:rsid w:val="00A14087"/>
    <w:rsid w:val="00A14169"/>
    <w:rsid w:val="00A14311"/>
    <w:rsid w:val="00A143C9"/>
    <w:rsid w:val="00A1481F"/>
    <w:rsid w:val="00A14946"/>
    <w:rsid w:val="00A14A2B"/>
    <w:rsid w:val="00A14AAD"/>
    <w:rsid w:val="00A14ACA"/>
    <w:rsid w:val="00A14D83"/>
    <w:rsid w:val="00A1512B"/>
    <w:rsid w:val="00A151D9"/>
    <w:rsid w:val="00A15762"/>
    <w:rsid w:val="00A15810"/>
    <w:rsid w:val="00A15D50"/>
    <w:rsid w:val="00A15F93"/>
    <w:rsid w:val="00A15FDF"/>
    <w:rsid w:val="00A1601B"/>
    <w:rsid w:val="00A16068"/>
    <w:rsid w:val="00A1626C"/>
    <w:rsid w:val="00A165D1"/>
    <w:rsid w:val="00A16635"/>
    <w:rsid w:val="00A16B25"/>
    <w:rsid w:val="00A16E9F"/>
    <w:rsid w:val="00A1715B"/>
    <w:rsid w:val="00A171F8"/>
    <w:rsid w:val="00A1727E"/>
    <w:rsid w:val="00A17B60"/>
    <w:rsid w:val="00A17C25"/>
    <w:rsid w:val="00A17C70"/>
    <w:rsid w:val="00A17C9E"/>
    <w:rsid w:val="00A17D44"/>
    <w:rsid w:val="00A2005B"/>
    <w:rsid w:val="00A20178"/>
    <w:rsid w:val="00A20832"/>
    <w:rsid w:val="00A20B4B"/>
    <w:rsid w:val="00A20CA6"/>
    <w:rsid w:val="00A21054"/>
    <w:rsid w:val="00A2130D"/>
    <w:rsid w:val="00A213AD"/>
    <w:rsid w:val="00A217B6"/>
    <w:rsid w:val="00A217C3"/>
    <w:rsid w:val="00A21887"/>
    <w:rsid w:val="00A21B13"/>
    <w:rsid w:val="00A21DC8"/>
    <w:rsid w:val="00A21FC7"/>
    <w:rsid w:val="00A22085"/>
    <w:rsid w:val="00A22638"/>
    <w:rsid w:val="00A22776"/>
    <w:rsid w:val="00A22928"/>
    <w:rsid w:val="00A22AE0"/>
    <w:rsid w:val="00A22B27"/>
    <w:rsid w:val="00A22CB4"/>
    <w:rsid w:val="00A22E7A"/>
    <w:rsid w:val="00A23195"/>
    <w:rsid w:val="00A23291"/>
    <w:rsid w:val="00A2394F"/>
    <w:rsid w:val="00A239E9"/>
    <w:rsid w:val="00A239EC"/>
    <w:rsid w:val="00A2401E"/>
    <w:rsid w:val="00A2407F"/>
    <w:rsid w:val="00A24110"/>
    <w:rsid w:val="00A2411A"/>
    <w:rsid w:val="00A24144"/>
    <w:rsid w:val="00A24675"/>
    <w:rsid w:val="00A24986"/>
    <w:rsid w:val="00A24CF9"/>
    <w:rsid w:val="00A24D00"/>
    <w:rsid w:val="00A24DDC"/>
    <w:rsid w:val="00A24DF6"/>
    <w:rsid w:val="00A250EA"/>
    <w:rsid w:val="00A2517E"/>
    <w:rsid w:val="00A252C1"/>
    <w:rsid w:val="00A25358"/>
    <w:rsid w:val="00A254D9"/>
    <w:rsid w:val="00A2579F"/>
    <w:rsid w:val="00A257FF"/>
    <w:rsid w:val="00A258CC"/>
    <w:rsid w:val="00A25B6A"/>
    <w:rsid w:val="00A25D3E"/>
    <w:rsid w:val="00A262F5"/>
    <w:rsid w:val="00A264C1"/>
    <w:rsid w:val="00A26767"/>
    <w:rsid w:val="00A26957"/>
    <w:rsid w:val="00A269B7"/>
    <w:rsid w:val="00A26C4A"/>
    <w:rsid w:val="00A270B9"/>
    <w:rsid w:val="00A2711B"/>
    <w:rsid w:val="00A27144"/>
    <w:rsid w:val="00A2762C"/>
    <w:rsid w:val="00A27769"/>
    <w:rsid w:val="00A278F8"/>
    <w:rsid w:val="00A2790F"/>
    <w:rsid w:val="00A27D03"/>
    <w:rsid w:val="00A3058D"/>
    <w:rsid w:val="00A30B9D"/>
    <w:rsid w:val="00A30E8A"/>
    <w:rsid w:val="00A3108F"/>
    <w:rsid w:val="00A31354"/>
    <w:rsid w:val="00A31494"/>
    <w:rsid w:val="00A31596"/>
    <w:rsid w:val="00A31D5B"/>
    <w:rsid w:val="00A32076"/>
    <w:rsid w:val="00A3218F"/>
    <w:rsid w:val="00A3256B"/>
    <w:rsid w:val="00A32784"/>
    <w:rsid w:val="00A32CA6"/>
    <w:rsid w:val="00A32DDB"/>
    <w:rsid w:val="00A32F8E"/>
    <w:rsid w:val="00A32FC5"/>
    <w:rsid w:val="00A330A7"/>
    <w:rsid w:val="00A33200"/>
    <w:rsid w:val="00A334BC"/>
    <w:rsid w:val="00A335B3"/>
    <w:rsid w:val="00A338A4"/>
    <w:rsid w:val="00A338D1"/>
    <w:rsid w:val="00A33907"/>
    <w:rsid w:val="00A33B08"/>
    <w:rsid w:val="00A33B26"/>
    <w:rsid w:val="00A33C28"/>
    <w:rsid w:val="00A33D74"/>
    <w:rsid w:val="00A33D97"/>
    <w:rsid w:val="00A33DEB"/>
    <w:rsid w:val="00A33FE5"/>
    <w:rsid w:val="00A3470F"/>
    <w:rsid w:val="00A34836"/>
    <w:rsid w:val="00A349EF"/>
    <w:rsid w:val="00A34D0E"/>
    <w:rsid w:val="00A355DE"/>
    <w:rsid w:val="00A3574A"/>
    <w:rsid w:val="00A35CD8"/>
    <w:rsid w:val="00A3625B"/>
    <w:rsid w:val="00A365FF"/>
    <w:rsid w:val="00A3686F"/>
    <w:rsid w:val="00A368E8"/>
    <w:rsid w:val="00A36CBE"/>
    <w:rsid w:val="00A36EBA"/>
    <w:rsid w:val="00A37116"/>
    <w:rsid w:val="00A37174"/>
    <w:rsid w:val="00A37517"/>
    <w:rsid w:val="00A37765"/>
    <w:rsid w:val="00A37933"/>
    <w:rsid w:val="00A37B10"/>
    <w:rsid w:val="00A37C0E"/>
    <w:rsid w:val="00A3A83F"/>
    <w:rsid w:val="00A4036F"/>
    <w:rsid w:val="00A40AB4"/>
    <w:rsid w:val="00A40BE1"/>
    <w:rsid w:val="00A40E1B"/>
    <w:rsid w:val="00A410DE"/>
    <w:rsid w:val="00A412DF"/>
    <w:rsid w:val="00A41792"/>
    <w:rsid w:val="00A419EF"/>
    <w:rsid w:val="00A41AA2"/>
    <w:rsid w:val="00A41B78"/>
    <w:rsid w:val="00A41E52"/>
    <w:rsid w:val="00A41E85"/>
    <w:rsid w:val="00A41FC4"/>
    <w:rsid w:val="00A421E5"/>
    <w:rsid w:val="00A4257D"/>
    <w:rsid w:val="00A425AB"/>
    <w:rsid w:val="00A4271F"/>
    <w:rsid w:val="00A42770"/>
    <w:rsid w:val="00A42CEC"/>
    <w:rsid w:val="00A430FF"/>
    <w:rsid w:val="00A43331"/>
    <w:rsid w:val="00A433FE"/>
    <w:rsid w:val="00A4341C"/>
    <w:rsid w:val="00A4351B"/>
    <w:rsid w:val="00A43797"/>
    <w:rsid w:val="00A43905"/>
    <w:rsid w:val="00A44051"/>
    <w:rsid w:val="00A4405C"/>
    <w:rsid w:val="00A44083"/>
    <w:rsid w:val="00A440DC"/>
    <w:rsid w:val="00A441A8"/>
    <w:rsid w:val="00A44954"/>
    <w:rsid w:val="00A44C7A"/>
    <w:rsid w:val="00A44CA6"/>
    <w:rsid w:val="00A44DBC"/>
    <w:rsid w:val="00A45395"/>
    <w:rsid w:val="00A4579F"/>
    <w:rsid w:val="00A45A66"/>
    <w:rsid w:val="00A46217"/>
    <w:rsid w:val="00A46219"/>
    <w:rsid w:val="00A46A55"/>
    <w:rsid w:val="00A46CEF"/>
    <w:rsid w:val="00A46D4C"/>
    <w:rsid w:val="00A4700B"/>
    <w:rsid w:val="00A475C0"/>
    <w:rsid w:val="00A47940"/>
    <w:rsid w:val="00A47B72"/>
    <w:rsid w:val="00A47E56"/>
    <w:rsid w:val="00A47F7E"/>
    <w:rsid w:val="00A5007A"/>
    <w:rsid w:val="00A5037E"/>
    <w:rsid w:val="00A50418"/>
    <w:rsid w:val="00A50811"/>
    <w:rsid w:val="00A50980"/>
    <w:rsid w:val="00A509B4"/>
    <w:rsid w:val="00A50AE9"/>
    <w:rsid w:val="00A50CBB"/>
    <w:rsid w:val="00A5105A"/>
    <w:rsid w:val="00A510C6"/>
    <w:rsid w:val="00A5142F"/>
    <w:rsid w:val="00A5144E"/>
    <w:rsid w:val="00A516EE"/>
    <w:rsid w:val="00A5193B"/>
    <w:rsid w:val="00A51AF2"/>
    <w:rsid w:val="00A51B7C"/>
    <w:rsid w:val="00A51C5C"/>
    <w:rsid w:val="00A51F0A"/>
    <w:rsid w:val="00A52735"/>
    <w:rsid w:val="00A527A7"/>
    <w:rsid w:val="00A52B16"/>
    <w:rsid w:val="00A52C20"/>
    <w:rsid w:val="00A52CEE"/>
    <w:rsid w:val="00A52EF6"/>
    <w:rsid w:val="00A5318A"/>
    <w:rsid w:val="00A53549"/>
    <w:rsid w:val="00A5357B"/>
    <w:rsid w:val="00A53CF4"/>
    <w:rsid w:val="00A540F8"/>
    <w:rsid w:val="00A542AE"/>
    <w:rsid w:val="00A544B4"/>
    <w:rsid w:val="00A54638"/>
    <w:rsid w:val="00A54A4E"/>
    <w:rsid w:val="00A54A96"/>
    <w:rsid w:val="00A54EED"/>
    <w:rsid w:val="00A54F3E"/>
    <w:rsid w:val="00A55107"/>
    <w:rsid w:val="00A552D7"/>
    <w:rsid w:val="00A5542C"/>
    <w:rsid w:val="00A55647"/>
    <w:rsid w:val="00A55A7A"/>
    <w:rsid w:val="00A55B1D"/>
    <w:rsid w:val="00A55FA7"/>
    <w:rsid w:val="00A560BD"/>
    <w:rsid w:val="00A561E5"/>
    <w:rsid w:val="00A562CA"/>
    <w:rsid w:val="00A5654E"/>
    <w:rsid w:val="00A56C4C"/>
    <w:rsid w:val="00A57005"/>
    <w:rsid w:val="00A5704B"/>
    <w:rsid w:val="00A570DA"/>
    <w:rsid w:val="00A571D3"/>
    <w:rsid w:val="00A5752B"/>
    <w:rsid w:val="00A57CFF"/>
    <w:rsid w:val="00A59204"/>
    <w:rsid w:val="00A60128"/>
    <w:rsid w:val="00A601B3"/>
    <w:rsid w:val="00A6021E"/>
    <w:rsid w:val="00A602F6"/>
    <w:rsid w:val="00A6049F"/>
    <w:rsid w:val="00A60A4A"/>
    <w:rsid w:val="00A60A88"/>
    <w:rsid w:val="00A60DDE"/>
    <w:rsid w:val="00A6137F"/>
    <w:rsid w:val="00A6147A"/>
    <w:rsid w:val="00A614DF"/>
    <w:rsid w:val="00A61DE7"/>
    <w:rsid w:val="00A621AF"/>
    <w:rsid w:val="00A62271"/>
    <w:rsid w:val="00A625B3"/>
    <w:rsid w:val="00A627BB"/>
    <w:rsid w:val="00A62856"/>
    <w:rsid w:val="00A62976"/>
    <w:rsid w:val="00A62A79"/>
    <w:rsid w:val="00A62C6B"/>
    <w:rsid w:val="00A630FE"/>
    <w:rsid w:val="00A63694"/>
    <w:rsid w:val="00A636F9"/>
    <w:rsid w:val="00A63710"/>
    <w:rsid w:val="00A63727"/>
    <w:rsid w:val="00A6391A"/>
    <w:rsid w:val="00A63CA5"/>
    <w:rsid w:val="00A63F4A"/>
    <w:rsid w:val="00A643C3"/>
    <w:rsid w:val="00A6504F"/>
    <w:rsid w:val="00A65076"/>
    <w:rsid w:val="00A65153"/>
    <w:rsid w:val="00A65188"/>
    <w:rsid w:val="00A651D3"/>
    <w:rsid w:val="00A65333"/>
    <w:rsid w:val="00A65497"/>
    <w:rsid w:val="00A657A8"/>
    <w:rsid w:val="00A6581D"/>
    <w:rsid w:val="00A6594B"/>
    <w:rsid w:val="00A65BA4"/>
    <w:rsid w:val="00A65BBC"/>
    <w:rsid w:val="00A65BF4"/>
    <w:rsid w:val="00A65C32"/>
    <w:rsid w:val="00A65D29"/>
    <w:rsid w:val="00A65FCB"/>
    <w:rsid w:val="00A6651C"/>
    <w:rsid w:val="00A66655"/>
    <w:rsid w:val="00A668DD"/>
    <w:rsid w:val="00A66A96"/>
    <w:rsid w:val="00A66B4E"/>
    <w:rsid w:val="00A66D4E"/>
    <w:rsid w:val="00A66D9C"/>
    <w:rsid w:val="00A67006"/>
    <w:rsid w:val="00A67972"/>
    <w:rsid w:val="00A67CD3"/>
    <w:rsid w:val="00A67D08"/>
    <w:rsid w:val="00A702C8"/>
    <w:rsid w:val="00A70317"/>
    <w:rsid w:val="00A7067D"/>
    <w:rsid w:val="00A708B6"/>
    <w:rsid w:val="00A70A76"/>
    <w:rsid w:val="00A70AFE"/>
    <w:rsid w:val="00A70D2B"/>
    <w:rsid w:val="00A70F77"/>
    <w:rsid w:val="00A711FE"/>
    <w:rsid w:val="00A71283"/>
    <w:rsid w:val="00A7153C"/>
    <w:rsid w:val="00A716B1"/>
    <w:rsid w:val="00A7198D"/>
    <w:rsid w:val="00A719FC"/>
    <w:rsid w:val="00A71AC1"/>
    <w:rsid w:val="00A71B66"/>
    <w:rsid w:val="00A71BF4"/>
    <w:rsid w:val="00A71F8C"/>
    <w:rsid w:val="00A720BF"/>
    <w:rsid w:val="00A725CA"/>
    <w:rsid w:val="00A72644"/>
    <w:rsid w:val="00A72D55"/>
    <w:rsid w:val="00A72D58"/>
    <w:rsid w:val="00A72D5C"/>
    <w:rsid w:val="00A72EEA"/>
    <w:rsid w:val="00A73083"/>
    <w:rsid w:val="00A73168"/>
    <w:rsid w:val="00A73230"/>
    <w:rsid w:val="00A732FA"/>
    <w:rsid w:val="00A73370"/>
    <w:rsid w:val="00A7359D"/>
    <w:rsid w:val="00A735C4"/>
    <w:rsid w:val="00A73605"/>
    <w:rsid w:val="00A7385A"/>
    <w:rsid w:val="00A739E2"/>
    <w:rsid w:val="00A73BFC"/>
    <w:rsid w:val="00A73D03"/>
    <w:rsid w:val="00A73EBD"/>
    <w:rsid w:val="00A74442"/>
    <w:rsid w:val="00A74675"/>
    <w:rsid w:val="00A74B2D"/>
    <w:rsid w:val="00A75381"/>
    <w:rsid w:val="00A7566F"/>
    <w:rsid w:val="00A75674"/>
    <w:rsid w:val="00A75832"/>
    <w:rsid w:val="00A7588A"/>
    <w:rsid w:val="00A7592C"/>
    <w:rsid w:val="00A75FA4"/>
    <w:rsid w:val="00A7616A"/>
    <w:rsid w:val="00A76462"/>
    <w:rsid w:val="00A76E08"/>
    <w:rsid w:val="00A76EA4"/>
    <w:rsid w:val="00A76F78"/>
    <w:rsid w:val="00A772FA"/>
    <w:rsid w:val="00A77375"/>
    <w:rsid w:val="00A773EF"/>
    <w:rsid w:val="00A77706"/>
    <w:rsid w:val="00A77757"/>
    <w:rsid w:val="00A779D4"/>
    <w:rsid w:val="00A80388"/>
    <w:rsid w:val="00A80487"/>
    <w:rsid w:val="00A804FB"/>
    <w:rsid w:val="00A80A6F"/>
    <w:rsid w:val="00A80CBC"/>
    <w:rsid w:val="00A8110A"/>
    <w:rsid w:val="00A8111F"/>
    <w:rsid w:val="00A81126"/>
    <w:rsid w:val="00A81134"/>
    <w:rsid w:val="00A81187"/>
    <w:rsid w:val="00A812DD"/>
    <w:rsid w:val="00A8168E"/>
    <w:rsid w:val="00A81A54"/>
    <w:rsid w:val="00A81B74"/>
    <w:rsid w:val="00A81E2E"/>
    <w:rsid w:val="00A81F00"/>
    <w:rsid w:val="00A820B6"/>
    <w:rsid w:val="00A8219C"/>
    <w:rsid w:val="00A82338"/>
    <w:rsid w:val="00A82411"/>
    <w:rsid w:val="00A8254A"/>
    <w:rsid w:val="00A82592"/>
    <w:rsid w:val="00A8262C"/>
    <w:rsid w:val="00A826C3"/>
    <w:rsid w:val="00A82A9D"/>
    <w:rsid w:val="00A82C45"/>
    <w:rsid w:val="00A82E4A"/>
    <w:rsid w:val="00A82F1D"/>
    <w:rsid w:val="00A82F93"/>
    <w:rsid w:val="00A830FC"/>
    <w:rsid w:val="00A831D1"/>
    <w:rsid w:val="00A833AE"/>
    <w:rsid w:val="00A8351D"/>
    <w:rsid w:val="00A836C5"/>
    <w:rsid w:val="00A83B66"/>
    <w:rsid w:val="00A83C44"/>
    <w:rsid w:val="00A83C4B"/>
    <w:rsid w:val="00A84E26"/>
    <w:rsid w:val="00A8543D"/>
    <w:rsid w:val="00A856C6"/>
    <w:rsid w:val="00A85B02"/>
    <w:rsid w:val="00A8629C"/>
    <w:rsid w:val="00A86498"/>
    <w:rsid w:val="00A87210"/>
    <w:rsid w:val="00A8780A"/>
    <w:rsid w:val="00A87933"/>
    <w:rsid w:val="00A87BC4"/>
    <w:rsid w:val="00A87D8D"/>
    <w:rsid w:val="00A90189"/>
    <w:rsid w:val="00A901EB"/>
    <w:rsid w:val="00A90A17"/>
    <w:rsid w:val="00A90DF6"/>
    <w:rsid w:val="00A90E0F"/>
    <w:rsid w:val="00A913F0"/>
    <w:rsid w:val="00A9154B"/>
    <w:rsid w:val="00A91691"/>
    <w:rsid w:val="00A916FE"/>
    <w:rsid w:val="00A91A55"/>
    <w:rsid w:val="00A91B0D"/>
    <w:rsid w:val="00A91FD6"/>
    <w:rsid w:val="00A924A1"/>
    <w:rsid w:val="00A92A7A"/>
    <w:rsid w:val="00A92CEE"/>
    <w:rsid w:val="00A92E29"/>
    <w:rsid w:val="00A93740"/>
    <w:rsid w:val="00A93B2C"/>
    <w:rsid w:val="00A93CDC"/>
    <w:rsid w:val="00A93D11"/>
    <w:rsid w:val="00A93DE4"/>
    <w:rsid w:val="00A93E92"/>
    <w:rsid w:val="00A93FAB"/>
    <w:rsid w:val="00A9447D"/>
    <w:rsid w:val="00A94785"/>
    <w:rsid w:val="00A9501F"/>
    <w:rsid w:val="00A953E3"/>
    <w:rsid w:val="00A954E9"/>
    <w:rsid w:val="00A955D8"/>
    <w:rsid w:val="00A95856"/>
    <w:rsid w:val="00A95F85"/>
    <w:rsid w:val="00A96430"/>
    <w:rsid w:val="00A965BC"/>
    <w:rsid w:val="00A966E5"/>
    <w:rsid w:val="00A967A7"/>
    <w:rsid w:val="00A96891"/>
    <w:rsid w:val="00A96924"/>
    <w:rsid w:val="00A96CCC"/>
    <w:rsid w:val="00A96E8D"/>
    <w:rsid w:val="00A970BE"/>
    <w:rsid w:val="00A972CA"/>
    <w:rsid w:val="00A97426"/>
    <w:rsid w:val="00A976F6"/>
    <w:rsid w:val="00A97782"/>
    <w:rsid w:val="00A9779A"/>
    <w:rsid w:val="00A97CAF"/>
    <w:rsid w:val="00A97FD8"/>
    <w:rsid w:val="00AA0118"/>
    <w:rsid w:val="00AA0182"/>
    <w:rsid w:val="00AA0311"/>
    <w:rsid w:val="00AA03AA"/>
    <w:rsid w:val="00AA0531"/>
    <w:rsid w:val="00AA06B9"/>
    <w:rsid w:val="00AA06E8"/>
    <w:rsid w:val="00AA0B88"/>
    <w:rsid w:val="00AA0C09"/>
    <w:rsid w:val="00AA0F66"/>
    <w:rsid w:val="00AA0FA1"/>
    <w:rsid w:val="00AA1328"/>
    <w:rsid w:val="00AA1B4C"/>
    <w:rsid w:val="00AA1BA9"/>
    <w:rsid w:val="00AA1E62"/>
    <w:rsid w:val="00AA207C"/>
    <w:rsid w:val="00AA2172"/>
    <w:rsid w:val="00AA23A4"/>
    <w:rsid w:val="00AA247F"/>
    <w:rsid w:val="00AA24B2"/>
    <w:rsid w:val="00AA25F7"/>
    <w:rsid w:val="00AA26A6"/>
    <w:rsid w:val="00AA28E2"/>
    <w:rsid w:val="00AA2A30"/>
    <w:rsid w:val="00AA2E85"/>
    <w:rsid w:val="00AA317F"/>
    <w:rsid w:val="00AA3243"/>
    <w:rsid w:val="00AA33C5"/>
    <w:rsid w:val="00AA3743"/>
    <w:rsid w:val="00AA37CC"/>
    <w:rsid w:val="00AA3A18"/>
    <w:rsid w:val="00AA3FA6"/>
    <w:rsid w:val="00AA4164"/>
    <w:rsid w:val="00AA457C"/>
    <w:rsid w:val="00AA45F8"/>
    <w:rsid w:val="00AA4AD4"/>
    <w:rsid w:val="00AA4D0F"/>
    <w:rsid w:val="00AA4ED2"/>
    <w:rsid w:val="00AA4FC0"/>
    <w:rsid w:val="00AA5050"/>
    <w:rsid w:val="00AA505A"/>
    <w:rsid w:val="00AA51F3"/>
    <w:rsid w:val="00AA53DC"/>
    <w:rsid w:val="00AA5556"/>
    <w:rsid w:val="00AA595A"/>
    <w:rsid w:val="00AA5AB3"/>
    <w:rsid w:val="00AA6298"/>
    <w:rsid w:val="00AA69C8"/>
    <w:rsid w:val="00AA6AF1"/>
    <w:rsid w:val="00AA6D77"/>
    <w:rsid w:val="00AA6FE8"/>
    <w:rsid w:val="00AA734D"/>
    <w:rsid w:val="00AA73DA"/>
    <w:rsid w:val="00AA75DC"/>
    <w:rsid w:val="00AA7674"/>
    <w:rsid w:val="00AA7D8F"/>
    <w:rsid w:val="00AA7F82"/>
    <w:rsid w:val="00AB022C"/>
    <w:rsid w:val="00AB02D0"/>
    <w:rsid w:val="00AB02F6"/>
    <w:rsid w:val="00AB03D6"/>
    <w:rsid w:val="00AB0636"/>
    <w:rsid w:val="00AB06BE"/>
    <w:rsid w:val="00AB0834"/>
    <w:rsid w:val="00AB0E3B"/>
    <w:rsid w:val="00AB1068"/>
    <w:rsid w:val="00AB19E7"/>
    <w:rsid w:val="00AB1D1D"/>
    <w:rsid w:val="00AB1FE4"/>
    <w:rsid w:val="00AB23FB"/>
    <w:rsid w:val="00AB2409"/>
    <w:rsid w:val="00AB276E"/>
    <w:rsid w:val="00AB2856"/>
    <w:rsid w:val="00AB2A3C"/>
    <w:rsid w:val="00AB2D4C"/>
    <w:rsid w:val="00AB2DE0"/>
    <w:rsid w:val="00AB31A2"/>
    <w:rsid w:val="00AB3213"/>
    <w:rsid w:val="00AB321F"/>
    <w:rsid w:val="00AB3502"/>
    <w:rsid w:val="00AB36D2"/>
    <w:rsid w:val="00AB385D"/>
    <w:rsid w:val="00AB3A57"/>
    <w:rsid w:val="00AB3AAF"/>
    <w:rsid w:val="00AB3AFD"/>
    <w:rsid w:val="00AB3BA3"/>
    <w:rsid w:val="00AB3F10"/>
    <w:rsid w:val="00AB3F1D"/>
    <w:rsid w:val="00AB3F57"/>
    <w:rsid w:val="00AB4098"/>
    <w:rsid w:val="00AB4581"/>
    <w:rsid w:val="00AB4751"/>
    <w:rsid w:val="00AB48F0"/>
    <w:rsid w:val="00AB48FE"/>
    <w:rsid w:val="00AB5293"/>
    <w:rsid w:val="00AB52D1"/>
    <w:rsid w:val="00AB531E"/>
    <w:rsid w:val="00AB5458"/>
    <w:rsid w:val="00AB5636"/>
    <w:rsid w:val="00AB5654"/>
    <w:rsid w:val="00AB5851"/>
    <w:rsid w:val="00AB5E27"/>
    <w:rsid w:val="00AB5E56"/>
    <w:rsid w:val="00AB62B7"/>
    <w:rsid w:val="00AB69C1"/>
    <w:rsid w:val="00AB6B4C"/>
    <w:rsid w:val="00AB7056"/>
    <w:rsid w:val="00AB73BC"/>
    <w:rsid w:val="00AB7B21"/>
    <w:rsid w:val="00AB7C18"/>
    <w:rsid w:val="00AB7DDF"/>
    <w:rsid w:val="00AB7F09"/>
    <w:rsid w:val="00AC0035"/>
    <w:rsid w:val="00AC03A9"/>
    <w:rsid w:val="00AC0566"/>
    <w:rsid w:val="00AC064A"/>
    <w:rsid w:val="00AC08B6"/>
    <w:rsid w:val="00AC090B"/>
    <w:rsid w:val="00AC0962"/>
    <w:rsid w:val="00AC0A8D"/>
    <w:rsid w:val="00AC0A94"/>
    <w:rsid w:val="00AC0B54"/>
    <w:rsid w:val="00AC0D32"/>
    <w:rsid w:val="00AC0D56"/>
    <w:rsid w:val="00AC1296"/>
    <w:rsid w:val="00AC129E"/>
    <w:rsid w:val="00AC133B"/>
    <w:rsid w:val="00AC13B5"/>
    <w:rsid w:val="00AC1650"/>
    <w:rsid w:val="00AC17DB"/>
    <w:rsid w:val="00AC1970"/>
    <w:rsid w:val="00AC19AE"/>
    <w:rsid w:val="00AC1EAD"/>
    <w:rsid w:val="00AC1EE9"/>
    <w:rsid w:val="00AC1F57"/>
    <w:rsid w:val="00AC200D"/>
    <w:rsid w:val="00AC2606"/>
    <w:rsid w:val="00AC2607"/>
    <w:rsid w:val="00AC28FE"/>
    <w:rsid w:val="00AC2A57"/>
    <w:rsid w:val="00AC2AB9"/>
    <w:rsid w:val="00AC2F86"/>
    <w:rsid w:val="00AC31D2"/>
    <w:rsid w:val="00AC3337"/>
    <w:rsid w:val="00AC34B5"/>
    <w:rsid w:val="00AC37B4"/>
    <w:rsid w:val="00AC386C"/>
    <w:rsid w:val="00AC3C18"/>
    <w:rsid w:val="00AC417A"/>
    <w:rsid w:val="00AC41BD"/>
    <w:rsid w:val="00AC4269"/>
    <w:rsid w:val="00AC42AA"/>
    <w:rsid w:val="00AC42C9"/>
    <w:rsid w:val="00AC42F2"/>
    <w:rsid w:val="00AC4440"/>
    <w:rsid w:val="00AC47DF"/>
    <w:rsid w:val="00AC491A"/>
    <w:rsid w:val="00AC49F7"/>
    <w:rsid w:val="00AC4D26"/>
    <w:rsid w:val="00AC4D60"/>
    <w:rsid w:val="00AC4E53"/>
    <w:rsid w:val="00AC51D5"/>
    <w:rsid w:val="00AC577C"/>
    <w:rsid w:val="00AC58A1"/>
    <w:rsid w:val="00AC5B85"/>
    <w:rsid w:val="00AC5D51"/>
    <w:rsid w:val="00AC5E4C"/>
    <w:rsid w:val="00AC66C9"/>
    <w:rsid w:val="00AC678E"/>
    <w:rsid w:val="00AC6D68"/>
    <w:rsid w:val="00AC707E"/>
    <w:rsid w:val="00AC746A"/>
    <w:rsid w:val="00AC780B"/>
    <w:rsid w:val="00AC78D8"/>
    <w:rsid w:val="00AC796C"/>
    <w:rsid w:val="00AC7A9E"/>
    <w:rsid w:val="00AC7B1B"/>
    <w:rsid w:val="00AC7B1E"/>
    <w:rsid w:val="00AD024E"/>
    <w:rsid w:val="00AD07C7"/>
    <w:rsid w:val="00AD08C1"/>
    <w:rsid w:val="00AD0B99"/>
    <w:rsid w:val="00AD0CB3"/>
    <w:rsid w:val="00AD0CFB"/>
    <w:rsid w:val="00AD0D3E"/>
    <w:rsid w:val="00AD0D9D"/>
    <w:rsid w:val="00AD1047"/>
    <w:rsid w:val="00AD10DD"/>
    <w:rsid w:val="00AD1560"/>
    <w:rsid w:val="00AD1930"/>
    <w:rsid w:val="00AD1996"/>
    <w:rsid w:val="00AD1CE3"/>
    <w:rsid w:val="00AD1F2F"/>
    <w:rsid w:val="00AD225C"/>
    <w:rsid w:val="00AD2298"/>
    <w:rsid w:val="00AD2306"/>
    <w:rsid w:val="00AD23B9"/>
    <w:rsid w:val="00AD24FA"/>
    <w:rsid w:val="00AD3339"/>
    <w:rsid w:val="00AD333A"/>
    <w:rsid w:val="00AD3722"/>
    <w:rsid w:val="00AD3727"/>
    <w:rsid w:val="00AD38D1"/>
    <w:rsid w:val="00AD3943"/>
    <w:rsid w:val="00AD3A0A"/>
    <w:rsid w:val="00AD3AD5"/>
    <w:rsid w:val="00AD3DD0"/>
    <w:rsid w:val="00AD3F35"/>
    <w:rsid w:val="00AD40F7"/>
    <w:rsid w:val="00AD4765"/>
    <w:rsid w:val="00AD4A80"/>
    <w:rsid w:val="00AD4AC5"/>
    <w:rsid w:val="00AD4D0D"/>
    <w:rsid w:val="00AD4F95"/>
    <w:rsid w:val="00AD5329"/>
    <w:rsid w:val="00AD536B"/>
    <w:rsid w:val="00AD54F0"/>
    <w:rsid w:val="00AD5635"/>
    <w:rsid w:val="00AD5776"/>
    <w:rsid w:val="00AD5E91"/>
    <w:rsid w:val="00AD5F8D"/>
    <w:rsid w:val="00AD626E"/>
    <w:rsid w:val="00AD62B1"/>
    <w:rsid w:val="00AD639F"/>
    <w:rsid w:val="00AD63AD"/>
    <w:rsid w:val="00AD65AE"/>
    <w:rsid w:val="00AD67B6"/>
    <w:rsid w:val="00AD6801"/>
    <w:rsid w:val="00AD6B78"/>
    <w:rsid w:val="00AD6C8C"/>
    <w:rsid w:val="00AD7322"/>
    <w:rsid w:val="00AD74F8"/>
    <w:rsid w:val="00AD7BF6"/>
    <w:rsid w:val="00AD7DE9"/>
    <w:rsid w:val="00AE01E5"/>
    <w:rsid w:val="00AE021E"/>
    <w:rsid w:val="00AE02E0"/>
    <w:rsid w:val="00AE0346"/>
    <w:rsid w:val="00AE0529"/>
    <w:rsid w:val="00AE07D0"/>
    <w:rsid w:val="00AE0825"/>
    <w:rsid w:val="00AE0B86"/>
    <w:rsid w:val="00AE0BDE"/>
    <w:rsid w:val="00AE0CF9"/>
    <w:rsid w:val="00AE0D42"/>
    <w:rsid w:val="00AE14D6"/>
    <w:rsid w:val="00AE192E"/>
    <w:rsid w:val="00AE1DB0"/>
    <w:rsid w:val="00AE1FBC"/>
    <w:rsid w:val="00AE1FDF"/>
    <w:rsid w:val="00AE2101"/>
    <w:rsid w:val="00AE21AF"/>
    <w:rsid w:val="00AE21E7"/>
    <w:rsid w:val="00AE2647"/>
    <w:rsid w:val="00AE271A"/>
    <w:rsid w:val="00AE28E1"/>
    <w:rsid w:val="00AE2AB3"/>
    <w:rsid w:val="00AE2DB7"/>
    <w:rsid w:val="00AE2EBC"/>
    <w:rsid w:val="00AE352D"/>
    <w:rsid w:val="00AE3972"/>
    <w:rsid w:val="00AE3A95"/>
    <w:rsid w:val="00AE3B25"/>
    <w:rsid w:val="00AE3D98"/>
    <w:rsid w:val="00AE3E22"/>
    <w:rsid w:val="00AE3E5A"/>
    <w:rsid w:val="00AE43D7"/>
    <w:rsid w:val="00AE4449"/>
    <w:rsid w:val="00AE44A1"/>
    <w:rsid w:val="00AE484B"/>
    <w:rsid w:val="00AE4A4F"/>
    <w:rsid w:val="00AE4CBA"/>
    <w:rsid w:val="00AE4CCD"/>
    <w:rsid w:val="00AE50E1"/>
    <w:rsid w:val="00AE55C1"/>
    <w:rsid w:val="00AE590B"/>
    <w:rsid w:val="00AE5978"/>
    <w:rsid w:val="00AE5F3D"/>
    <w:rsid w:val="00AE6118"/>
    <w:rsid w:val="00AE64F9"/>
    <w:rsid w:val="00AE66BC"/>
    <w:rsid w:val="00AE6C7F"/>
    <w:rsid w:val="00AE6F2A"/>
    <w:rsid w:val="00AE730C"/>
    <w:rsid w:val="00AE75EE"/>
    <w:rsid w:val="00AE7680"/>
    <w:rsid w:val="00AE7966"/>
    <w:rsid w:val="00AE796D"/>
    <w:rsid w:val="00AE7C80"/>
    <w:rsid w:val="00AE7D03"/>
    <w:rsid w:val="00AE7DB6"/>
    <w:rsid w:val="00AE7DF4"/>
    <w:rsid w:val="00AE7E59"/>
    <w:rsid w:val="00AF0118"/>
    <w:rsid w:val="00AF01A9"/>
    <w:rsid w:val="00AF020D"/>
    <w:rsid w:val="00AF0366"/>
    <w:rsid w:val="00AF0915"/>
    <w:rsid w:val="00AF0A19"/>
    <w:rsid w:val="00AF0A88"/>
    <w:rsid w:val="00AF0AC3"/>
    <w:rsid w:val="00AF0C3C"/>
    <w:rsid w:val="00AF0D68"/>
    <w:rsid w:val="00AF101E"/>
    <w:rsid w:val="00AF10C7"/>
    <w:rsid w:val="00AF13BB"/>
    <w:rsid w:val="00AF1769"/>
    <w:rsid w:val="00AF18A8"/>
    <w:rsid w:val="00AF19CA"/>
    <w:rsid w:val="00AF1A03"/>
    <w:rsid w:val="00AF1CB0"/>
    <w:rsid w:val="00AF1E69"/>
    <w:rsid w:val="00AF200C"/>
    <w:rsid w:val="00AF2176"/>
    <w:rsid w:val="00AF256E"/>
    <w:rsid w:val="00AF2807"/>
    <w:rsid w:val="00AF2E7E"/>
    <w:rsid w:val="00AF3182"/>
    <w:rsid w:val="00AF31FE"/>
    <w:rsid w:val="00AF3294"/>
    <w:rsid w:val="00AF32A0"/>
    <w:rsid w:val="00AF35C6"/>
    <w:rsid w:val="00AF3B62"/>
    <w:rsid w:val="00AF3BD3"/>
    <w:rsid w:val="00AF43EB"/>
    <w:rsid w:val="00AF45FB"/>
    <w:rsid w:val="00AF473A"/>
    <w:rsid w:val="00AF47BC"/>
    <w:rsid w:val="00AF495B"/>
    <w:rsid w:val="00AF4AB7"/>
    <w:rsid w:val="00AF4CBD"/>
    <w:rsid w:val="00AF4F35"/>
    <w:rsid w:val="00AF548B"/>
    <w:rsid w:val="00AF56D7"/>
    <w:rsid w:val="00AF5707"/>
    <w:rsid w:val="00AF5891"/>
    <w:rsid w:val="00AF5FE4"/>
    <w:rsid w:val="00AF60C8"/>
    <w:rsid w:val="00AF6401"/>
    <w:rsid w:val="00AF6445"/>
    <w:rsid w:val="00AF6690"/>
    <w:rsid w:val="00AF66E0"/>
    <w:rsid w:val="00AF6777"/>
    <w:rsid w:val="00AF6B5E"/>
    <w:rsid w:val="00AF6EF8"/>
    <w:rsid w:val="00AF6F42"/>
    <w:rsid w:val="00AF6FA2"/>
    <w:rsid w:val="00AF72A1"/>
    <w:rsid w:val="00AF743D"/>
    <w:rsid w:val="00AF7574"/>
    <w:rsid w:val="00AF7640"/>
    <w:rsid w:val="00AF7737"/>
    <w:rsid w:val="00AF788E"/>
    <w:rsid w:val="00AF7CAC"/>
    <w:rsid w:val="00AF7D9B"/>
    <w:rsid w:val="00B00150"/>
    <w:rsid w:val="00B00508"/>
    <w:rsid w:val="00B00519"/>
    <w:rsid w:val="00B00C71"/>
    <w:rsid w:val="00B00F1F"/>
    <w:rsid w:val="00B00F26"/>
    <w:rsid w:val="00B0120D"/>
    <w:rsid w:val="00B013D6"/>
    <w:rsid w:val="00B0145C"/>
    <w:rsid w:val="00B017EE"/>
    <w:rsid w:val="00B018E7"/>
    <w:rsid w:val="00B01AA0"/>
    <w:rsid w:val="00B01CC2"/>
    <w:rsid w:val="00B01E24"/>
    <w:rsid w:val="00B01E4C"/>
    <w:rsid w:val="00B01E9F"/>
    <w:rsid w:val="00B02336"/>
    <w:rsid w:val="00B02702"/>
    <w:rsid w:val="00B02779"/>
    <w:rsid w:val="00B029C7"/>
    <w:rsid w:val="00B02B48"/>
    <w:rsid w:val="00B02CE2"/>
    <w:rsid w:val="00B02EAD"/>
    <w:rsid w:val="00B03859"/>
    <w:rsid w:val="00B03A97"/>
    <w:rsid w:val="00B03C9A"/>
    <w:rsid w:val="00B03D1E"/>
    <w:rsid w:val="00B0425A"/>
    <w:rsid w:val="00B04BAD"/>
    <w:rsid w:val="00B04DA4"/>
    <w:rsid w:val="00B04E23"/>
    <w:rsid w:val="00B05209"/>
    <w:rsid w:val="00B05694"/>
    <w:rsid w:val="00B0571C"/>
    <w:rsid w:val="00B05876"/>
    <w:rsid w:val="00B05AF2"/>
    <w:rsid w:val="00B05C88"/>
    <w:rsid w:val="00B05EA6"/>
    <w:rsid w:val="00B0637C"/>
    <w:rsid w:val="00B0644F"/>
    <w:rsid w:val="00B0678B"/>
    <w:rsid w:val="00B06889"/>
    <w:rsid w:val="00B068B1"/>
    <w:rsid w:val="00B068C5"/>
    <w:rsid w:val="00B07465"/>
    <w:rsid w:val="00B07969"/>
    <w:rsid w:val="00B07C0C"/>
    <w:rsid w:val="00B07D60"/>
    <w:rsid w:val="00B101E7"/>
    <w:rsid w:val="00B1055A"/>
    <w:rsid w:val="00B10B28"/>
    <w:rsid w:val="00B1115A"/>
    <w:rsid w:val="00B111B6"/>
    <w:rsid w:val="00B112B7"/>
    <w:rsid w:val="00B114E7"/>
    <w:rsid w:val="00B115E9"/>
    <w:rsid w:val="00B1163F"/>
    <w:rsid w:val="00B11D6C"/>
    <w:rsid w:val="00B11EC3"/>
    <w:rsid w:val="00B12267"/>
    <w:rsid w:val="00B12483"/>
    <w:rsid w:val="00B124A6"/>
    <w:rsid w:val="00B127A7"/>
    <w:rsid w:val="00B12892"/>
    <w:rsid w:val="00B12990"/>
    <w:rsid w:val="00B129A1"/>
    <w:rsid w:val="00B12A75"/>
    <w:rsid w:val="00B12BE7"/>
    <w:rsid w:val="00B130AA"/>
    <w:rsid w:val="00B13183"/>
    <w:rsid w:val="00B131A2"/>
    <w:rsid w:val="00B13342"/>
    <w:rsid w:val="00B133C7"/>
    <w:rsid w:val="00B13659"/>
    <w:rsid w:val="00B1392A"/>
    <w:rsid w:val="00B13CDD"/>
    <w:rsid w:val="00B13FDC"/>
    <w:rsid w:val="00B14138"/>
    <w:rsid w:val="00B14358"/>
    <w:rsid w:val="00B14540"/>
    <w:rsid w:val="00B14EAB"/>
    <w:rsid w:val="00B15003"/>
    <w:rsid w:val="00B1509D"/>
    <w:rsid w:val="00B1512D"/>
    <w:rsid w:val="00B15275"/>
    <w:rsid w:val="00B15495"/>
    <w:rsid w:val="00B15792"/>
    <w:rsid w:val="00B158DA"/>
    <w:rsid w:val="00B158FA"/>
    <w:rsid w:val="00B1597D"/>
    <w:rsid w:val="00B15FB6"/>
    <w:rsid w:val="00B16032"/>
    <w:rsid w:val="00B1622C"/>
    <w:rsid w:val="00B1661A"/>
    <w:rsid w:val="00B169B5"/>
    <w:rsid w:val="00B169EF"/>
    <w:rsid w:val="00B16A43"/>
    <w:rsid w:val="00B16A90"/>
    <w:rsid w:val="00B16D19"/>
    <w:rsid w:val="00B16F17"/>
    <w:rsid w:val="00B16F8D"/>
    <w:rsid w:val="00B17143"/>
    <w:rsid w:val="00B17435"/>
    <w:rsid w:val="00B17FA9"/>
    <w:rsid w:val="00B200CC"/>
    <w:rsid w:val="00B2018D"/>
    <w:rsid w:val="00B202F3"/>
    <w:rsid w:val="00B2033A"/>
    <w:rsid w:val="00B2038A"/>
    <w:rsid w:val="00B209DF"/>
    <w:rsid w:val="00B20CCB"/>
    <w:rsid w:val="00B2100C"/>
    <w:rsid w:val="00B21A74"/>
    <w:rsid w:val="00B21B86"/>
    <w:rsid w:val="00B21E88"/>
    <w:rsid w:val="00B22412"/>
    <w:rsid w:val="00B2273E"/>
    <w:rsid w:val="00B229F4"/>
    <w:rsid w:val="00B22BEC"/>
    <w:rsid w:val="00B22F84"/>
    <w:rsid w:val="00B23078"/>
    <w:rsid w:val="00B233EE"/>
    <w:rsid w:val="00B23707"/>
    <w:rsid w:val="00B23996"/>
    <w:rsid w:val="00B23C3B"/>
    <w:rsid w:val="00B23DD3"/>
    <w:rsid w:val="00B23F8D"/>
    <w:rsid w:val="00B240D1"/>
    <w:rsid w:val="00B24228"/>
    <w:rsid w:val="00B24336"/>
    <w:rsid w:val="00B246A0"/>
    <w:rsid w:val="00B24D65"/>
    <w:rsid w:val="00B24F9F"/>
    <w:rsid w:val="00B2523A"/>
    <w:rsid w:val="00B2567A"/>
    <w:rsid w:val="00B25AED"/>
    <w:rsid w:val="00B25C81"/>
    <w:rsid w:val="00B260EA"/>
    <w:rsid w:val="00B26287"/>
    <w:rsid w:val="00B2650E"/>
    <w:rsid w:val="00B26A1E"/>
    <w:rsid w:val="00B26A51"/>
    <w:rsid w:val="00B26C42"/>
    <w:rsid w:val="00B270D9"/>
    <w:rsid w:val="00B2762F"/>
    <w:rsid w:val="00B278BA"/>
    <w:rsid w:val="00B27948"/>
    <w:rsid w:val="00B27C98"/>
    <w:rsid w:val="00B27CDB"/>
    <w:rsid w:val="00B27F8D"/>
    <w:rsid w:val="00B304F6"/>
    <w:rsid w:val="00B305F4"/>
    <w:rsid w:val="00B307D8"/>
    <w:rsid w:val="00B30ACD"/>
    <w:rsid w:val="00B30B14"/>
    <w:rsid w:val="00B31247"/>
    <w:rsid w:val="00B31332"/>
    <w:rsid w:val="00B3133C"/>
    <w:rsid w:val="00B3197F"/>
    <w:rsid w:val="00B31AFF"/>
    <w:rsid w:val="00B31C7C"/>
    <w:rsid w:val="00B31CF4"/>
    <w:rsid w:val="00B31D44"/>
    <w:rsid w:val="00B31DF3"/>
    <w:rsid w:val="00B32087"/>
    <w:rsid w:val="00B32101"/>
    <w:rsid w:val="00B3234D"/>
    <w:rsid w:val="00B3236C"/>
    <w:rsid w:val="00B3273B"/>
    <w:rsid w:val="00B32753"/>
    <w:rsid w:val="00B32B49"/>
    <w:rsid w:val="00B32B7C"/>
    <w:rsid w:val="00B3337A"/>
    <w:rsid w:val="00B33569"/>
    <w:rsid w:val="00B336F1"/>
    <w:rsid w:val="00B33714"/>
    <w:rsid w:val="00B33995"/>
    <w:rsid w:val="00B33FEA"/>
    <w:rsid w:val="00B34174"/>
    <w:rsid w:val="00B3418D"/>
    <w:rsid w:val="00B341CB"/>
    <w:rsid w:val="00B34365"/>
    <w:rsid w:val="00B34589"/>
    <w:rsid w:val="00B34AAF"/>
    <w:rsid w:val="00B34B3B"/>
    <w:rsid w:val="00B34B90"/>
    <w:rsid w:val="00B34C02"/>
    <w:rsid w:val="00B351B6"/>
    <w:rsid w:val="00B35A5E"/>
    <w:rsid w:val="00B35C46"/>
    <w:rsid w:val="00B35D81"/>
    <w:rsid w:val="00B35DB0"/>
    <w:rsid w:val="00B35F50"/>
    <w:rsid w:val="00B361B7"/>
    <w:rsid w:val="00B363E8"/>
    <w:rsid w:val="00B36649"/>
    <w:rsid w:val="00B36857"/>
    <w:rsid w:val="00B368E9"/>
    <w:rsid w:val="00B36941"/>
    <w:rsid w:val="00B36F23"/>
    <w:rsid w:val="00B3706F"/>
    <w:rsid w:val="00B3725F"/>
    <w:rsid w:val="00B372D0"/>
    <w:rsid w:val="00B372DB"/>
    <w:rsid w:val="00B37333"/>
    <w:rsid w:val="00B374A3"/>
    <w:rsid w:val="00B376A1"/>
    <w:rsid w:val="00B3781F"/>
    <w:rsid w:val="00B37890"/>
    <w:rsid w:val="00B37B63"/>
    <w:rsid w:val="00B37C32"/>
    <w:rsid w:val="00B37E50"/>
    <w:rsid w:val="00B37FEA"/>
    <w:rsid w:val="00B40534"/>
    <w:rsid w:val="00B41381"/>
    <w:rsid w:val="00B413A1"/>
    <w:rsid w:val="00B4152E"/>
    <w:rsid w:val="00B415AD"/>
    <w:rsid w:val="00B41D25"/>
    <w:rsid w:val="00B42291"/>
    <w:rsid w:val="00B42396"/>
    <w:rsid w:val="00B4271F"/>
    <w:rsid w:val="00B4285F"/>
    <w:rsid w:val="00B428B9"/>
    <w:rsid w:val="00B428BD"/>
    <w:rsid w:val="00B42AF0"/>
    <w:rsid w:val="00B42BA3"/>
    <w:rsid w:val="00B42D72"/>
    <w:rsid w:val="00B43155"/>
    <w:rsid w:val="00B43301"/>
    <w:rsid w:val="00B43468"/>
    <w:rsid w:val="00B43EA7"/>
    <w:rsid w:val="00B442C7"/>
    <w:rsid w:val="00B444BF"/>
    <w:rsid w:val="00B44CC9"/>
    <w:rsid w:val="00B44FC6"/>
    <w:rsid w:val="00B44FDD"/>
    <w:rsid w:val="00B451EE"/>
    <w:rsid w:val="00B45306"/>
    <w:rsid w:val="00B45499"/>
    <w:rsid w:val="00B455BB"/>
    <w:rsid w:val="00B45709"/>
    <w:rsid w:val="00B45A6F"/>
    <w:rsid w:val="00B45B24"/>
    <w:rsid w:val="00B45C51"/>
    <w:rsid w:val="00B45D8B"/>
    <w:rsid w:val="00B4603B"/>
    <w:rsid w:val="00B46348"/>
    <w:rsid w:val="00B46735"/>
    <w:rsid w:val="00B4780A"/>
    <w:rsid w:val="00B47979"/>
    <w:rsid w:val="00B4799D"/>
    <w:rsid w:val="00B47D04"/>
    <w:rsid w:val="00B47D17"/>
    <w:rsid w:val="00B47E11"/>
    <w:rsid w:val="00B504AA"/>
    <w:rsid w:val="00B50502"/>
    <w:rsid w:val="00B50929"/>
    <w:rsid w:val="00B50C2C"/>
    <w:rsid w:val="00B50D8B"/>
    <w:rsid w:val="00B50F65"/>
    <w:rsid w:val="00B51205"/>
    <w:rsid w:val="00B512F8"/>
    <w:rsid w:val="00B51325"/>
    <w:rsid w:val="00B5152F"/>
    <w:rsid w:val="00B515D1"/>
    <w:rsid w:val="00B51F1C"/>
    <w:rsid w:val="00B521FE"/>
    <w:rsid w:val="00B524A7"/>
    <w:rsid w:val="00B52770"/>
    <w:rsid w:val="00B52C85"/>
    <w:rsid w:val="00B531B2"/>
    <w:rsid w:val="00B53332"/>
    <w:rsid w:val="00B53495"/>
    <w:rsid w:val="00B534B2"/>
    <w:rsid w:val="00B536FA"/>
    <w:rsid w:val="00B5409D"/>
    <w:rsid w:val="00B54176"/>
    <w:rsid w:val="00B542A1"/>
    <w:rsid w:val="00B542BA"/>
    <w:rsid w:val="00B5453A"/>
    <w:rsid w:val="00B5460D"/>
    <w:rsid w:val="00B54841"/>
    <w:rsid w:val="00B54850"/>
    <w:rsid w:val="00B5493B"/>
    <w:rsid w:val="00B55B26"/>
    <w:rsid w:val="00B55BAC"/>
    <w:rsid w:val="00B55C95"/>
    <w:rsid w:val="00B55EED"/>
    <w:rsid w:val="00B55FA9"/>
    <w:rsid w:val="00B560C3"/>
    <w:rsid w:val="00B5631A"/>
    <w:rsid w:val="00B56399"/>
    <w:rsid w:val="00B56711"/>
    <w:rsid w:val="00B56DFE"/>
    <w:rsid w:val="00B56E4E"/>
    <w:rsid w:val="00B56E9B"/>
    <w:rsid w:val="00B56F05"/>
    <w:rsid w:val="00B56F33"/>
    <w:rsid w:val="00B56FA4"/>
    <w:rsid w:val="00B57512"/>
    <w:rsid w:val="00B575D3"/>
    <w:rsid w:val="00B575FF"/>
    <w:rsid w:val="00B5777B"/>
    <w:rsid w:val="00B577C8"/>
    <w:rsid w:val="00B578F3"/>
    <w:rsid w:val="00B57CB5"/>
    <w:rsid w:val="00B57E09"/>
    <w:rsid w:val="00B6033A"/>
    <w:rsid w:val="00B60350"/>
    <w:rsid w:val="00B603D1"/>
    <w:rsid w:val="00B6052F"/>
    <w:rsid w:val="00B60583"/>
    <w:rsid w:val="00B6070A"/>
    <w:rsid w:val="00B61C25"/>
    <w:rsid w:val="00B61CDA"/>
    <w:rsid w:val="00B61E35"/>
    <w:rsid w:val="00B623D1"/>
    <w:rsid w:val="00B625BA"/>
    <w:rsid w:val="00B62645"/>
    <w:rsid w:val="00B626BA"/>
    <w:rsid w:val="00B6287C"/>
    <w:rsid w:val="00B62C35"/>
    <w:rsid w:val="00B62DFC"/>
    <w:rsid w:val="00B62EFC"/>
    <w:rsid w:val="00B63177"/>
    <w:rsid w:val="00B636ED"/>
    <w:rsid w:val="00B63941"/>
    <w:rsid w:val="00B63BD6"/>
    <w:rsid w:val="00B63BE7"/>
    <w:rsid w:val="00B63C00"/>
    <w:rsid w:val="00B63FC8"/>
    <w:rsid w:val="00B64054"/>
    <w:rsid w:val="00B6406F"/>
    <w:rsid w:val="00B64794"/>
    <w:rsid w:val="00B64814"/>
    <w:rsid w:val="00B649D2"/>
    <w:rsid w:val="00B64A70"/>
    <w:rsid w:val="00B64AE4"/>
    <w:rsid w:val="00B65016"/>
    <w:rsid w:val="00B65188"/>
    <w:rsid w:val="00B6523F"/>
    <w:rsid w:val="00B65504"/>
    <w:rsid w:val="00B65744"/>
    <w:rsid w:val="00B6584B"/>
    <w:rsid w:val="00B65D20"/>
    <w:rsid w:val="00B65DD1"/>
    <w:rsid w:val="00B65F0D"/>
    <w:rsid w:val="00B66102"/>
    <w:rsid w:val="00B6614A"/>
    <w:rsid w:val="00B66446"/>
    <w:rsid w:val="00B6645F"/>
    <w:rsid w:val="00B665B8"/>
    <w:rsid w:val="00B66DD4"/>
    <w:rsid w:val="00B66F86"/>
    <w:rsid w:val="00B67232"/>
    <w:rsid w:val="00B6746C"/>
    <w:rsid w:val="00B674AA"/>
    <w:rsid w:val="00B678B4"/>
    <w:rsid w:val="00B67AE9"/>
    <w:rsid w:val="00B67B90"/>
    <w:rsid w:val="00B70099"/>
    <w:rsid w:val="00B70335"/>
    <w:rsid w:val="00B7033B"/>
    <w:rsid w:val="00B70661"/>
    <w:rsid w:val="00B7071E"/>
    <w:rsid w:val="00B707C9"/>
    <w:rsid w:val="00B70BAD"/>
    <w:rsid w:val="00B70D41"/>
    <w:rsid w:val="00B70E9A"/>
    <w:rsid w:val="00B710AD"/>
    <w:rsid w:val="00B711B9"/>
    <w:rsid w:val="00B717E4"/>
    <w:rsid w:val="00B71DF1"/>
    <w:rsid w:val="00B721EF"/>
    <w:rsid w:val="00B7220E"/>
    <w:rsid w:val="00B725F4"/>
    <w:rsid w:val="00B7265A"/>
    <w:rsid w:val="00B72DFF"/>
    <w:rsid w:val="00B73104"/>
    <w:rsid w:val="00B7310B"/>
    <w:rsid w:val="00B73240"/>
    <w:rsid w:val="00B7341F"/>
    <w:rsid w:val="00B735D1"/>
    <w:rsid w:val="00B73891"/>
    <w:rsid w:val="00B738A6"/>
    <w:rsid w:val="00B73A9A"/>
    <w:rsid w:val="00B73CC5"/>
    <w:rsid w:val="00B740C2"/>
    <w:rsid w:val="00B74838"/>
    <w:rsid w:val="00B74A28"/>
    <w:rsid w:val="00B74AD5"/>
    <w:rsid w:val="00B74AFD"/>
    <w:rsid w:val="00B74B33"/>
    <w:rsid w:val="00B75022"/>
    <w:rsid w:val="00B75803"/>
    <w:rsid w:val="00B758EB"/>
    <w:rsid w:val="00B75976"/>
    <w:rsid w:val="00B759F7"/>
    <w:rsid w:val="00B75A0B"/>
    <w:rsid w:val="00B75A0E"/>
    <w:rsid w:val="00B75BB8"/>
    <w:rsid w:val="00B763ED"/>
    <w:rsid w:val="00B76406"/>
    <w:rsid w:val="00B768B4"/>
    <w:rsid w:val="00B7692F"/>
    <w:rsid w:val="00B76E30"/>
    <w:rsid w:val="00B772A5"/>
    <w:rsid w:val="00B773C9"/>
    <w:rsid w:val="00B77443"/>
    <w:rsid w:val="00B775E8"/>
    <w:rsid w:val="00B7775D"/>
    <w:rsid w:val="00B7788E"/>
    <w:rsid w:val="00B77DA5"/>
    <w:rsid w:val="00B77DB3"/>
    <w:rsid w:val="00B77F3C"/>
    <w:rsid w:val="00B8039B"/>
    <w:rsid w:val="00B809C4"/>
    <w:rsid w:val="00B80C5D"/>
    <w:rsid w:val="00B80E93"/>
    <w:rsid w:val="00B80F62"/>
    <w:rsid w:val="00B8103D"/>
    <w:rsid w:val="00B81176"/>
    <w:rsid w:val="00B818FA"/>
    <w:rsid w:val="00B81E00"/>
    <w:rsid w:val="00B8221E"/>
    <w:rsid w:val="00B82871"/>
    <w:rsid w:val="00B828DB"/>
    <w:rsid w:val="00B8294A"/>
    <w:rsid w:val="00B829B6"/>
    <w:rsid w:val="00B82A09"/>
    <w:rsid w:val="00B82ADF"/>
    <w:rsid w:val="00B82C64"/>
    <w:rsid w:val="00B832B5"/>
    <w:rsid w:val="00B834E9"/>
    <w:rsid w:val="00B835F3"/>
    <w:rsid w:val="00B8379B"/>
    <w:rsid w:val="00B839D4"/>
    <w:rsid w:val="00B83BF6"/>
    <w:rsid w:val="00B83D7B"/>
    <w:rsid w:val="00B83FC9"/>
    <w:rsid w:val="00B84081"/>
    <w:rsid w:val="00B841F6"/>
    <w:rsid w:val="00B841FB"/>
    <w:rsid w:val="00B842EE"/>
    <w:rsid w:val="00B84579"/>
    <w:rsid w:val="00B846CD"/>
    <w:rsid w:val="00B84796"/>
    <w:rsid w:val="00B84906"/>
    <w:rsid w:val="00B84A14"/>
    <w:rsid w:val="00B84B34"/>
    <w:rsid w:val="00B84D24"/>
    <w:rsid w:val="00B84DB9"/>
    <w:rsid w:val="00B85128"/>
    <w:rsid w:val="00B8524B"/>
    <w:rsid w:val="00B8547A"/>
    <w:rsid w:val="00B85534"/>
    <w:rsid w:val="00B8562B"/>
    <w:rsid w:val="00B860F9"/>
    <w:rsid w:val="00B8641B"/>
    <w:rsid w:val="00B8644E"/>
    <w:rsid w:val="00B864F8"/>
    <w:rsid w:val="00B867A7"/>
    <w:rsid w:val="00B867FC"/>
    <w:rsid w:val="00B868EB"/>
    <w:rsid w:val="00B869B1"/>
    <w:rsid w:val="00B8723B"/>
    <w:rsid w:val="00B87724"/>
    <w:rsid w:val="00B87A48"/>
    <w:rsid w:val="00B87DF0"/>
    <w:rsid w:val="00B8DAA9"/>
    <w:rsid w:val="00B9027F"/>
    <w:rsid w:val="00B90305"/>
    <w:rsid w:val="00B906B7"/>
    <w:rsid w:val="00B90812"/>
    <w:rsid w:val="00B90881"/>
    <w:rsid w:val="00B90918"/>
    <w:rsid w:val="00B90C6A"/>
    <w:rsid w:val="00B90D0C"/>
    <w:rsid w:val="00B90D8C"/>
    <w:rsid w:val="00B91238"/>
    <w:rsid w:val="00B919FA"/>
    <w:rsid w:val="00B91A5D"/>
    <w:rsid w:val="00B91C6A"/>
    <w:rsid w:val="00B92197"/>
    <w:rsid w:val="00B921CF"/>
    <w:rsid w:val="00B922C5"/>
    <w:rsid w:val="00B922F9"/>
    <w:rsid w:val="00B9244F"/>
    <w:rsid w:val="00B92481"/>
    <w:rsid w:val="00B9263E"/>
    <w:rsid w:val="00B9293C"/>
    <w:rsid w:val="00B92A55"/>
    <w:rsid w:val="00B92B4E"/>
    <w:rsid w:val="00B930EA"/>
    <w:rsid w:val="00B9315B"/>
    <w:rsid w:val="00B931C0"/>
    <w:rsid w:val="00B933C7"/>
    <w:rsid w:val="00B93567"/>
    <w:rsid w:val="00B937C7"/>
    <w:rsid w:val="00B94204"/>
    <w:rsid w:val="00B94248"/>
    <w:rsid w:val="00B94441"/>
    <w:rsid w:val="00B94671"/>
    <w:rsid w:val="00B946C1"/>
    <w:rsid w:val="00B94767"/>
    <w:rsid w:val="00B9486B"/>
    <w:rsid w:val="00B9486C"/>
    <w:rsid w:val="00B948F3"/>
    <w:rsid w:val="00B94AEC"/>
    <w:rsid w:val="00B94BBF"/>
    <w:rsid w:val="00B94BD6"/>
    <w:rsid w:val="00B94CFF"/>
    <w:rsid w:val="00B95556"/>
    <w:rsid w:val="00B95A28"/>
    <w:rsid w:val="00B95AF8"/>
    <w:rsid w:val="00B95BB4"/>
    <w:rsid w:val="00B95D27"/>
    <w:rsid w:val="00B95F80"/>
    <w:rsid w:val="00B95FFD"/>
    <w:rsid w:val="00B96102"/>
    <w:rsid w:val="00B9631C"/>
    <w:rsid w:val="00B96327"/>
    <w:rsid w:val="00B96552"/>
    <w:rsid w:val="00B965FB"/>
    <w:rsid w:val="00B966A1"/>
    <w:rsid w:val="00B96DE6"/>
    <w:rsid w:val="00B97041"/>
    <w:rsid w:val="00B9732A"/>
    <w:rsid w:val="00B9763F"/>
    <w:rsid w:val="00B97ABE"/>
    <w:rsid w:val="00B97C6D"/>
    <w:rsid w:val="00BA0119"/>
    <w:rsid w:val="00BA07C0"/>
    <w:rsid w:val="00BA0C6A"/>
    <w:rsid w:val="00BA0E34"/>
    <w:rsid w:val="00BA0FF8"/>
    <w:rsid w:val="00BA1137"/>
    <w:rsid w:val="00BA1410"/>
    <w:rsid w:val="00BA192D"/>
    <w:rsid w:val="00BA1C81"/>
    <w:rsid w:val="00BA1F6A"/>
    <w:rsid w:val="00BA21B5"/>
    <w:rsid w:val="00BA25C1"/>
    <w:rsid w:val="00BA27D4"/>
    <w:rsid w:val="00BA2951"/>
    <w:rsid w:val="00BA2B1B"/>
    <w:rsid w:val="00BA348E"/>
    <w:rsid w:val="00BA367D"/>
    <w:rsid w:val="00BA373B"/>
    <w:rsid w:val="00BA3863"/>
    <w:rsid w:val="00BA3935"/>
    <w:rsid w:val="00BA3EC8"/>
    <w:rsid w:val="00BA4260"/>
    <w:rsid w:val="00BA4C6A"/>
    <w:rsid w:val="00BA50FB"/>
    <w:rsid w:val="00BA511B"/>
    <w:rsid w:val="00BA5C04"/>
    <w:rsid w:val="00BA5C30"/>
    <w:rsid w:val="00BA5CA4"/>
    <w:rsid w:val="00BA5EA6"/>
    <w:rsid w:val="00BA5EC7"/>
    <w:rsid w:val="00BA603B"/>
    <w:rsid w:val="00BA6095"/>
    <w:rsid w:val="00BA6282"/>
    <w:rsid w:val="00BA6645"/>
    <w:rsid w:val="00BA671A"/>
    <w:rsid w:val="00BA69B9"/>
    <w:rsid w:val="00BA6CDF"/>
    <w:rsid w:val="00BA6D08"/>
    <w:rsid w:val="00BA6DBB"/>
    <w:rsid w:val="00BA6FEE"/>
    <w:rsid w:val="00BA7457"/>
    <w:rsid w:val="00BA7544"/>
    <w:rsid w:val="00BA7AA8"/>
    <w:rsid w:val="00BA7C2E"/>
    <w:rsid w:val="00BA7C85"/>
    <w:rsid w:val="00BA7DA6"/>
    <w:rsid w:val="00BA7EF4"/>
    <w:rsid w:val="00BB0506"/>
    <w:rsid w:val="00BB0656"/>
    <w:rsid w:val="00BB0A82"/>
    <w:rsid w:val="00BB0AB8"/>
    <w:rsid w:val="00BB16C7"/>
    <w:rsid w:val="00BB1855"/>
    <w:rsid w:val="00BB19A3"/>
    <w:rsid w:val="00BB1A78"/>
    <w:rsid w:val="00BB1B0B"/>
    <w:rsid w:val="00BB1C1F"/>
    <w:rsid w:val="00BB2008"/>
    <w:rsid w:val="00BB2730"/>
    <w:rsid w:val="00BB28E1"/>
    <w:rsid w:val="00BB32CF"/>
    <w:rsid w:val="00BB3388"/>
    <w:rsid w:val="00BB3469"/>
    <w:rsid w:val="00BB381C"/>
    <w:rsid w:val="00BB3A3E"/>
    <w:rsid w:val="00BB4096"/>
    <w:rsid w:val="00BB4298"/>
    <w:rsid w:val="00BB4547"/>
    <w:rsid w:val="00BB4D32"/>
    <w:rsid w:val="00BB5031"/>
    <w:rsid w:val="00BB5134"/>
    <w:rsid w:val="00BB5210"/>
    <w:rsid w:val="00BB5744"/>
    <w:rsid w:val="00BB59B9"/>
    <w:rsid w:val="00BB59CB"/>
    <w:rsid w:val="00BB5AC5"/>
    <w:rsid w:val="00BB5E63"/>
    <w:rsid w:val="00BB6790"/>
    <w:rsid w:val="00BB67D7"/>
    <w:rsid w:val="00BB68EB"/>
    <w:rsid w:val="00BB6909"/>
    <w:rsid w:val="00BB6BB7"/>
    <w:rsid w:val="00BB6C9F"/>
    <w:rsid w:val="00BB6DE5"/>
    <w:rsid w:val="00BB6E10"/>
    <w:rsid w:val="00BB6E5D"/>
    <w:rsid w:val="00BB710C"/>
    <w:rsid w:val="00BB712F"/>
    <w:rsid w:val="00BB7448"/>
    <w:rsid w:val="00BB76E2"/>
    <w:rsid w:val="00BB773C"/>
    <w:rsid w:val="00BB77A9"/>
    <w:rsid w:val="00BB7B92"/>
    <w:rsid w:val="00BB7CC1"/>
    <w:rsid w:val="00BB7CD9"/>
    <w:rsid w:val="00BB7DE4"/>
    <w:rsid w:val="00BB7F18"/>
    <w:rsid w:val="00BC01CE"/>
    <w:rsid w:val="00BC022A"/>
    <w:rsid w:val="00BC05DD"/>
    <w:rsid w:val="00BC0A91"/>
    <w:rsid w:val="00BC0FF0"/>
    <w:rsid w:val="00BC12C5"/>
    <w:rsid w:val="00BC131E"/>
    <w:rsid w:val="00BC1A22"/>
    <w:rsid w:val="00BC1A7A"/>
    <w:rsid w:val="00BC1B73"/>
    <w:rsid w:val="00BC227A"/>
    <w:rsid w:val="00BC23A6"/>
    <w:rsid w:val="00BC24A7"/>
    <w:rsid w:val="00BC2917"/>
    <w:rsid w:val="00BC2958"/>
    <w:rsid w:val="00BC2C82"/>
    <w:rsid w:val="00BC2D3E"/>
    <w:rsid w:val="00BC2D51"/>
    <w:rsid w:val="00BC305E"/>
    <w:rsid w:val="00BC3167"/>
    <w:rsid w:val="00BC33C3"/>
    <w:rsid w:val="00BC344C"/>
    <w:rsid w:val="00BC402D"/>
    <w:rsid w:val="00BC40CB"/>
    <w:rsid w:val="00BC49E4"/>
    <w:rsid w:val="00BC5417"/>
    <w:rsid w:val="00BC574C"/>
    <w:rsid w:val="00BC5DE7"/>
    <w:rsid w:val="00BC61DB"/>
    <w:rsid w:val="00BC6223"/>
    <w:rsid w:val="00BC65D9"/>
    <w:rsid w:val="00BC671B"/>
    <w:rsid w:val="00BC67FD"/>
    <w:rsid w:val="00BC6D30"/>
    <w:rsid w:val="00BC6FAF"/>
    <w:rsid w:val="00BC71CF"/>
    <w:rsid w:val="00BC7343"/>
    <w:rsid w:val="00BC7481"/>
    <w:rsid w:val="00BC7524"/>
    <w:rsid w:val="00BC77DA"/>
    <w:rsid w:val="00BC7BAB"/>
    <w:rsid w:val="00BC7D15"/>
    <w:rsid w:val="00BC7D95"/>
    <w:rsid w:val="00BC7E41"/>
    <w:rsid w:val="00BC7F1D"/>
    <w:rsid w:val="00BD0038"/>
    <w:rsid w:val="00BD018A"/>
    <w:rsid w:val="00BD047A"/>
    <w:rsid w:val="00BD052B"/>
    <w:rsid w:val="00BD078A"/>
    <w:rsid w:val="00BD0BDD"/>
    <w:rsid w:val="00BD0BF1"/>
    <w:rsid w:val="00BD0C0A"/>
    <w:rsid w:val="00BD0C5E"/>
    <w:rsid w:val="00BD0C67"/>
    <w:rsid w:val="00BD0C84"/>
    <w:rsid w:val="00BD0F80"/>
    <w:rsid w:val="00BD1262"/>
    <w:rsid w:val="00BD146B"/>
    <w:rsid w:val="00BD14CD"/>
    <w:rsid w:val="00BD161B"/>
    <w:rsid w:val="00BD1637"/>
    <w:rsid w:val="00BD16D0"/>
    <w:rsid w:val="00BD1919"/>
    <w:rsid w:val="00BD195F"/>
    <w:rsid w:val="00BD1EA5"/>
    <w:rsid w:val="00BD1F52"/>
    <w:rsid w:val="00BD2016"/>
    <w:rsid w:val="00BD232D"/>
    <w:rsid w:val="00BD254B"/>
    <w:rsid w:val="00BD2EA5"/>
    <w:rsid w:val="00BD2FB5"/>
    <w:rsid w:val="00BD3060"/>
    <w:rsid w:val="00BD3196"/>
    <w:rsid w:val="00BD31B6"/>
    <w:rsid w:val="00BD3303"/>
    <w:rsid w:val="00BD4543"/>
    <w:rsid w:val="00BD46FD"/>
    <w:rsid w:val="00BD4745"/>
    <w:rsid w:val="00BD4793"/>
    <w:rsid w:val="00BD4F4F"/>
    <w:rsid w:val="00BD4F81"/>
    <w:rsid w:val="00BD5312"/>
    <w:rsid w:val="00BD53B7"/>
    <w:rsid w:val="00BD542A"/>
    <w:rsid w:val="00BD6326"/>
    <w:rsid w:val="00BD69C2"/>
    <w:rsid w:val="00BD69F7"/>
    <w:rsid w:val="00BD6CB3"/>
    <w:rsid w:val="00BD6D71"/>
    <w:rsid w:val="00BD6DBE"/>
    <w:rsid w:val="00BD6E4B"/>
    <w:rsid w:val="00BD6FB1"/>
    <w:rsid w:val="00BD70D2"/>
    <w:rsid w:val="00BD742F"/>
    <w:rsid w:val="00BD78A7"/>
    <w:rsid w:val="00BD7B23"/>
    <w:rsid w:val="00BD7C20"/>
    <w:rsid w:val="00BD7C3D"/>
    <w:rsid w:val="00BD7D92"/>
    <w:rsid w:val="00BE0044"/>
    <w:rsid w:val="00BE011E"/>
    <w:rsid w:val="00BE0157"/>
    <w:rsid w:val="00BE09D7"/>
    <w:rsid w:val="00BE0D26"/>
    <w:rsid w:val="00BE111C"/>
    <w:rsid w:val="00BE1162"/>
    <w:rsid w:val="00BE11E7"/>
    <w:rsid w:val="00BE136A"/>
    <w:rsid w:val="00BE13BE"/>
    <w:rsid w:val="00BE1B0E"/>
    <w:rsid w:val="00BE1CB3"/>
    <w:rsid w:val="00BE1DF5"/>
    <w:rsid w:val="00BE1EC1"/>
    <w:rsid w:val="00BE1F9F"/>
    <w:rsid w:val="00BE2005"/>
    <w:rsid w:val="00BE20E7"/>
    <w:rsid w:val="00BE24D9"/>
    <w:rsid w:val="00BE29BB"/>
    <w:rsid w:val="00BE2D5F"/>
    <w:rsid w:val="00BE2E30"/>
    <w:rsid w:val="00BE2EEB"/>
    <w:rsid w:val="00BE375F"/>
    <w:rsid w:val="00BE37B9"/>
    <w:rsid w:val="00BE380D"/>
    <w:rsid w:val="00BE395D"/>
    <w:rsid w:val="00BE3ACA"/>
    <w:rsid w:val="00BE3BBD"/>
    <w:rsid w:val="00BE3C11"/>
    <w:rsid w:val="00BE4096"/>
    <w:rsid w:val="00BE4182"/>
    <w:rsid w:val="00BE4448"/>
    <w:rsid w:val="00BE5034"/>
    <w:rsid w:val="00BE546A"/>
    <w:rsid w:val="00BE54F5"/>
    <w:rsid w:val="00BE56A9"/>
    <w:rsid w:val="00BE57B9"/>
    <w:rsid w:val="00BE5888"/>
    <w:rsid w:val="00BE5A97"/>
    <w:rsid w:val="00BE5B86"/>
    <w:rsid w:val="00BE5EFA"/>
    <w:rsid w:val="00BE5FC2"/>
    <w:rsid w:val="00BE617B"/>
    <w:rsid w:val="00BE6A5B"/>
    <w:rsid w:val="00BE6CA5"/>
    <w:rsid w:val="00BE6FF2"/>
    <w:rsid w:val="00BE7456"/>
    <w:rsid w:val="00BE7461"/>
    <w:rsid w:val="00BE7491"/>
    <w:rsid w:val="00BE75B8"/>
    <w:rsid w:val="00BE7884"/>
    <w:rsid w:val="00BE794E"/>
    <w:rsid w:val="00BE7ECB"/>
    <w:rsid w:val="00BE7F76"/>
    <w:rsid w:val="00BF016B"/>
    <w:rsid w:val="00BF0231"/>
    <w:rsid w:val="00BF02BD"/>
    <w:rsid w:val="00BF041D"/>
    <w:rsid w:val="00BF0541"/>
    <w:rsid w:val="00BF070C"/>
    <w:rsid w:val="00BF0942"/>
    <w:rsid w:val="00BF0A19"/>
    <w:rsid w:val="00BF0CBC"/>
    <w:rsid w:val="00BF0CCD"/>
    <w:rsid w:val="00BF0E0D"/>
    <w:rsid w:val="00BF11CA"/>
    <w:rsid w:val="00BF1608"/>
    <w:rsid w:val="00BF1B5C"/>
    <w:rsid w:val="00BF20EA"/>
    <w:rsid w:val="00BF21FD"/>
    <w:rsid w:val="00BF24EA"/>
    <w:rsid w:val="00BF25A2"/>
    <w:rsid w:val="00BF2804"/>
    <w:rsid w:val="00BF299F"/>
    <w:rsid w:val="00BF2AA0"/>
    <w:rsid w:val="00BF34D6"/>
    <w:rsid w:val="00BF3562"/>
    <w:rsid w:val="00BF398D"/>
    <w:rsid w:val="00BF3AB3"/>
    <w:rsid w:val="00BF3C8B"/>
    <w:rsid w:val="00BF3DAE"/>
    <w:rsid w:val="00BF3F12"/>
    <w:rsid w:val="00BF3F26"/>
    <w:rsid w:val="00BF3F4C"/>
    <w:rsid w:val="00BF3FBE"/>
    <w:rsid w:val="00BF4448"/>
    <w:rsid w:val="00BF44BB"/>
    <w:rsid w:val="00BF49A9"/>
    <w:rsid w:val="00BF4DA0"/>
    <w:rsid w:val="00BF503D"/>
    <w:rsid w:val="00BF513A"/>
    <w:rsid w:val="00BF5575"/>
    <w:rsid w:val="00BF5736"/>
    <w:rsid w:val="00BF5B06"/>
    <w:rsid w:val="00BF5C56"/>
    <w:rsid w:val="00BF6010"/>
    <w:rsid w:val="00BF6076"/>
    <w:rsid w:val="00BF612A"/>
    <w:rsid w:val="00BF6178"/>
    <w:rsid w:val="00BF619E"/>
    <w:rsid w:val="00BF63AD"/>
    <w:rsid w:val="00BF6651"/>
    <w:rsid w:val="00BF6724"/>
    <w:rsid w:val="00BF686F"/>
    <w:rsid w:val="00BF6877"/>
    <w:rsid w:val="00BF687E"/>
    <w:rsid w:val="00BF68E3"/>
    <w:rsid w:val="00BF6964"/>
    <w:rsid w:val="00BF699D"/>
    <w:rsid w:val="00BF6A97"/>
    <w:rsid w:val="00BF6B8E"/>
    <w:rsid w:val="00BF7035"/>
    <w:rsid w:val="00BF725D"/>
    <w:rsid w:val="00BF7407"/>
    <w:rsid w:val="00BF7B53"/>
    <w:rsid w:val="00BF7D1E"/>
    <w:rsid w:val="00C00432"/>
    <w:rsid w:val="00C00560"/>
    <w:rsid w:val="00C0057D"/>
    <w:rsid w:val="00C005DB"/>
    <w:rsid w:val="00C008AD"/>
    <w:rsid w:val="00C01177"/>
    <w:rsid w:val="00C011B6"/>
    <w:rsid w:val="00C01819"/>
    <w:rsid w:val="00C01965"/>
    <w:rsid w:val="00C01C0D"/>
    <w:rsid w:val="00C01C81"/>
    <w:rsid w:val="00C01F58"/>
    <w:rsid w:val="00C02142"/>
    <w:rsid w:val="00C023A9"/>
    <w:rsid w:val="00C02547"/>
    <w:rsid w:val="00C025BC"/>
    <w:rsid w:val="00C02745"/>
    <w:rsid w:val="00C02992"/>
    <w:rsid w:val="00C029B1"/>
    <w:rsid w:val="00C02D07"/>
    <w:rsid w:val="00C02E0B"/>
    <w:rsid w:val="00C02F83"/>
    <w:rsid w:val="00C03421"/>
    <w:rsid w:val="00C0380F"/>
    <w:rsid w:val="00C0388F"/>
    <w:rsid w:val="00C039E3"/>
    <w:rsid w:val="00C03BC8"/>
    <w:rsid w:val="00C0423E"/>
    <w:rsid w:val="00C04616"/>
    <w:rsid w:val="00C04725"/>
    <w:rsid w:val="00C04864"/>
    <w:rsid w:val="00C04BE7"/>
    <w:rsid w:val="00C04E7E"/>
    <w:rsid w:val="00C0509A"/>
    <w:rsid w:val="00C05258"/>
    <w:rsid w:val="00C05294"/>
    <w:rsid w:val="00C05478"/>
    <w:rsid w:val="00C05688"/>
    <w:rsid w:val="00C05F6F"/>
    <w:rsid w:val="00C061F1"/>
    <w:rsid w:val="00C06315"/>
    <w:rsid w:val="00C0641C"/>
    <w:rsid w:val="00C06965"/>
    <w:rsid w:val="00C06ACD"/>
    <w:rsid w:val="00C06D3A"/>
    <w:rsid w:val="00C07196"/>
    <w:rsid w:val="00C07981"/>
    <w:rsid w:val="00C07E6D"/>
    <w:rsid w:val="00C1001E"/>
    <w:rsid w:val="00C102C7"/>
    <w:rsid w:val="00C10665"/>
    <w:rsid w:val="00C10989"/>
    <w:rsid w:val="00C10EDF"/>
    <w:rsid w:val="00C10F76"/>
    <w:rsid w:val="00C110D5"/>
    <w:rsid w:val="00C1112D"/>
    <w:rsid w:val="00C1122A"/>
    <w:rsid w:val="00C11247"/>
    <w:rsid w:val="00C117D7"/>
    <w:rsid w:val="00C11830"/>
    <w:rsid w:val="00C11858"/>
    <w:rsid w:val="00C119AF"/>
    <w:rsid w:val="00C11D51"/>
    <w:rsid w:val="00C12432"/>
    <w:rsid w:val="00C125D2"/>
    <w:rsid w:val="00C127C5"/>
    <w:rsid w:val="00C12A16"/>
    <w:rsid w:val="00C12AF2"/>
    <w:rsid w:val="00C12EEE"/>
    <w:rsid w:val="00C13283"/>
    <w:rsid w:val="00C133F6"/>
    <w:rsid w:val="00C138D7"/>
    <w:rsid w:val="00C13A0C"/>
    <w:rsid w:val="00C13CA8"/>
    <w:rsid w:val="00C142F6"/>
    <w:rsid w:val="00C14361"/>
    <w:rsid w:val="00C14660"/>
    <w:rsid w:val="00C14A4F"/>
    <w:rsid w:val="00C14B02"/>
    <w:rsid w:val="00C14B61"/>
    <w:rsid w:val="00C14C8C"/>
    <w:rsid w:val="00C15118"/>
    <w:rsid w:val="00C1552C"/>
    <w:rsid w:val="00C15791"/>
    <w:rsid w:val="00C15820"/>
    <w:rsid w:val="00C15BB0"/>
    <w:rsid w:val="00C15EC9"/>
    <w:rsid w:val="00C163E4"/>
    <w:rsid w:val="00C16825"/>
    <w:rsid w:val="00C1682C"/>
    <w:rsid w:val="00C16E1A"/>
    <w:rsid w:val="00C16E84"/>
    <w:rsid w:val="00C178E4"/>
    <w:rsid w:val="00C17C5A"/>
    <w:rsid w:val="00C17DCC"/>
    <w:rsid w:val="00C20449"/>
    <w:rsid w:val="00C208C3"/>
    <w:rsid w:val="00C20D9B"/>
    <w:rsid w:val="00C20E2A"/>
    <w:rsid w:val="00C2119E"/>
    <w:rsid w:val="00C21824"/>
    <w:rsid w:val="00C21A2C"/>
    <w:rsid w:val="00C21B27"/>
    <w:rsid w:val="00C21E4F"/>
    <w:rsid w:val="00C21EDC"/>
    <w:rsid w:val="00C22092"/>
    <w:rsid w:val="00C220DF"/>
    <w:rsid w:val="00C22216"/>
    <w:rsid w:val="00C2234B"/>
    <w:rsid w:val="00C226F8"/>
    <w:rsid w:val="00C22973"/>
    <w:rsid w:val="00C229CB"/>
    <w:rsid w:val="00C22CA2"/>
    <w:rsid w:val="00C23226"/>
    <w:rsid w:val="00C23265"/>
    <w:rsid w:val="00C232FC"/>
    <w:rsid w:val="00C234E1"/>
    <w:rsid w:val="00C23622"/>
    <w:rsid w:val="00C2371E"/>
    <w:rsid w:val="00C2377D"/>
    <w:rsid w:val="00C2380E"/>
    <w:rsid w:val="00C23963"/>
    <w:rsid w:val="00C23C3A"/>
    <w:rsid w:val="00C23F2B"/>
    <w:rsid w:val="00C242E7"/>
    <w:rsid w:val="00C24357"/>
    <w:rsid w:val="00C2449C"/>
    <w:rsid w:val="00C244C9"/>
    <w:rsid w:val="00C24630"/>
    <w:rsid w:val="00C2463C"/>
    <w:rsid w:val="00C24809"/>
    <w:rsid w:val="00C248C9"/>
    <w:rsid w:val="00C24FE5"/>
    <w:rsid w:val="00C250E2"/>
    <w:rsid w:val="00C25195"/>
    <w:rsid w:val="00C252D5"/>
    <w:rsid w:val="00C253BB"/>
    <w:rsid w:val="00C26136"/>
    <w:rsid w:val="00C262C7"/>
    <w:rsid w:val="00C2631F"/>
    <w:rsid w:val="00C268B0"/>
    <w:rsid w:val="00C272AF"/>
    <w:rsid w:val="00C274FD"/>
    <w:rsid w:val="00C276F0"/>
    <w:rsid w:val="00C2772D"/>
    <w:rsid w:val="00C27A0B"/>
    <w:rsid w:val="00C27C78"/>
    <w:rsid w:val="00C30337"/>
    <w:rsid w:val="00C30450"/>
    <w:rsid w:val="00C30625"/>
    <w:rsid w:val="00C30A2B"/>
    <w:rsid w:val="00C312A8"/>
    <w:rsid w:val="00C319DB"/>
    <w:rsid w:val="00C319F3"/>
    <w:rsid w:val="00C31C29"/>
    <w:rsid w:val="00C320A6"/>
    <w:rsid w:val="00C32517"/>
    <w:rsid w:val="00C32C9D"/>
    <w:rsid w:val="00C32D8A"/>
    <w:rsid w:val="00C32EBA"/>
    <w:rsid w:val="00C33049"/>
    <w:rsid w:val="00C33170"/>
    <w:rsid w:val="00C3322D"/>
    <w:rsid w:val="00C33269"/>
    <w:rsid w:val="00C33338"/>
    <w:rsid w:val="00C33370"/>
    <w:rsid w:val="00C334E2"/>
    <w:rsid w:val="00C33A1F"/>
    <w:rsid w:val="00C33F63"/>
    <w:rsid w:val="00C3414B"/>
    <w:rsid w:val="00C34692"/>
    <w:rsid w:val="00C347CC"/>
    <w:rsid w:val="00C34C12"/>
    <w:rsid w:val="00C34FC7"/>
    <w:rsid w:val="00C35186"/>
    <w:rsid w:val="00C355EE"/>
    <w:rsid w:val="00C35948"/>
    <w:rsid w:val="00C35A93"/>
    <w:rsid w:val="00C35BB7"/>
    <w:rsid w:val="00C35CD2"/>
    <w:rsid w:val="00C35DDA"/>
    <w:rsid w:val="00C35E91"/>
    <w:rsid w:val="00C362B9"/>
    <w:rsid w:val="00C363A7"/>
    <w:rsid w:val="00C364F3"/>
    <w:rsid w:val="00C3662F"/>
    <w:rsid w:val="00C3669A"/>
    <w:rsid w:val="00C3693B"/>
    <w:rsid w:val="00C3696A"/>
    <w:rsid w:val="00C36CC1"/>
    <w:rsid w:val="00C36E20"/>
    <w:rsid w:val="00C3731B"/>
    <w:rsid w:val="00C37324"/>
    <w:rsid w:val="00C3755E"/>
    <w:rsid w:val="00C376A2"/>
    <w:rsid w:val="00C37A76"/>
    <w:rsid w:val="00C37D62"/>
    <w:rsid w:val="00C37FFA"/>
    <w:rsid w:val="00C400E5"/>
    <w:rsid w:val="00C40160"/>
    <w:rsid w:val="00C40364"/>
    <w:rsid w:val="00C40467"/>
    <w:rsid w:val="00C40595"/>
    <w:rsid w:val="00C407EA"/>
    <w:rsid w:val="00C40CF3"/>
    <w:rsid w:val="00C41033"/>
    <w:rsid w:val="00C41177"/>
    <w:rsid w:val="00C411E3"/>
    <w:rsid w:val="00C41505"/>
    <w:rsid w:val="00C41733"/>
    <w:rsid w:val="00C418AE"/>
    <w:rsid w:val="00C4193E"/>
    <w:rsid w:val="00C41DC1"/>
    <w:rsid w:val="00C41DCA"/>
    <w:rsid w:val="00C4233D"/>
    <w:rsid w:val="00C425D1"/>
    <w:rsid w:val="00C42858"/>
    <w:rsid w:val="00C429B1"/>
    <w:rsid w:val="00C42F79"/>
    <w:rsid w:val="00C4355D"/>
    <w:rsid w:val="00C436E6"/>
    <w:rsid w:val="00C43750"/>
    <w:rsid w:val="00C438BA"/>
    <w:rsid w:val="00C43972"/>
    <w:rsid w:val="00C43BD4"/>
    <w:rsid w:val="00C43C57"/>
    <w:rsid w:val="00C43F61"/>
    <w:rsid w:val="00C44408"/>
    <w:rsid w:val="00C4478E"/>
    <w:rsid w:val="00C448B3"/>
    <w:rsid w:val="00C44B56"/>
    <w:rsid w:val="00C44C7B"/>
    <w:rsid w:val="00C44F5E"/>
    <w:rsid w:val="00C44FA4"/>
    <w:rsid w:val="00C4540A"/>
    <w:rsid w:val="00C458A9"/>
    <w:rsid w:val="00C45943"/>
    <w:rsid w:val="00C45AC6"/>
    <w:rsid w:val="00C45C8A"/>
    <w:rsid w:val="00C45D4A"/>
    <w:rsid w:val="00C45E5B"/>
    <w:rsid w:val="00C46003"/>
    <w:rsid w:val="00C46412"/>
    <w:rsid w:val="00C464B4"/>
    <w:rsid w:val="00C46550"/>
    <w:rsid w:val="00C4659A"/>
    <w:rsid w:val="00C466F8"/>
    <w:rsid w:val="00C467BD"/>
    <w:rsid w:val="00C468C9"/>
    <w:rsid w:val="00C46C5D"/>
    <w:rsid w:val="00C46CFF"/>
    <w:rsid w:val="00C46D9A"/>
    <w:rsid w:val="00C46E32"/>
    <w:rsid w:val="00C46E6F"/>
    <w:rsid w:val="00C46EA5"/>
    <w:rsid w:val="00C470D5"/>
    <w:rsid w:val="00C47261"/>
    <w:rsid w:val="00C47384"/>
    <w:rsid w:val="00C4738F"/>
    <w:rsid w:val="00C476BE"/>
    <w:rsid w:val="00C477E1"/>
    <w:rsid w:val="00C47BFA"/>
    <w:rsid w:val="00C47EB9"/>
    <w:rsid w:val="00C5012B"/>
    <w:rsid w:val="00C50167"/>
    <w:rsid w:val="00C506C2"/>
    <w:rsid w:val="00C50C20"/>
    <w:rsid w:val="00C50CE2"/>
    <w:rsid w:val="00C50FCD"/>
    <w:rsid w:val="00C5121E"/>
    <w:rsid w:val="00C516EC"/>
    <w:rsid w:val="00C51791"/>
    <w:rsid w:val="00C517D4"/>
    <w:rsid w:val="00C51B0F"/>
    <w:rsid w:val="00C51E78"/>
    <w:rsid w:val="00C5204D"/>
    <w:rsid w:val="00C5243D"/>
    <w:rsid w:val="00C52475"/>
    <w:rsid w:val="00C52626"/>
    <w:rsid w:val="00C5280B"/>
    <w:rsid w:val="00C52821"/>
    <w:rsid w:val="00C5293F"/>
    <w:rsid w:val="00C52CD6"/>
    <w:rsid w:val="00C52D05"/>
    <w:rsid w:val="00C52D7C"/>
    <w:rsid w:val="00C52DB2"/>
    <w:rsid w:val="00C53517"/>
    <w:rsid w:val="00C53823"/>
    <w:rsid w:val="00C53992"/>
    <w:rsid w:val="00C53D7B"/>
    <w:rsid w:val="00C53E07"/>
    <w:rsid w:val="00C53ED1"/>
    <w:rsid w:val="00C54238"/>
    <w:rsid w:val="00C5447E"/>
    <w:rsid w:val="00C549FF"/>
    <w:rsid w:val="00C54D03"/>
    <w:rsid w:val="00C54D57"/>
    <w:rsid w:val="00C54EF9"/>
    <w:rsid w:val="00C54FDA"/>
    <w:rsid w:val="00C55156"/>
    <w:rsid w:val="00C5537D"/>
    <w:rsid w:val="00C553A9"/>
    <w:rsid w:val="00C553FF"/>
    <w:rsid w:val="00C560D2"/>
    <w:rsid w:val="00C560F0"/>
    <w:rsid w:val="00C561F7"/>
    <w:rsid w:val="00C56C2A"/>
    <w:rsid w:val="00C56F3B"/>
    <w:rsid w:val="00C5714F"/>
    <w:rsid w:val="00C572F5"/>
    <w:rsid w:val="00C57616"/>
    <w:rsid w:val="00C57690"/>
    <w:rsid w:val="00C57B63"/>
    <w:rsid w:val="00C57F5D"/>
    <w:rsid w:val="00C6039A"/>
    <w:rsid w:val="00C603E9"/>
    <w:rsid w:val="00C60497"/>
    <w:rsid w:val="00C6081D"/>
    <w:rsid w:val="00C6088D"/>
    <w:rsid w:val="00C60C20"/>
    <w:rsid w:val="00C60DA9"/>
    <w:rsid w:val="00C60DB3"/>
    <w:rsid w:val="00C60E1D"/>
    <w:rsid w:val="00C612F2"/>
    <w:rsid w:val="00C613F5"/>
    <w:rsid w:val="00C614E0"/>
    <w:rsid w:val="00C61675"/>
    <w:rsid w:val="00C61BD7"/>
    <w:rsid w:val="00C62320"/>
    <w:rsid w:val="00C6253D"/>
    <w:rsid w:val="00C6270D"/>
    <w:rsid w:val="00C62AE0"/>
    <w:rsid w:val="00C62B2C"/>
    <w:rsid w:val="00C62BA0"/>
    <w:rsid w:val="00C62C9D"/>
    <w:rsid w:val="00C63309"/>
    <w:rsid w:val="00C63310"/>
    <w:rsid w:val="00C63404"/>
    <w:rsid w:val="00C637F5"/>
    <w:rsid w:val="00C63888"/>
    <w:rsid w:val="00C63A5F"/>
    <w:rsid w:val="00C63B7B"/>
    <w:rsid w:val="00C6415E"/>
    <w:rsid w:val="00C64286"/>
    <w:rsid w:val="00C64346"/>
    <w:rsid w:val="00C6447B"/>
    <w:rsid w:val="00C649A5"/>
    <w:rsid w:val="00C64B0A"/>
    <w:rsid w:val="00C64DEC"/>
    <w:rsid w:val="00C64F18"/>
    <w:rsid w:val="00C652D2"/>
    <w:rsid w:val="00C655B9"/>
    <w:rsid w:val="00C65695"/>
    <w:rsid w:val="00C65904"/>
    <w:rsid w:val="00C6594C"/>
    <w:rsid w:val="00C659C1"/>
    <w:rsid w:val="00C65ADB"/>
    <w:rsid w:val="00C65B1D"/>
    <w:rsid w:val="00C65E31"/>
    <w:rsid w:val="00C65E94"/>
    <w:rsid w:val="00C65FFD"/>
    <w:rsid w:val="00C66250"/>
    <w:rsid w:val="00C66345"/>
    <w:rsid w:val="00C665B5"/>
    <w:rsid w:val="00C66668"/>
    <w:rsid w:val="00C66983"/>
    <w:rsid w:val="00C66EB0"/>
    <w:rsid w:val="00C67188"/>
    <w:rsid w:val="00C7005C"/>
    <w:rsid w:val="00C700A7"/>
    <w:rsid w:val="00C702DE"/>
    <w:rsid w:val="00C70882"/>
    <w:rsid w:val="00C708C3"/>
    <w:rsid w:val="00C70AB7"/>
    <w:rsid w:val="00C70B05"/>
    <w:rsid w:val="00C70BAB"/>
    <w:rsid w:val="00C70C3E"/>
    <w:rsid w:val="00C71B6E"/>
    <w:rsid w:val="00C71CD9"/>
    <w:rsid w:val="00C722E9"/>
    <w:rsid w:val="00C7259D"/>
    <w:rsid w:val="00C726F9"/>
    <w:rsid w:val="00C72856"/>
    <w:rsid w:val="00C7293D"/>
    <w:rsid w:val="00C72B5E"/>
    <w:rsid w:val="00C72E96"/>
    <w:rsid w:val="00C72EC9"/>
    <w:rsid w:val="00C72F8A"/>
    <w:rsid w:val="00C72FC7"/>
    <w:rsid w:val="00C731DA"/>
    <w:rsid w:val="00C73215"/>
    <w:rsid w:val="00C7337F"/>
    <w:rsid w:val="00C73521"/>
    <w:rsid w:val="00C73583"/>
    <w:rsid w:val="00C73D8A"/>
    <w:rsid w:val="00C73D8D"/>
    <w:rsid w:val="00C73E5E"/>
    <w:rsid w:val="00C73E71"/>
    <w:rsid w:val="00C74187"/>
    <w:rsid w:val="00C742F0"/>
    <w:rsid w:val="00C74412"/>
    <w:rsid w:val="00C7484C"/>
    <w:rsid w:val="00C74A9A"/>
    <w:rsid w:val="00C74C94"/>
    <w:rsid w:val="00C74E8D"/>
    <w:rsid w:val="00C750DB"/>
    <w:rsid w:val="00C750FE"/>
    <w:rsid w:val="00C751D6"/>
    <w:rsid w:val="00C753B2"/>
    <w:rsid w:val="00C75687"/>
    <w:rsid w:val="00C75789"/>
    <w:rsid w:val="00C75869"/>
    <w:rsid w:val="00C75897"/>
    <w:rsid w:val="00C75B29"/>
    <w:rsid w:val="00C75D4E"/>
    <w:rsid w:val="00C75D83"/>
    <w:rsid w:val="00C75ECE"/>
    <w:rsid w:val="00C76513"/>
    <w:rsid w:val="00C76696"/>
    <w:rsid w:val="00C7674E"/>
    <w:rsid w:val="00C76C2B"/>
    <w:rsid w:val="00C76CE2"/>
    <w:rsid w:val="00C76EFA"/>
    <w:rsid w:val="00C7705F"/>
    <w:rsid w:val="00C77286"/>
    <w:rsid w:val="00C774F9"/>
    <w:rsid w:val="00C77837"/>
    <w:rsid w:val="00C77C34"/>
    <w:rsid w:val="00C77DBC"/>
    <w:rsid w:val="00C77F32"/>
    <w:rsid w:val="00C77FBF"/>
    <w:rsid w:val="00C808F8"/>
    <w:rsid w:val="00C80E70"/>
    <w:rsid w:val="00C80E79"/>
    <w:rsid w:val="00C81014"/>
    <w:rsid w:val="00C810F6"/>
    <w:rsid w:val="00C81AFF"/>
    <w:rsid w:val="00C81E36"/>
    <w:rsid w:val="00C82395"/>
    <w:rsid w:val="00C823FA"/>
    <w:rsid w:val="00C824F9"/>
    <w:rsid w:val="00C825F3"/>
    <w:rsid w:val="00C82982"/>
    <w:rsid w:val="00C82A15"/>
    <w:rsid w:val="00C82DC0"/>
    <w:rsid w:val="00C82E7A"/>
    <w:rsid w:val="00C83190"/>
    <w:rsid w:val="00C83874"/>
    <w:rsid w:val="00C83ADC"/>
    <w:rsid w:val="00C83D7D"/>
    <w:rsid w:val="00C83F42"/>
    <w:rsid w:val="00C843F7"/>
    <w:rsid w:val="00C84969"/>
    <w:rsid w:val="00C84B5B"/>
    <w:rsid w:val="00C84BA1"/>
    <w:rsid w:val="00C84DE2"/>
    <w:rsid w:val="00C84E80"/>
    <w:rsid w:val="00C84EF3"/>
    <w:rsid w:val="00C85412"/>
    <w:rsid w:val="00C855A5"/>
    <w:rsid w:val="00C855BC"/>
    <w:rsid w:val="00C857D4"/>
    <w:rsid w:val="00C85F9E"/>
    <w:rsid w:val="00C85FFD"/>
    <w:rsid w:val="00C86503"/>
    <w:rsid w:val="00C86B08"/>
    <w:rsid w:val="00C86B12"/>
    <w:rsid w:val="00C872EB"/>
    <w:rsid w:val="00C87457"/>
    <w:rsid w:val="00C877CA"/>
    <w:rsid w:val="00C87B8C"/>
    <w:rsid w:val="00C900ED"/>
    <w:rsid w:val="00C9020D"/>
    <w:rsid w:val="00C90355"/>
    <w:rsid w:val="00C90500"/>
    <w:rsid w:val="00C90894"/>
    <w:rsid w:val="00C908B1"/>
    <w:rsid w:val="00C90910"/>
    <w:rsid w:val="00C90B97"/>
    <w:rsid w:val="00C90C03"/>
    <w:rsid w:val="00C90D43"/>
    <w:rsid w:val="00C90E72"/>
    <w:rsid w:val="00C911C5"/>
    <w:rsid w:val="00C9144C"/>
    <w:rsid w:val="00C915AF"/>
    <w:rsid w:val="00C91658"/>
    <w:rsid w:val="00C918D6"/>
    <w:rsid w:val="00C91A26"/>
    <w:rsid w:val="00C91E3B"/>
    <w:rsid w:val="00C9277E"/>
    <w:rsid w:val="00C92A4F"/>
    <w:rsid w:val="00C92B42"/>
    <w:rsid w:val="00C92BB5"/>
    <w:rsid w:val="00C937F2"/>
    <w:rsid w:val="00C93A6F"/>
    <w:rsid w:val="00C93ED7"/>
    <w:rsid w:val="00C9413F"/>
    <w:rsid w:val="00C945CB"/>
    <w:rsid w:val="00C9484C"/>
    <w:rsid w:val="00C9485A"/>
    <w:rsid w:val="00C948F6"/>
    <w:rsid w:val="00C94CB2"/>
    <w:rsid w:val="00C94CB3"/>
    <w:rsid w:val="00C94CD2"/>
    <w:rsid w:val="00C9531C"/>
    <w:rsid w:val="00C953F7"/>
    <w:rsid w:val="00C95742"/>
    <w:rsid w:val="00C95825"/>
    <w:rsid w:val="00C95840"/>
    <w:rsid w:val="00C958CC"/>
    <w:rsid w:val="00C95B16"/>
    <w:rsid w:val="00C95C1E"/>
    <w:rsid w:val="00C95DD9"/>
    <w:rsid w:val="00C95DFA"/>
    <w:rsid w:val="00C962EF"/>
    <w:rsid w:val="00C96361"/>
    <w:rsid w:val="00C966C2"/>
    <w:rsid w:val="00C96761"/>
    <w:rsid w:val="00C96BA4"/>
    <w:rsid w:val="00C9705C"/>
    <w:rsid w:val="00C9728B"/>
    <w:rsid w:val="00C97578"/>
    <w:rsid w:val="00C97CD5"/>
    <w:rsid w:val="00C97DAF"/>
    <w:rsid w:val="00C97DE6"/>
    <w:rsid w:val="00CA0046"/>
    <w:rsid w:val="00CA0148"/>
    <w:rsid w:val="00CA025A"/>
    <w:rsid w:val="00CA02EE"/>
    <w:rsid w:val="00CA038E"/>
    <w:rsid w:val="00CA0970"/>
    <w:rsid w:val="00CA0A51"/>
    <w:rsid w:val="00CA0CE1"/>
    <w:rsid w:val="00CA0E45"/>
    <w:rsid w:val="00CA1195"/>
    <w:rsid w:val="00CA153B"/>
    <w:rsid w:val="00CA15A4"/>
    <w:rsid w:val="00CA17F5"/>
    <w:rsid w:val="00CA1ACC"/>
    <w:rsid w:val="00CA1B1D"/>
    <w:rsid w:val="00CA1F91"/>
    <w:rsid w:val="00CA1FF6"/>
    <w:rsid w:val="00CA21E0"/>
    <w:rsid w:val="00CA2454"/>
    <w:rsid w:val="00CA257D"/>
    <w:rsid w:val="00CA2F05"/>
    <w:rsid w:val="00CA3016"/>
    <w:rsid w:val="00CA325D"/>
    <w:rsid w:val="00CA3459"/>
    <w:rsid w:val="00CA34F2"/>
    <w:rsid w:val="00CA3C92"/>
    <w:rsid w:val="00CA3E2A"/>
    <w:rsid w:val="00CA434F"/>
    <w:rsid w:val="00CA44EF"/>
    <w:rsid w:val="00CA4ABA"/>
    <w:rsid w:val="00CA4D04"/>
    <w:rsid w:val="00CA4EA0"/>
    <w:rsid w:val="00CA4F4B"/>
    <w:rsid w:val="00CA5046"/>
    <w:rsid w:val="00CA53D6"/>
    <w:rsid w:val="00CA5444"/>
    <w:rsid w:val="00CA54E5"/>
    <w:rsid w:val="00CA5577"/>
    <w:rsid w:val="00CA55B0"/>
    <w:rsid w:val="00CA569D"/>
    <w:rsid w:val="00CA5B88"/>
    <w:rsid w:val="00CA5BD9"/>
    <w:rsid w:val="00CA5CDC"/>
    <w:rsid w:val="00CA5D75"/>
    <w:rsid w:val="00CA62FE"/>
    <w:rsid w:val="00CA6387"/>
    <w:rsid w:val="00CA677D"/>
    <w:rsid w:val="00CA6AAB"/>
    <w:rsid w:val="00CA6AD1"/>
    <w:rsid w:val="00CA6C40"/>
    <w:rsid w:val="00CA6F0F"/>
    <w:rsid w:val="00CA6F65"/>
    <w:rsid w:val="00CA6FBE"/>
    <w:rsid w:val="00CA7514"/>
    <w:rsid w:val="00CA7628"/>
    <w:rsid w:val="00CA7931"/>
    <w:rsid w:val="00CA79BD"/>
    <w:rsid w:val="00CA7B5E"/>
    <w:rsid w:val="00CA7E0C"/>
    <w:rsid w:val="00CA7F55"/>
    <w:rsid w:val="00CB001B"/>
    <w:rsid w:val="00CB02E0"/>
    <w:rsid w:val="00CB03F1"/>
    <w:rsid w:val="00CB0640"/>
    <w:rsid w:val="00CB0BB2"/>
    <w:rsid w:val="00CB0F1E"/>
    <w:rsid w:val="00CB10F3"/>
    <w:rsid w:val="00CB11A4"/>
    <w:rsid w:val="00CB126E"/>
    <w:rsid w:val="00CB16C2"/>
    <w:rsid w:val="00CB1760"/>
    <w:rsid w:val="00CB1DEE"/>
    <w:rsid w:val="00CB1F91"/>
    <w:rsid w:val="00CB1FD2"/>
    <w:rsid w:val="00CB21D3"/>
    <w:rsid w:val="00CB253E"/>
    <w:rsid w:val="00CB2693"/>
    <w:rsid w:val="00CB27A6"/>
    <w:rsid w:val="00CB28AD"/>
    <w:rsid w:val="00CB2CC7"/>
    <w:rsid w:val="00CB3468"/>
    <w:rsid w:val="00CB352F"/>
    <w:rsid w:val="00CB36CE"/>
    <w:rsid w:val="00CB3703"/>
    <w:rsid w:val="00CB3866"/>
    <w:rsid w:val="00CB3A80"/>
    <w:rsid w:val="00CB3B10"/>
    <w:rsid w:val="00CB3DEB"/>
    <w:rsid w:val="00CB3EF3"/>
    <w:rsid w:val="00CB3F41"/>
    <w:rsid w:val="00CB460D"/>
    <w:rsid w:val="00CB486C"/>
    <w:rsid w:val="00CB4A81"/>
    <w:rsid w:val="00CB4C5B"/>
    <w:rsid w:val="00CB4D7B"/>
    <w:rsid w:val="00CB5068"/>
    <w:rsid w:val="00CB5092"/>
    <w:rsid w:val="00CB50A3"/>
    <w:rsid w:val="00CB53BC"/>
    <w:rsid w:val="00CB544E"/>
    <w:rsid w:val="00CB547D"/>
    <w:rsid w:val="00CB5635"/>
    <w:rsid w:val="00CB5654"/>
    <w:rsid w:val="00CB5691"/>
    <w:rsid w:val="00CB573A"/>
    <w:rsid w:val="00CB590E"/>
    <w:rsid w:val="00CB5AC6"/>
    <w:rsid w:val="00CB5BBE"/>
    <w:rsid w:val="00CB5C0F"/>
    <w:rsid w:val="00CB5F82"/>
    <w:rsid w:val="00CB60F9"/>
    <w:rsid w:val="00CB6121"/>
    <w:rsid w:val="00CB6297"/>
    <w:rsid w:val="00CB6329"/>
    <w:rsid w:val="00CB658F"/>
    <w:rsid w:val="00CB6629"/>
    <w:rsid w:val="00CB66FD"/>
    <w:rsid w:val="00CB6975"/>
    <w:rsid w:val="00CB6993"/>
    <w:rsid w:val="00CB6E85"/>
    <w:rsid w:val="00CB6F36"/>
    <w:rsid w:val="00CB70B8"/>
    <w:rsid w:val="00CB70E7"/>
    <w:rsid w:val="00CB7156"/>
    <w:rsid w:val="00CB7247"/>
    <w:rsid w:val="00CB72CC"/>
    <w:rsid w:val="00CB73D2"/>
    <w:rsid w:val="00CB774F"/>
    <w:rsid w:val="00CB77FF"/>
    <w:rsid w:val="00CB7801"/>
    <w:rsid w:val="00CB7941"/>
    <w:rsid w:val="00CB79C8"/>
    <w:rsid w:val="00CB7D8C"/>
    <w:rsid w:val="00CB7F11"/>
    <w:rsid w:val="00CB7FDB"/>
    <w:rsid w:val="00CC0239"/>
    <w:rsid w:val="00CC036C"/>
    <w:rsid w:val="00CC0564"/>
    <w:rsid w:val="00CC0858"/>
    <w:rsid w:val="00CC0D0F"/>
    <w:rsid w:val="00CC0D75"/>
    <w:rsid w:val="00CC0EAA"/>
    <w:rsid w:val="00CC1002"/>
    <w:rsid w:val="00CC1031"/>
    <w:rsid w:val="00CC1179"/>
    <w:rsid w:val="00CC1393"/>
    <w:rsid w:val="00CC15F2"/>
    <w:rsid w:val="00CC197D"/>
    <w:rsid w:val="00CC1CD9"/>
    <w:rsid w:val="00CC1E60"/>
    <w:rsid w:val="00CC2225"/>
    <w:rsid w:val="00CC22D9"/>
    <w:rsid w:val="00CC242E"/>
    <w:rsid w:val="00CC25C5"/>
    <w:rsid w:val="00CC2C08"/>
    <w:rsid w:val="00CC2F32"/>
    <w:rsid w:val="00CC2FFE"/>
    <w:rsid w:val="00CC34B0"/>
    <w:rsid w:val="00CC34C0"/>
    <w:rsid w:val="00CC3591"/>
    <w:rsid w:val="00CC3768"/>
    <w:rsid w:val="00CC3904"/>
    <w:rsid w:val="00CC436A"/>
    <w:rsid w:val="00CC446A"/>
    <w:rsid w:val="00CC44DC"/>
    <w:rsid w:val="00CC44F0"/>
    <w:rsid w:val="00CC4658"/>
    <w:rsid w:val="00CC490F"/>
    <w:rsid w:val="00CC4A52"/>
    <w:rsid w:val="00CC4A58"/>
    <w:rsid w:val="00CC4E3D"/>
    <w:rsid w:val="00CC4E49"/>
    <w:rsid w:val="00CC4FD8"/>
    <w:rsid w:val="00CC5280"/>
    <w:rsid w:val="00CC55BF"/>
    <w:rsid w:val="00CC5652"/>
    <w:rsid w:val="00CC56E3"/>
    <w:rsid w:val="00CC5ABA"/>
    <w:rsid w:val="00CC5C51"/>
    <w:rsid w:val="00CC5C75"/>
    <w:rsid w:val="00CC5E36"/>
    <w:rsid w:val="00CC5E6D"/>
    <w:rsid w:val="00CC5EAA"/>
    <w:rsid w:val="00CC613F"/>
    <w:rsid w:val="00CC624E"/>
    <w:rsid w:val="00CC656F"/>
    <w:rsid w:val="00CC6640"/>
    <w:rsid w:val="00CC690A"/>
    <w:rsid w:val="00CC6A29"/>
    <w:rsid w:val="00CC6E7F"/>
    <w:rsid w:val="00CC71BE"/>
    <w:rsid w:val="00CC73E6"/>
    <w:rsid w:val="00CC7475"/>
    <w:rsid w:val="00CC752B"/>
    <w:rsid w:val="00CC76E1"/>
    <w:rsid w:val="00CC775C"/>
    <w:rsid w:val="00CC7867"/>
    <w:rsid w:val="00CC7C14"/>
    <w:rsid w:val="00CC7DBC"/>
    <w:rsid w:val="00CC7E99"/>
    <w:rsid w:val="00CC7FA9"/>
    <w:rsid w:val="00CD051A"/>
    <w:rsid w:val="00CD0604"/>
    <w:rsid w:val="00CD0881"/>
    <w:rsid w:val="00CD0A15"/>
    <w:rsid w:val="00CD13F9"/>
    <w:rsid w:val="00CD155C"/>
    <w:rsid w:val="00CD1736"/>
    <w:rsid w:val="00CD1742"/>
    <w:rsid w:val="00CD17C0"/>
    <w:rsid w:val="00CD1A82"/>
    <w:rsid w:val="00CD1F35"/>
    <w:rsid w:val="00CD211B"/>
    <w:rsid w:val="00CD23B1"/>
    <w:rsid w:val="00CD2492"/>
    <w:rsid w:val="00CD258A"/>
    <w:rsid w:val="00CD261B"/>
    <w:rsid w:val="00CD28C4"/>
    <w:rsid w:val="00CD2943"/>
    <w:rsid w:val="00CD2B0D"/>
    <w:rsid w:val="00CD2C2A"/>
    <w:rsid w:val="00CD2E11"/>
    <w:rsid w:val="00CD30BD"/>
    <w:rsid w:val="00CD3238"/>
    <w:rsid w:val="00CD3463"/>
    <w:rsid w:val="00CD354A"/>
    <w:rsid w:val="00CD37BD"/>
    <w:rsid w:val="00CD390B"/>
    <w:rsid w:val="00CD39CB"/>
    <w:rsid w:val="00CD39DF"/>
    <w:rsid w:val="00CD4283"/>
    <w:rsid w:val="00CD44D2"/>
    <w:rsid w:val="00CD4653"/>
    <w:rsid w:val="00CD48DC"/>
    <w:rsid w:val="00CD5109"/>
    <w:rsid w:val="00CD5225"/>
    <w:rsid w:val="00CD5410"/>
    <w:rsid w:val="00CD5795"/>
    <w:rsid w:val="00CD5990"/>
    <w:rsid w:val="00CD5ADB"/>
    <w:rsid w:val="00CD5B75"/>
    <w:rsid w:val="00CD5C22"/>
    <w:rsid w:val="00CD5D15"/>
    <w:rsid w:val="00CD5D5F"/>
    <w:rsid w:val="00CD60FF"/>
    <w:rsid w:val="00CD62B2"/>
    <w:rsid w:val="00CD6502"/>
    <w:rsid w:val="00CD6643"/>
    <w:rsid w:val="00CD669B"/>
    <w:rsid w:val="00CD6FBE"/>
    <w:rsid w:val="00CD72F3"/>
    <w:rsid w:val="00CD7E39"/>
    <w:rsid w:val="00CE042C"/>
    <w:rsid w:val="00CE05A6"/>
    <w:rsid w:val="00CE0805"/>
    <w:rsid w:val="00CE0A86"/>
    <w:rsid w:val="00CE0C3A"/>
    <w:rsid w:val="00CE14B1"/>
    <w:rsid w:val="00CE14DE"/>
    <w:rsid w:val="00CE15A8"/>
    <w:rsid w:val="00CE1841"/>
    <w:rsid w:val="00CE1886"/>
    <w:rsid w:val="00CE1940"/>
    <w:rsid w:val="00CE196A"/>
    <w:rsid w:val="00CE1B28"/>
    <w:rsid w:val="00CE1CDD"/>
    <w:rsid w:val="00CE2024"/>
    <w:rsid w:val="00CE20A8"/>
    <w:rsid w:val="00CE2294"/>
    <w:rsid w:val="00CE2305"/>
    <w:rsid w:val="00CE2710"/>
    <w:rsid w:val="00CE2875"/>
    <w:rsid w:val="00CE2AAF"/>
    <w:rsid w:val="00CE2D5C"/>
    <w:rsid w:val="00CE2FE2"/>
    <w:rsid w:val="00CE3102"/>
    <w:rsid w:val="00CE3F50"/>
    <w:rsid w:val="00CE40A3"/>
    <w:rsid w:val="00CE4238"/>
    <w:rsid w:val="00CE4520"/>
    <w:rsid w:val="00CE454A"/>
    <w:rsid w:val="00CE48C8"/>
    <w:rsid w:val="00CE4A2F"/>
    <w:rsid w:val="00CE4D62"/>
    <w:rsid w:val="00CE4FF2"/>
    <w:rsid w:val="00CE5070"/>
    <w:rsid w:val="00CE50C1"/>
    <w:rsid w:val="00CE5168"/>
    <w:rsid w:val="00CE52A6"/>
    <w:rsid w:val="00CE53C5"/>
    <w:rsid w:val="00CE5466"/>
    <w:rsid w:val="00CE54D9"/>
    <w:rsid w:val="00CE57B6"/>
    <w:rsid w:val="00CE5A40"/>
    <w:rsid w:val="00CE5F98"/>
    <w:rsid w:val="00CE6423"/>
    <w:rsid w:val="00CE65DB"/>
    <w:rsid w:val="00CE669D"/>
    <w:rsid w:val="00CE66BF"/>
    <w:rsid w:val="00CE6CB4"/>
    <w:rsid w:val="00CE73AB"/>
    <w:rsid w:val="00CE753E"/>
    <w:rsid w:val="00CE7772"/>
    <w:rsid w:val="00CE78B8"/>
    <w:rsid w:val="00CF0273"/>
    <w:rsid w:val="00CF0583"/>
    <w:rsid w:val="00CF069A"/>
    <w:rsid w:val="00CF0A73"/>
    <w:rsid w:val="00CF0B6F"/>
    <w:rsid w:val="00CF0C2C"/>
    <w:rsid w:val="00CF0EA6"/>
    <w:rsid w:val="00CF0FCE"/>
    <w:rsid w:val="00CF121F"/>
    <w:rsid w:val="00CF14A3"/>
    <w:rsid w:val="00CF1979"/>
    <w:rsid w:val="00CF1A51"/>
    <w:rsid w:val="00CF1DB7"/>
    <w:rsid w:val="00CF2079"/>
    <w:rsid w:val="00CF22A6"/>
    <w:rsid w:val="00CF2492"/>
    <w:rsid w:val="00CF2A8E"/>
    <w:rsid w:val="00CF2AC8"/>
    <w:rsid w:val="00CF2B6C"/>
    <w:rsid w:val="00CF308C"/>
    <w:rsid w:val="00CF30F4"/>
    <w:rsid w:val="00CF3144"/>
    <w:rsid w:val="00CF35B8"/>
    <w:rsid w:val="00CF3688"/>
    <w:rsid w:val="00CF3901"/>
    <w:rsid w:val="00CF3BE2"/>
    <w:rsid w:val="00CF3C4D"/>
    <w:rsid w:val="00CF45F8"/>
    <w:rsid w:val="00CF4A38"/>
    <w:rsid w:val="00CF508E"/>
    <w:rsid w:val="00CF51BF"/>
    <w:rsid w:val="00CF524D"/>
    <w:rsid w:val="00CF54D7"/>
    <w:rsid w:val="00CF5941"/>
    <w:rsid w:val="00CF5F4C"/>
    <w:rsid w:val="00CF60E2"/>
    <w:rsid w:val="00CF6362"/>
    <w:rsid w:val="00CF6624"/>
    <w:rsid w:val="00CF6F78"/>
    <w:rsid w:val="00CF71D9"/>
    <w:rsid w:val="00CF73BD"/>
    <w:rsid w:val="00CF73F0"/>
    <w:rsid w:val="00CF74A4"/>
    <w:rsid w:val="00CF74D2"/>
    <w:rsid w:val="00CF76A8"/>
    <w:rsid w:val="00CF7844"/>
    <w:rsid w:val="00CF7A71"/>
    <w:rsid w:val="00CF7E63"/>
    <w:rsid w:val="00CF7E7B"/>
    <w:rsid w:val="00CF7F0E"/>
    <w:rsid w:val="00D0013C"/>
    <w:rsid w:val="00D00267"/>
    <w:rsid w:val="00D002B4"/>
    <w:rsid w:val="00D00686"/>
    <w:rsid w:val="00D00F9C"/>
    <w:rsid w:val="00D0139F"/>
    <w:rsid w:val="00D01431"/>
    <w:rsid w:val="00D015D3"/>
    <w:rsid w:val="00D016DD"/>
    <w:rsid w:val="00D01806"/>
    <w:rsid w:val="00D01A16"/>
    <w:rsid w:val="00D01B54"/>
    <w:rsid w:val="00D01BDA"/>
    <w:rsid w:val="00D01BE2"/>
    <w:rsid w:val="00D01F64"/>
    <w:rsid w:val="00D02087"/>
    <w:rsid w:val="00D02281"/>
    <w:rsid w:val="00D02490"/>
    <w:rsid w:val="00D02A7F"/>
    <w:rsid w:val="00D02AEA"/>
    <w:rsid w:val="00D02BC5"/>
    <w:rsid w:val="00D02D98"/>
    <w:rsid w:val="00D03418"/>
    <w:rsid w:val="00D0344F"/>
    <w:rsid w:val="00D03548"/>
    <w:rsid w:val="00D03CE0"/>
    <w:rsid w:val="00D041E9"/>
    <w:rsid w:val="00D044B0"/>
    <w:rsid w:val="00D046E5"/>
    <w:rsid w:val="00D04755"/>
    <w:rsid w:val="00D04DDD"/>
    <w:rsid w:val="00D04DEF"/>
    <w:rsid w:val="00D04EB6"/>
    <w:rsid w:val="00D04FE4"/>
    <w:rsid w:val="00D05048"/>
    <w:rsid w:val="00D05077"/>
    <w:rsid w:val="00D0508A"/>
    <w:rsid w:val="00D05612"/>
    <w:rsid w:val="00D058CC"/>
    <w:rsid w:val="00D05A18"/>
    <w:rsid w:val="00D06027"/>
    <w:rsid w:val="00D0608F"/>
    <w:rsid w:val="00D061A6"/>
    <w:rsid w:val="00D065B9"/>
    <w:rsid w:val="00D06DD5"/>
    <w:rsid w:val="00D06F8B"/>
    <w:rsid w:val="00D0721C"/>
    <w:rsid w:val="00D07319"/>
    <w:rsid w:val="00D07573"/>
    <w:rsid w:val="00D075B1"/>
    <w:rsid w:val="00D07B50"/>
    <w:rsid w:val="00D10240"/>
    <w:rsid w:val="00D1026C"/>
    <w:rsid w:val="00D1030F"/>
    <w:rsid w:val="00D105FE"/>
    <w:rsid w:val="00D1069F"/>
    <w:rsid w:val="00D11333"/>
    <w:rsid w:val="00D11650"/>
    <w:rsid w:val="00D1178B"/>
    <w:rsid w:val="00D11A3D"/>
    <w:rsid w:val="00D11B39"/>
    <w:rsid w:val="00D11CE7"/>
    <w:rsid w:val="00D11EE0"/>
    <w:rsid w:val="00D1278C"/>
    <w:rsid w:val="00D12C6E"/>
    <w:rsid w:val="00D12C89"/>
    <w:rsid w:val="00D12E31"/>
    <w:rsid w:val="00D12ED6"/>
    <w:rsid w:val="00D13A20"/>
    <w:rsid w:val="00D13A26"/>
    <w:rsid w:val="00D13C51"/>
    <w:rsid w:val="00D13E69"/>
    <w:rsid w:val="00D14081"/>
    <w:rsid w:val="00D1410B"/>
    <w:rsid w:val="00D141A2"/>
    <w:rsid w:val="00D147FC"/>
    <w:rsid w:val="00D14A16"/>
    <w:rsid w:val="00D14BB2"/>
    <w:rsid w:val="00D1532B"/>
    <w:rsid w:val="00D155D9"/>
    <w:rsid w:val="00D15EDB"/>
    <w:rsid w:val="00D1676A"/>
    <w:rsid w:val="00D167E4"/>
    <w:rsid w:val="00D16F81"/>
    <w:rsid w:val="00D1707D"/>
    <w:rsid w:val="00D17099"/>
    <w:rsid w:val="00D17279"/>
    <w:rsid w:val="00D174E8"/>
    <w:rsid w:val="00D17569"/>
    <w:rsid w:val="00D1792E"/>
    <w:rsid w:val="00D17AD2"/>
    <w:rsid w:val="00D17C20"/>
    <w:rsid w:val="00D17C6D"/>
    <w:rsid w:val="00D17FC3"/>
    <w:rsid w:val="00D20017"/>
    <w:rsid w:val="00D204F4"/>
    <w:rsid w:val="00D20515"/>
    <w:rsid w:val="00D207E5"/>
    <w:rsid w:val="00D20959"/>
    <w:rsid w:val="00D21169"/>
    <w:rsid w:val="00D2145E"/>
    <w:rsid w:val="00D215BD"/>
    <w:rsid w:val="00D2171E"/>
    <w:rsid w:val="00D21787"/>
    <w:rsid w:val="00D21950"/>
    <w:rsid w:val="00D219F3"/>
    <w:rsid w:val="00D21A88"/>
    <w:rsid w:val="00D21A92"/>
    <w:rsid w:val="00D21C1F"/>
    <w:rsid w:val="00D21E68"/>
    <w:rsid w:val="00D21ECB"/>
    <w:rsid w:val="00D220DA"/>
    <w:rsid w:val="00D22286"/>
    <w:rsid w:val="00D22409"/>
    <w:rsid w:val="00D22541"/>
    <w:rsid w:val="00D225EF"/>
    <w:rsid w:val="00D226E4"/>
    <w:rsid w:val="00D2272F"/>
    <w:rsid w:val="00D2278A"/>
    <w:rsid w:val="00D229CB"/>
    <w:rsid w:val="00D22AD4"/>
    <w:rsid w:val="00D22BDE"/>
    <w:rsid w:val="00D231F0"/>
    <w:rsid w:val="00D2335C"/>
    <w:rsid w:val="00D233BD"/>
    <w:rsid w:val="00D23947"/>
    <w:rsid w:val="00D23952"/>
    <w:rsid w:val="00D23BCE"/>
    <w:rsid w:val="00D23E59"/>
    <w:rsid w:val="00D24097"/>
    <w:rsid w:val="00D240B8"/>
    <w:rsid w:val="00D249EA"/>
    <w:rsid w:val="00D24B5D"/>
    <w:rsid w:val="00D25186"/>
    <w:rsid w:val="00D252F3"/>
    <w:rsid w:val="00D25355"/>
    <w:rsid w:val="00D2588C"/>
    <w:rsid w:val="00D25BF0"/>
    <w:rsid w:val="00D25E8D"/>
    <w:rsid w:val="00D26B1E"/>
    <w:rsid w:val="00D26CAA"/>
    <w:rsid w:val="00D270BF"/>
    <w:rsid w:val="00D275D4"/>
    <w:rsid w:val="00D276F9"/>
    <w:rsid w:val="00D2781E"/>
    <w:rsid w:val="00D27910"/>
    <w:rsid w:val="00D27A61"/>
    <w:rsid w:val="00D27AD2"/>
    <w:rsid w:val="00D27BDC"/>
    <w:rsid w:val="00D27C9E"/>
    <w:rsid w:val="00D300B3"/>
    <w:rsid w:val="00D3035D"/>
    <w:rsid w:val="00D30583"/>
    <w:rsid w:val="00D30BC5"/>
    <w:rsid w:val="00D30C4C"/>
    <w:rsid w:val="00D30E1D"/>
    <w:rsid w:val="00D319FA"/>
    <w:rsid w:val="00D31C73"/>
    <w:rsid w:val="00D323D1"/>
    <w:rsid w:val="00D32521"/>
    <w:rsid w:val="00D326AE"/>
    <w:rsid w:val="00D3286C"/>
    <w:rsid w:val="00D32BD8"/>
    <w:rsid w:val="00D32E67"/>
    <w:rsid w:val="00D3323B"/>
    <w:rsid w:val="00D33454"/>
    <w:rsid w:val="00D33560"/>
    <w:rsid w:val="00D33777"/>
    <w:rsid w:val="00D33C5C"/>
    <w:rsid w:val="00D33D47"/>
    <w:rsid w:val="00D33E76"/>
    <w:rsid w:val="00D33FEA"/>
    <w:rsid w:val="00D34051"/>
    <w:rsid w:val="00D3469E"/>
    <w:rsid w:val="00D34A8C"/>
    <w:rsid w:val="00D3506D"/>
    <w:rsid w:val="00D3509F"/>
    <w:rsid w:val="00D35195"/>
    <w:rsid w:val="00D351EC"/>
    <w:rsid w:val="00D352FF"/>
    <w:rsid w:val="00D35BC6"/>
    <w:rsid w:val="00D35D58"/>
    <w:rsid w:val="00D3615A"/>
    <w:rsid w:val="00D36165"/>
    <w:rsid w:val="00D36257"/>
    <w:rsid w:val="00D3685B"/>
    <w:rsid w:val="00D36873"/>
    <w:rsid w:val="00D368AC"/>
    <w:rsid w:val="00D368EB"/>
    <w:rsid w:val="00D369FF"/>
    <w:rsid w:val="00D36CA8"/>
    <w:rsid w:val="00D36D9D"/>
    <w:rsid w:val="00D36ECC"/>
    <w:rsid w:val="00D3706F"/>
    <w:rsid w:val="00D37787"/>
    <w:rsid w:val="00D3781C"/>
    <w:rsid w:val="00D37C2D"/>
    <w:rsid w:val="00D37CA2"/>
    <w:rsid w:val="00D37ED1"/>
    <w:rsid w:val="00D37FE2"/>
    <w:rsid w:val="00D4000D"/>
    <w:rsid w:val="00D40231"/>
    <w:rsid w:val="00D4050D"/>
    <w:rsid w:val="00D40586"/>
    <w:rsid w:val="00D4065A"/>
    <w:rsid w:val="00D40B6C"/>
    <w:rsid w:val="00D411CC"/>
    <w:rsid w:val="00D413CE"/>
    <w:rsid w:val="00D417C6"/>
    <w:rsid w:val="00D417F0"/>
    <w:rsid w:val="00D4189C"/>
    <w:rsid w:val="00D41C48"/>
    <w:rsid w:val="00D41EB7"/>
    <w:rsid w:val="00D421BA"/>
    <w:rsid w:val="00D427BB"/>
    <w:rsid w:val="00D427C1"/>
    <w:rsid w:val="00D428EF"/>
    <w:rsid w:val="00D42DAA"/>
    <w:rsid w:val="00D43218"/>
    <w:rsid w:val="00D432C6"/>
    <w:rsid w:val="00D4337E"/>
    <w:rsid w:val="00D43479"/>
    <w:rsid w:val="00D435DC"/>
    <w:rsid w:val="00D43976"/>
    <w:rsid w:val="00D440BF"/>
    <w:rsid w:val="00D44187"/>
    <w:rsid w:val="00D4467B"/>
    <w:rsid w:val="00D44835"/>
    <w:rsid w:val="00D44879"/>
    <w:rsid w:val="00D44DDD"/>
    <w:rsid w:val="00D44EAC"/>
    <w:rsid w:val="00D44F26"/>
    <w:rsid w:val="00D452FC"/>
    <w:rsid w:val="00D4532B"/>
    <w:rsid w:val="00D4595B"/>
    <w:rsid w:val="00D461C0"/>
    <w:rsid w:val="00D465CB"/>
    <w:rsid w:val="00D466B6"/>
    <w:rsid w:val="00D468C5"/>
    <w:rsid w:val="00D468CE"/>
    <w:rsid w:val="00D46980"/>
    <w:rsid w:val="00D46D45"/>
    <w:rsid w:val="00D46E16"/>
    <w:rsid w:val="00D46ECD"/>
    <w:rsid w:val="00D46F86"/>
    <w:rsid w:val="00D4725B"/>
    <w:rsid w:val="00D4738D"/>
    <w:rsid w:val="00D47531"/>
    <w:rsid w:val="00D4794B"/>
    <w:rsid w:val="00D47C24"/>
    <w:rsid w:val="00D47C95"/>
    <w:rsid w:val="00D47C9F"/>
    <w:rsid w:val="00D47D41"/>
    <w:rsid w:val="00D47E22"/>
    <w:rsid w:val="00D501D2"/>
    <w:rsid w:val="00D50238"/>
    <w:rsid w:val="00D50B34"/>
    <w:rsid w:val="00D50B96"/>
    <w:rsid w:val="00D51827"/>
    <w:rsid w:val="00D51B45"/>
    <w:rsid w:val="00D51C4B"/>
    <w:rsid w:val="00D51CDE"/>
    <w:rsid w:val="00D51D7A"/>
    <w:rsid w:val="00D522A4"/>
    <w:rsid w:val="00D52500"/>
    <w:rsid w:val="00D52519"/>
    <w:rsid w:val="00D530F1"/>
    <w:rsid w:val="00D5391A"/>
    <w:rsid w:val="00D53995"/>
    <w:rsid w:val="00D53D7C"/>
    <w:rsid w:val="00D53D9D"/>
    <w:rsid w:val="00D53DF6"/>
    <w:rsid w:val="00D53E4C"/>
    <w:rsid w:val="00D54004"/>
    <w:rsid w:val="00D5422C"/>
    <w:rsid w:val="00D54408"/>
    <w:rsid w:val="00D54543"/>
    <w:rsid w:val="00D546BD"/>
    <w:rsid w:val="00D54756"/>
    <w:rsid w:val="00D54778"/>
    <w:rsid w:val="00D548BE"/>
    <w:rsid w:val="00D54A58"/>
    <w:rsid w:val="00D54DF6"/>
    <w:rsid w:val="00D5563E"/>
    <w:rsid w:val="00D5583E"/>
    <w:rsid w:val="00D55859"/>
    <w:rsid w:val="00D558A8"/>
    <w:rsid w:val="00D55915"/>
    <w:rsid w:val="00D55AF6"/>
    <w:rsid w:val="00D55B55"/>
    <w:rsid w:val="00D55BD8"/>
    <w:rsid w:val="00D55E95"/>
    <w:rsid w:val="00D55ECE"/>
    <w:rsid w:val="00D5665A"/>
    <w:rsid w:val="00D5692B"/>
    <w:rsid w:val="00D56ED4"/>
    <w:rsid w:val="00D57732"/>
    <w:rsid w:val="00D577DA"/>
    <w:rsid w:val="00D5792E"/>
    <w:rsid w:val="00D57B21"/>
    <w:rsid w:val="00D57C96"/>
    <w:rsid w:val="00D600D8"/>
    <w:rsid w:val="00D60245"/>
    <w:rsid w:val="00D6051E"/>
    <w:rsid w:val="00D60609"/>
    <w:rsid w:val="00D60A08"/>
    <w:rsid w:val="00D60C9D"/>
    <w:rsid w:val="00D61439"/>
    <w:rsid w:val="00D61776"/>
    <w:rsid w:val="00D61D7F"/>
    <w:rsid w:val="00D61E13"/>
    <w:rsid w:val="00D61E21"/>
    <w:rsid w:val="00D6241F"/>
    <w:rsid w:val="00D624ED"/>
    <w:rsid w:val="00D62C11"/>
    <w:rsid w:val="00D62F83"/>
    <w:rsid w:val="00D632D9"/>
    <w:rsid w:val="00D63316"/>
    <w:rsid w:val="00D633A9"/>
    <w:rsid w:val="00D63C13"/>
    <w:rsid w:val="00D6434E"/>
    <w:rsid w:val="00D643CE"/>
    <w:rsid w:val="00D6470C"/>
    <w:rsid w:val="00D648BC"/>
    <w:rsid w:val="00D64AE7"/>
    <w:rsid w:val="00D64C79"/>
    <w:rsid w:val="00D653CD"/>
    <w:rsid w:val="00D657EF"/>
    <w:rsid w:val="00D65925"/>
    <w:rsid w:val="00D65ACE"/>
    <w:rsid w:val="00D65D19"/>
    <w:rsid w:val="00D65E21"/>
    <w:rsid w:val="00D65F14"/>
    <w:rsid w:val="00D662E6"/>
    <w:rsid w:val="00D66593"/>
    <w:rsid w:val="00D6684B"/>
    <w:rsid w:val="00D66D10"/>
    <w:rsid w:val="00D66E8C"/>
    <w:rsid w:val="00D66E95"/>
    <w:rsid w:val="00D66F76"/>
    <w:rsid w:val="00D670FF"/>
    <w:rsid w:val="00D672B6"/>
    <w:rsid w:val="00D6756F"/>
    <w:rsid w:val="00D67E80"/>
    <w:rsid w:val="00D7038D"/>
    <w:rsid w:val="00D70443"/>
    <w:rsid w:val="00D70549"/>
    <w:rsid w:val="00D705F4"/>
    <w:rsid w:val="00D70634"/>
    <w:rsid w:val="00D70805"/>
    <w:rsid w:val="00D70A92"/>
    <w:rsid w:val="00D70BEC"/>
    <w:rsid w:val="00D70C9B"/>
    <w:rsid w:val="00D70DD6"/>
    <w:rsid w:val="00D70E3D"/>
    <w:rsid w:val="00D71089"/>
    <w:rsid w:val="00D710CF"/>
    <w:rsid w:val="00D71149"/>
    <w:rsid w:val="00D711EB"/>
    <w:rsid w:val="00D71495"/>
    <w:rsid w:val="00D715C1"/>
    <w:rsid w:val="00D71870"/>
    <w:rsid w:val="00D718CF"/>
    <w:rsid w:val="00D71B7F"/>
    <w:rsid w:val="00D71C50"/>
    <w:rsid w:val="00D720C3"/>
    <w:rsid w:val="00D7211E"/>
    <w:rsid w:val="00D7216C"/>
    <w:rsid w:val="00D721EF"/>
    <w:rsid w:val="00D721FA"/>
    <w:rsid w:val="00D72B69"/>
    <w:rsid w:val="00D73002"/>
    <w:rsid w:val="00D739C3"/>
    <w:rsid w:val="00D73A19"/>
    <w:rsid w:val="00D73C83"/>
    <w:rsid w:val="00D73F4C"/>
    <w:rsid w:val="00D740CC"/>
    <w:rsid w:val="00D74462"/>
    <w:rsid w:val="00D74882"/>
    <w:rsid w:val="00D74B0D"/>
    <w:rsid w:val="00D74B43"/>
    <w:rsid w:val="00D74DE5"/>
    <w:rsid w:val="00D74E55"/>
    <w:rsid w:val="00D75031"/>
    <w:rsid w:val="00D7585A"/>
    <w:rsid w:val="00D7585F"/>
    <w:rsid w:val="00D75E88"/>
    <w:rsid w:val="00D75ED6"/>
    <w:rsid w:val="00D761F1"/>
    <w:rsid w:val="00D76339"/>
    <w:rsid w:val="00D76476"/>
    <w:rsid w:val="00D76DB5"/>
    <w:rsid w:val="00D76EE3"/>
    <w:rsid w:val="00D76F33"/>
    <w:rsid w:val="00D772C8"/>
    <w:rsid w:val="00D77341"/>
    <w:rsid w:val="00D77456"/>
    <w:rsid w:val="00D7755B"/>
    <w:rsid w:val="00D77574"/>
    <w:rsid w:val="00D7774C"/>
    <w:rsid w:val="00D77CAA"/>
    <w:rsid w:val="00D77CEE"/>
    <w:rsid w:val="00D77CF0"/>
    <w:rsid w:val="00D8026B"/>
    <w:rsid w:val="00D80690"/>
    <w:rsid w:val="00D80838"/>
    <w:rsid w:val="00D8110D"/>
    <w:rsid w:val="00D81215"/>
    <w:rsid w:val="00D8135C"/>
    <w:rsid w:val="00D8152E"/>
    <w:rsid w:val="00D8156E"/>
    <w:rsid w:val="00D81882"/>
    <w:rsid w:val="00D81996"/>
    <w:rsid w:val="00D81C45"/>
    <w:rsid w:val="00D81D5E"/>
    <w:rsid w:val="00D81E0F"/>
    <w:rsid w:val="00D8247D"/>
    <w:rsid w:val="00D82582"/>
    <w:rsid w:val="00D82678"/>
    <w:rsid w:val="00D83FE3"/>
    <w:rsid w:val="00D843F6"/>
    <w:rsid w:val="00D8445A"/>
    <w:rsid w:val="00D8446B"/>
    <w:rsid w:val="00D845AE"/>
    <w:rsid w:val="00D848D3"/>
    <w:rsid w:val="00D8495B"/>
    <w:rsid w:val="00D84998"/>
    <w:rsid w:val="00D84A9D"/>
    <w:rsid w:val="00D84E3D"/>
    <w:rsid w:val="00D84EC9"/>
    <w:rsid w:val="00D85DD4"/>
    <w:rsid w:val="00D85E95"/>
    <w:rsid w:val="00D85FA9"/>
    <w:rsid w:val="00D85FAC"/>
    <w:rsid w:val="00D8636D"/>
    <w:rsid w:val="00D86649"/>
    <w:rsid w:val="00D867FA"/>
    <w:rsid w:val="00D86B25"/>
    <w:rsid w:val="00D86CAD"/>
    <w:rsid w:val="00D86D01"/>
    <w:rsid w:val="00D86D8A"/>
    <w:rsid w:val="00D86F2F"/>
    <w:rsid w:val="00D8731E"/>
    <w:rsid w:val="00D87698"/>
    <w:rsid w:val="00D87913"/>
    <w:rsid w:val="00D87BCC"/>
    <w:rsid w:val="00D87EB7"/>
    <w:rsid w:val="00D87EFE"/>
    <w:rsid w:val="00D90055"/>
    <w:rsid w:val="00D9043F"/>
    <w:rsid w:val="00D90632"/>
    <w:rsid w:val="00D908C2"/>
    <w:rsid w:val="00D90C4B"/>
    <w:rsid w:val="00D90DB8"/>
    <w:rsid w:val="00D90DE4"/>
    <w:rsid w:val="00D90E3E"/>
    <w:rsid w:val="00D90F70"/>
    <w:rsid w:val="00D918AE"/>
    <w:rsid w:val="00D91C48"/>
    <w:rsid w:val="00D91CC3"/>
    <w:rsid w:val="00D91EE5"/>
    <w:rsid w:val="00D92250"/>
    <w:rsid w:val="00D928F5"/>
    <w:rsid w:val="00D92941"/>
    <w:rsid w:val="00D92963"/>
    <w:rsid w:val="00D92DD3"/>
    <w:rsid w:val="00D9322F"/>
    <w:rsid w:val="00D9343A"/>
    <w:rsid w:val="00D934BB"/>
    <w:rsid w:val="00D93BDC"/>
    <w:rsid w:val="00D93BE7"/>
    <w:rsid w:val="00D93C1E"/>
    <w:rsid w:val="00D93D19"/>
    <w:rsid w:val="00D942C6"/>
    <w:rsid w:val="00D946DE"/>
    <w:rsid w:val="00D94741"/>
    <w:rsid w:val="00D94BC5"/>
    <w:rsid w:val="00D95161"/>
    <w:rsid w:val="00D95253"/>
    <w:rsid w:val="00D953F4"/>
    <w:rsid w:val="00D954EA"/>
    <w:rsid w:val="00D95BC4"/>
    <w:rsid w:val="00D95D2B"/>
    <w:rsid w:val="00D95F1D"/>
    <w:rsid w:val="00D95FD2"/>
    <w:rsid w:val="00D96209"/>
    <w:rsid w:val="00D962C8"/>
    <w:rsid w:val="00D9645F"/>
    <w:rsid w:val="00D9667D"/>
    <w:rsid w:val="00D96B67"/>
    <w:rsid w:val="00D96BF2"/>
    <w:rsid w:val="00D978B7"/>
    <w:rsid w:val="00D9794C"/>
    <w:rsid w:val="00D9797F"/>
    <w:rsid w:val="00D97B8D"/>
    <w:rsid w:val="00D97C34"/>
    <w:rsid w:val="00D97DB5"/>
    <w:rsid w:val="00D97E8E"/>
    <w:rsid w:val="00D97F22"/>
    <w:rsid w:val="00D9B595"/>
    <w:rsid w:val="00DA0072"/>
    <w:rsid w:val="00DA104A"/>
    <w:rsid w:val="00DA1242"/>
    <w:rsid w:val="00DA17EC"/>
    <w:rsid w:val="00DA187D"/>
    <w:rsid w:val="00DA1C72"/>
    <w:rsid w:val="00DA1CED"/>
    <w:rsid w:val="00DA206B"/>
    <w:rsid w:val="00DA209C"/>
    <w:rsid w:val="00DA2657"/>
    <w:rsid w:val="00DA26B0"/>
    <w:rsid w:val="00DA2737"/>
    <w:rsid w:val="00DA2904"/>
    <w:rsid w:val="00DA2A1B"/>
    <w:rsid w:val="00DA2A7F"/>
    <w:rsid w:val="00DA2BAC"/>
    <w:rsid w:val="00DA361B"/>
    <w:rsid w:val="00DA3AD6"/>
    <w:rsid w:val="00DA3BA5"/>
    <w:rsid w:val="00DA3DF0"/>
    <w:rsid w:val="00DA3E20"/>
    <w:rsid w:val="00DA45C7"/>
    <w:rsid w:val="00DA4617"/>
    <w:rsid w:val="00DA479F"/>
    <w:rsid w:val="00DA4931"/>
    <w:rsid w:val="00DA4B45"/>
    <w:rsid w:val="00DA4DCE"/>
    <w:rsid w:val="00DA50C2"/>
    <w:rsid w:val="00DA5244"/>
    <w:rsid w:val="00DA531F"/>
    <w:rsid w:val="00DA5831"/>
    <w:rsid w:val="00DA58C4"/>
    <w:rsid w:val="00DA5F82"/>
    <w:rsid w:val="00DA6002"/>
    <w:rsid w:val="00DA654E"/>
    <w:rsid w:val="00DA689B"/>
    <w:rsid w:val="00DA6A25"/>
    <w:rsid w:val="00DA6BF1"/>
    <w:rsid w:val="00DA6C2F"/>
    <w:rsid w:val="00DA6CAA"/>
    <w:rsid w:val="00DA70D5"/>
    <w:rsid w:val="00DA710F"/>
    <w:rsid w:val="00DA71F6"/>
    <w:rsid w:val="00DA7810"/>
    <w:rsid w:val="00DA79FC"/>
    <w:rsid w:val="00DAAC3D"/>
    <w:rsid w:val="00DB0175"/>
    <w:rsid w:val="00DB04D7"/>
    <w:rsid w:val="00DB0640"/>
    <w:rsid w:val="00DB0699"/>
    <w:rsid w:val="00DB0902"/>
    <w:rsid w:val="00DB094F"/>
    <w:rsid w:val="00DB09AD"/>
    <w:rsid w:val="00DB0CBA"/>
    <w:rsid w:val="00DB0D37"/>
    <w:rsid w:val="00DB0F53"/>
    <w:rsid w:val="00DB1043"/>
    <w:rsid w:val="00DB129C"/>
    <w:rsid w:val="00DB16E0"/>
    <w:rsid w:val="00DB1A19"/>
    <w:rsid w:val="00DB1ACF"/>
    <w:rsid w:val="00DB1C4F"/>
    <w:rsid w:val="00DB1E6B"/>
    <w:rsid w:val="00DB209D"/>
    <w:rsid w:val="00DB2170"/>
    <w:rsid w:val="00DB23E3"/>
    <w:rsid w:val="00DB2833"/>
    <w:rsid w:val="00DB2865"/>
    <w:rsid w:val="00DB28C3"/>
    <w:rsid w:val="00DB2BA0"/>
    <w:rsid w:val="00DB2F1E"/>
    <w:rsid w:val="00DB33AF"/>
    <w:rsid w:val="00DB33C0"/>
    <w:rsid w:val="00DB3426"/>
    <w:rsid w:val="00DB37E5"/>
    <w:rsid w:val="00DB37F5"/>
    <w:rsid w:val="00DB3898"/>
    <w:rsid w:val="00DB398F"/>
    <w:rsid w:val="00DB3996"/>
    <w:rsid w:val="00DB39A1"/>
    <w:rsid w:val="00DB3B3B"/>
    <w:rsid w:val="00DB3B6A"/>
    <w:rsid w:val="00DB3D0F"/>
    <w:rsid w:val="00DB3E8F"/>
    <w:rsid w:val="00DB435E"/>
    <w:rsid w:val="00DB453D"/>
    <w:rsid w:val="00DB475D"/>
    <w:rsid w:val="00DB4AD5"/>
    <w:rsid w:val="00DB4B2A"/>
    <w:rsid w:val="00DB4BD8"/>
    <w:rsid w:val="00DB4BDA"/>
    <w:rsid w:val="00DB4D9C"/>
    <w:rsid w:val="00DB4E42"/>
    <w:rsid w:val="00DB4F6B"/>
    <w:rsid w:val="00DB5347"/>
    <w:rsid w:val="00DB552A"/>
    <w:rsid w:val="00DB5B0E"/>
    <w:rsid w:val="00DB5CBA"/>
    <w:rsid w:val="00DB5D58"/>
    <w:rsid w:val="00DB5E41"/>
    <w:rsid w:val="00DB618A"/>
    <w:rsid w:val="00DB61C3"/>
    <w:rsid w:val="00DB658F"/>
    <w:rsid w:val="00DB668C"/>
    <w:rsid w:val="00DB6751"/>
    <w:rsid w:val="00DB67A3"/>
    <w:rsid w:val="00DB68C9"/>
    <w:rsid w:val="00DB6917"/>
    <w:rsid w:val="00DB6AE0"/>
    <w:rsid w:val="00DB6BBE"/>
    <w:rsid w:val="00DB6D19"/>
    <w:rsid w:val="00DB6EE2"/>
    <w:rsid w:val="00DB7027"/>
    <w:rsid w:val="00DB70C7"/>
    <w:rsid w:val="00DB7116"/>
    <w:rsid w:val="00DB713F"/>
    <w:rsid w:val="00DB7185"/>
    <w:rsid w:val="00DB71B7"/>
    <w:rsid w:val="00DB75A6"/>
    <w:rsid w:val="00DB75AE"/>
    <w:rsid w:val="00DB791D"/>
    <w:rsid w:val="00DB7AF3"/>
    <w:rsid w:val="00DB7B43"/>
    <w:rsid w:val="00DB7B6E"/>
    <w:rsid w:val="00DB7EA6"/>
    <w:rsid w:val="00DC0CE4"/>
    <w:rsid w:val="00DC0D2F"/>
    <w:rsid w:val="00DC159A"/>
    <w:rsid w:val="00DC1C11"/>
    <w:rsid w:val="00DC21E2"/>
    <w:rsid w:val="00DC235D"/>
    <w:rsid w:val="00DC236F"/>
    <w:rsid w:val="00DC23A3"/>
    <w:rsid w:val="00DC28FA"/>
    <w:rsid w:val="00DC2A92"/>
    <w:rsid w:val="00DC2FFB"/>
    <w:rsid w:val="00DC304C"/>
    <w:rsid w:val="00DC3287"/>
    <w:rsid w:val="00DC32B8"/>
    <w:rsid w:val="00DC3352"/>
    <w:rsid w:val="00DC367A"/>
    <w:rsid w:val="00DC3835"/>
    <w:rsid w:val="00DC3DA8"/>
    <w:rsid w:val="00DC404A"/>
    <w:rsid w:val="00DC4133"/>
    <w:rsid w:val="00DC41CA"/>
    <w:rsid w:val="00DC43D5"/>
    <w:rsid w:val="00DC44ED"/>
    <w:rsid w:val="00DC45DB"/>
    <w:rsid w:val="00DC4670"/>
    <w:rsid w:val="00DC4824"/>
    <w:rsid w:val="00DC496E"/>
    <w:rsid w:val="00DC53B5"/>
    <w:rsid w:val="00DC578C"/>
    <w:rsid w:val="00DC588D"/>
    <w:rsid w:val="00DC5961"/>
    <w:rsid w:val="00DC5A02"/>
    <w:rsid w:val="00DC5AF6"/>
    <w:rsid w:val="00DC5B90"/>
    <w:rsid w:val="00DC5F00"/>
    <w:rsid w:val="00DC5F94"/>
    <w:rsid w:val="00DC5FAC"/>
    <w:rsid w:val="00DC642F"/>
    <w:rsid w:val="00DC6450"/>
    <w:rsid w:val="00DC65A2"/>
    <w:rsid w:val="00DC65E7"/>
    <w:rsid w:val="00DC69C8"/>
    <w:rsid w:val="00DC6A62"/>
    <w:rsid w:val="00DC6A9F"/>
    <w:rsid w:val="00DC6D8A"/>
    <w:rsid w:val="00DC7073"/>
    <w:rsid w:val="00DC73D6"/>
    <w:rsid w:val="00DC765F"/>
    <w:rsid w:val="00DC76A0"/>
    <w:rsid w:val="00DC773D"/>
    <w:rsid w:val="00DC7959"/>
    <w:rsid w:val="00DC7C4E"/>
    <w:rsid w:val="00DC7FA6"/>
    <w:rsid w:val="00DC7FF2"/>
    <w:rsid w:val="00DD023B"/>
    <w:rsid w:val="00DD0279"/>
    <w:rsid w:val="00DD090D"/>
    <w:rsid w:val="00DD0BDA"/>
    <w:rsid w:val="00DD11B9"/>
    <w:rsid w:val="00DD1214"/>
    <w:rsid w:val="00DD1288"/>
    <w:rsid w:val="00DD15E7"/>
    <w:rsid w:val="00DD1724"/>
    <w:rsid w:val="00DD1775"/>
    <w:rsid w:val="00DD1BD5"/>
    <w:rsid w:val="00DD22C8"/>
    <w:rsid w:val="00DD235E"/>
    <w:rsid w:val="00DD24B4"/>
    <w:rsid w:val="00DD25B0"/>
    <w:rsid w:val="00DD2736"/>
    <w:rsid w:val="00DD2968"/>
    <w:rsid w:val="00DD2AA7"/>
    <w:rsid w:val="00DD2D8D"/>
    <w:rsid w:val="00DD35B4"/>
    <w:rsid w:val="00DD3842"/>
    <w:rsid w:val="00DD3973"/>
    <w:rsid w:val="00DD3DA9"/>
    <w:rsid w:val="00DD401B"/>
    <w:rsid w:val="00DD40A2"/>
    <w:rsid w:val="00DD412D"/>
    <w:rsid w:val="00DD4144"/>
    <w:rsid w:val="00DD41BA"/>
    <w:rsid w:val="00DD4251"/>
    <w:rsid w:val="00DD42D6"/>
    <w:rsid w:val="00DD4814"/>
    <w:rsid w:val="00DD4954"/>
    <w:rsid w:val="00DD49AD"/>
    <w:rsid w:val="00DD49AE"/>
    <w:rsid w:val="00DD4A2F"/>
    <w:rsid w:val="00DD4A9B"/>
    <w:rsid w:val="00DD4AAB"/>
    <w:rsid w:val="00DD4B97"/>
    <w:rsid w:val="00DD52F5"/>
    <w:rsid w:val="00DD599B"/>
    <w:rsid w:val="00DD5B07"/>
    <w:rsid w:val="00DD5C8B"/>
    <w:rsid w:val="00DD5CD0"/>
    <w:rsid w:val="00DD5F62"/>
    <w:rsid w:val="00DD6108"/>
    <w:rsid w:val="00DD63BC"/>
    <w:rsid w:val="00DD646E"/>
    <w:rsid w:val="00DD64D5"/>
    <w:rsid w:val="00DD6758"/>
    <w:rsid w:val="00DD68DC"/>
    <w:rsid w:val="00DD6B64"/>
    <w:rsid w:val="00DD6B78"/>
    <w:rsid w:val="00DD6D04"/>
    <w:rsid w:val="00DD6D46"/>
    <w:rsid w:val="00DD6D72"/>
    <w:rsid w:val="00DD6DD0"/>
    <w:rsid w:val="00DD6E1A"/>
    <w:rsid w:val="00DD71BE"/>
    <w:rsid w:val="00DD7461"/>
    <w:rsid w:val="00DD752E"/>
    <w:rsid w:val="00DD757B"/>
    <w:rsid w:val="00DD7714"/>
    <w:rsid w:val="00DD7821"/>
    <w:rsid w:val="00DD7DA5"/>
    <w:rsid w:val="00DD7EEA"/>
    <w:rsid w:val="00DD7F6B"/>
    <w:rsid w:val="00DE00B3"/>
    <w:rsid w:val="00DE0147"/>
    <w:rsid w:val="00DE0452"/>
    <w:rsid w:val="00DE0503"/>
    <w:rsid w:val="00DE05C7"/>
    <w:rsid w:val="00DE0899"/>
    <w:rsid w:val="00DE08D9"/>
    <w:rsid w:val="00DE0E27"/>
    <w:rsid w:val="00DE17E6"/>
    <w:rsid w:val="00DE1BF9"/>
    <w:rsid w:val="00DE1E7C"/>
    <w:rsid w:val="00DE209D"/>
    <w:rsid w:val="00DE25EE"/>
    <w:rsid w:val="00DE26FD"/>
    <w:rsid w:val="00DE29BE"/>
    <w:rsid w:val="00DE29EE"/>
    <w:rsid w:val="00DE2BDA"/>
    <w:rsid w:val="00DE2C0F"/>
    <w:rsid w:val="00DE2D08"/>
    <w:rsid w:val="00DE2D46"/>
    <w:rsid w:val="00DE3233"/>
    <w:rsid w:val="00DE35C3"/>
    <w:rsid w:val="00DE37CF"/>
    <w:rsid w:val="00DE37F1"/>
    <w:rsid w:val="00DE386D"/>
    <w:rsid w:val="00DE388A"/>
    <w:rsid w:val="00DE3A7D"/>
    <w:rsid w:val="00DE3B2C"/>
    <w:rsid w:val="00DE3DDC"/>
    <w:rsid w:val="00DE407C"/>
    <w:rsid w:val="00DE429E"/>
    <w:rsid w:val="00DE4313"/>
    <w:rsid w:val="00DE49C0"/>
    <w:rsid w:val="00DE4FB9"/>
    <w:rsid w:val="00DE5161"/>
    <w:rsid w:val="00DE586B"/>
    <w:rsid w:val="00DE5A37"/>
    <w:rsid w:val="00DE5CBF"/>
    <w:rsid w:val="00DE6053"/>
    <w:rsid w:val="00DE6729"/>
    <w:rsid w:val="00DE677E"/>
    <w:rsid w:val="00DE6783"/>
    <w:rsid w:val="00DE679A"/>
    <w:rsid w:val="00DE67BC"/>
    <w:rsid w:val="00DE6F11"/>
    <w:rsid w:val="00DE7422"/>
    <w:rsid w:val="00DE7455"/>
    <w:rsid w:val="00DE78A6"/>
    <w:rsid w:val="00DE7AE3"/>
    <w:rsid w:val="00DF0103"/>
    <w:rsid w:val="00DF0197"/>
    <w:rsid w:val="00DF02F4"/>
    <w:rsid w:val="00DF096A"/>
    <w:rsid w:val="00DF0D0E"/>
    <w:rsid w:val="00DF0FD4"/>
    <w:rsid w:val="00DF1193"/>
    <w:rsid w:val="00DF13C2"/>
    <w:rsid w:val="00DF1410"/>
    <w:rsid w:val="00DF1691"/>
    <w:rsid w:val="00DF1758"/>
    <w:rsid w:val="00DF1759"/>
    <w:rsid w:val="00DF1D2C"/>
    <w:rsid w:val="00DF20ED"/>
    <w:rsid w:val="00DF22FB"/>
    <w:rsid w:val="00DF238F"/>
    <w:rsid w:val="00DF23CF"/>
    <w:rsid w:val="00DF2F70"/>
    <w:rsid w:val="00DF359B"/>
    <w:rsid w:val="00DF363E"/>
    <w:rsid w:val="00DF365C"/>
    <w:rsid w:val="00DF398B"/>
    <w:rsid w:val="00DF3AD0"/>
    <w:rsid w:val="00DF3B0B"/>
    <w:rsid w:val="00DF3E14"/>
    <w:rsid w:val="00DF42A7"/>
    <w:rsid w:val="00DF4ABE"/>
    <w:rsid w:val="00DF4CDC"/>
    <w:rsid w:val="00DF4F01"/>
    <w:rsid w:val="00DF54E0"/>
    <w:rsid w:val="00DF56F2"/>
    <w:rsid w:val="00DF56FF"/>
    <w:rsid w:val="00DF57C2"/>
    <w:rsid w:val="00DF57FC"/>
    <w:rsid w:val="00DF591D"/>
    <w:rsid w:val="00DF59C9"/>
    <w:rsid w:val="00DF5CFE"/>
    <w:rsid w:val="00DF6036"/>
    <w:rsid w:val="00DF643E"/>
    <w:rsid w:val="00DF6539"/>
    <w:rsid w:val="00DF6B8F"/>
    <w:rsid w:val="00DF6CD1"/>
    <w:rsid w:val="00DF6DD2"/>
    <w:rsid w:val="00DF6ECB"/>
    <w:rsid w:val="00DF70F1"/>
    <w:rsid w:val="00DF7281"/>
    <w:rsid w:val="00DF7405"/>
    <w:rsid w:val="00DF7688"/>
    <w:rsid w:val="00DF7938"/>
    <w:rsid w:val="00DF79A9"/>
    <w:rsid w:val="00DF7D1F"/>
    <w:rsid w:val="00DF7D84"/>
    <w:rsid w:val="00DF7DAA"/>
    <w:rsid w:val="00DF7F33"/>
    <w:rsid w:val="00E001E9"/>
    <w:rsid w:val="00E00213"/>
    <w:rsid w:val="00E002F4"/>
    <w:rsid w:val="00E0061B"/>
    <w:rsid w:val="00E00CD7"/>
    <w:rsid w:val="00E00EC8"/>
    <w:rsid w:val="00E00F07"/>
    <w:rsid w:val="00E0100E"/>
    <w:rsid w:val="00E0100F"/>
    <w:rsid w:val="00E014B3"/>
    <w:rsid w:val="00E016F2"/>
    <w:rsid w:val="00E01943"/>
    <w:rsid w:val="00E020E1"/>
    <w:rsid w:val="00E0229F"/>
    <w:rsid w:val="00E024F7"/>
    <w:rsid w:val="00E0298F"/>
    <w:rsid w:val="00E029C6"/>
    <w:rsid w:val="00E03499"/>
    <w:rsid w:val="00E037AC"/>
    <w:rsid w:val="00E039CF"/>
    <w:rsid w:val="00E03ACE"/>
    <w:rsid w:val="00E04586"/>
    <w:rsid w:val="00E047DE"/>
    <w:rsid w:val="00E04C06"/>
    <w:rsid w:val="00E04C5F"/>
    <w:rsid w:val="00E04CF8"/>
    <w:rsid w:val="00E05465"/>
    <w:rsid w:val="00E05A82"/>
    <w:rsid w:val="00E05AFF"/>
    <w:rsid w:val="00E05B3B"/>
    <w:rsid w:val="00E060C7"/>
    <w:rsid w:val="00E0650D"/>
    <w:rsid w:val="00E06625"/>
    <w:rsid w:val="00E06B06"/>
    <w:rsid w:val="00E06D23"/>
    <w:rsid w:val="00E070D2"/>
    <w:rsid w:val="00E0718F"/>
    <w:rsid w:val="00E07257"/>
    <w:rsid w:val="00E07788"/>
    <w:rsid w:val="00E077E8"/>
    <w:rsid w:val="00E07820"/>
    <w:rsid w:val="00E07E24"/>
    <w:rsid w:val="00E10665"/>
    <w:rsid w:val="00E10942"/>
    <w:rsid w:val="00E109D5"/>
    <w:rsid w:val="00E10AF9"/>
    <w:rsid w:val="00E10DEF"/>
    <w:rsid w:val="00E10E23"/>
    <w:rsid w:val="00E1117F"/>
    <w:rsid w:val="00E111A4"/>
    <w:rsid w:val="00E1122C"/>
    <w:rsid w:val="00E11364"/>
    <w:rsid w:val="00E119E6"/>
    <w:rsid w:val="00E11D62"/>
    <w:rsid w:val="00E11FCB"/>
    <w:rsid w:val="00E12087"/>
    <w:rsid w:val="00E1209C"/>
    <w:rsid w:val="00E12B88"/>
    <w:rsid w:val="00E12E62"/>
    <w:rsid w:val="00E1336A"/>
    <w:rsid w:val="00E13466"/>
    <w:rsid w:val="00E13559"/>
    <w:rsid w:val="00E136AB"/>
    <w:rsid w:val="00E136BB"/>
    <w:rsid w:val="00E138EC"/>
    <w:rsid w:val="00E1398B"/>
    <w:rsid w:val="00E13A03"/>
    <w:rsid w:val="00E13BE2"/>
    <w:rsid w:val="00E13D22"/>
    <w:rsid w:val="00E13DCA"/>
    <w:rsid w:val="00E14843"/>
    <w:rsid w:val="00E14866"/>
    <w:rsid w:val="00E14AE8"/>
    <w:rsid w:val="00E14D32"/>
    <w:rsid w:val="00E14DD9"/>
    <w:rsid w:val="00E14F69"/>
    <w:rsid w:val="00E15061"/>
    <w:rsid w:val="00E1548E"/>
    <w:rsid w:val="00E1570B"/>
    <w:rsid w:val="00E15974"/>
    <w:rsid w:val="00E159D8"/>
    <w:rsid w:val="00E15BE8"/>
    <w:rsid w:val="00E15C80"/>
    <w:rsid w:val="00E160D6"/>
    <w:rsid w:val="00E1613A"/>
    <w:rsid w:val="00E162BD"/>
    <w:rsid w:val="00E16492"/>
    <w:rsid w:val="00E166A8"/>
    <w:rsid w:val="00E16B80"/>
    <w:rsid w:val="00E1731B"/>
    <w:rsid w:val="00E17DAC"/>
    <w:rsid w:val="00E209C0"/>
    <w:rsid w:val="00E20C2B"/>
    <w:rsid w:val="00E20F42"/>
    <w:rsid w:val="00E211D9"/>
    <w:rsid w:val="00E21722"/>
    <w:rsid w:val="00E218A6"/>
    <w:rsid w:val="00E218FF"/>
    <w:rsid w:val="00E21998"/>
    <w:rsid w:val="00E21A79"/>
    <w:rsid w:val="00E21E01"/>
    <w:rsid w:val="00E220AF"/>
    <w:rsid w:val="00E22134"/>
    <w:rsid w:val="00E22192"/>
    <w:rsid w:val="00E221BF"/>
    <w:rsid w:val="00E223AB"/>
    <w:rsid w:val="00E224E1"/>
    <w:rsid w:val="00E22634"/>
    <w:rsid w:val="00E226D2"/>
    <w:rsid w:val="00E22777"/>
    <w:rsid w:val="00E2277A"/>
    <w:rsid w:val="00E22800"/>
    <w:rsid w:val="00E23418"/>
    <w:rsid w:val="00E2359F"/>
    <w:rsid w:val="00E23763"/>
    <w:rsid w:val="00E237FC"/>
    <w:rsid w:val="00E239EA"/>
    <w:rsid w:val="00E23AC6"/>
    <w:rsid w:val="00E242C1"/>
    <w:rsid w:val="00E2463B"/>
    <w:rsid w:val="00E247B6"/>
    <w:rsid w:val="00E2492F"/>
    <w:rsid w:val="00E24EE7"/>
    <w:rsid w:val="00E251A6"/>
    <w:rsid w:val="00E25284"/>
    <w:rsid w:val="00E25309"/>
    <w:rsid w:val="00E25711"/>
    <w:rsid w:val="00E25756"/>
    <w:rsid w:val="00E258CA"/>
    <w:rsid w:val="00E25A06"/>
    <w:rsid w:val="00E25B58"/>
    <w:rsid w:val="00E25C68"/>
    <w:rsid w:val="00E25EEC"/>
    <w:rsid w:val="00E25F49"/>
    <w:rsid w:val="00E260E5"/>
    <w:rsid w:val="00E2669F"/>
    <w:rsid w:val="00E26AD8"/>
    <w:rsid w:val="00E26E70"/>
    <w:rsid w:val="00E26F09"/>
    <w:rsid w:val="00E274F3"/>
    <w:rsid w:val="00E2750A"/>
    <w:rsid w:val="00E276C8"/>
    <w:rsid w:val="00E30276"/>
    <w:rsid w:val="00E305E9"/>
    <w:rsid w:val="00E30628"/>
    <w:rsid w:val="00E308CD"/>
    <w:rsid w:val="00E3093C"/>
    <w:rsid w:val="00E30B38"/>
    <w:rsid w:val="00E30B48"/>
    <w:rsid w:val="00E30BE2"/>
    <w:rsid w:val="00E30FB9"/>
    <w:rsid w:val="00E314F7"/>
    <w:rsid w:val="00E31982"/>
    <w:rsid w:val="00E31FE3"/>
    <w:rsid w:val="00E3261C"/>
    <w:rsid w:val="00E32A7C"/>
    <w:rsid w:val="00E32DEF"/>
    <w:rsid w:val="00E32E1D"/>
    <w:rsid w:val="00E32FC4"/>
    <w:rsid w:val="00E3317A"/>
    <w:rsid w:val="00E331D5"/>
    <w:rsid w:val="00E333C3"/>
    <w:rsid w:val="00E333F3"/>
    <w:rsid w:val="00E3340F"/>
    <w:rsid w:val="00E3365F"/>
    <w:rsid w:val="00E33794"/>
    <w:rsid w:val="00E338D1"/>
    <w:rsid w:val="00E33A46"/>
    <w:rsid w:val="00E33B11"/>
    <w:rsid w:val="00E33CAC"/>
    <w:rsid w:val="00E33CFD"/>
    <w:rsid w:val="00E33EBC"/>
    <w:rsid w:val="00E33F2B"/>
    <w:rsid w:val="00E3402A"/>
    <w:rsid w:val="00E3485D"/>
    <w:rsid w:val="00E34A32"/>
    <w:rsid w:val="00E34F85"/>
    <w:rsid w:val="00E350E2"/>
    <w:rsid w:val="00E35141"/>
    <w:rsid w:val="00E353A9"/>
    <w:rsid w:val="00E354FC"/>
    <w:rsid w:val="00E3574A"/>
    <w:rsid w:val="00E35AF4"/>
    <w:rsid w:val="00E35C36"/>
    <w:rsid w:val="00E35C87"/>
    <w:rsid w:val="00E361DC"/>
    <w:rsid w:val="00E369C5"/>
    <w:rsid w:val="00E36A0B"/>
    <w:rsid w:val="00E36C66"/>
    <w:rsid w:val="00E36FBE"/>
    <w:rsid w:val="00E37340"/>
    <w:rsid w:val="00E375DB"/>
    <w:rsid w:val="00E3769E"/>
    <w:rsid w:val="00E37F72"/>
    <w:rsid w:val="00E37F8D"/>
    <w:rsid w:val="00E40090"/>
    <w:rsid w:val="00E40239"/>
    <w:rsid w:val="00E4028D"/>
    <w:rsid w:val="00E402C7"/>
    <w:rsid w:val="00E40428"/>
    <w:rsid w:val="00E40E8C"/>
    <w:rsid w:val="00E40EA0"/>
    <w:rsid w:val="00E414E6"/>
    <w:rsid w:val="00E41784"/>
    <w:rsid w:val="00E41858"/>
    <w:rsid w:val="00E41AD9"/>
    <w:rsid w:val="00E41EB2"/>
    <w:rsid w:val="00E422AC"/>
    <w:rsid w:val="00E4230F"/>
    <w:rsid w:val="00E4232F"/>
    <w:rsid w:val="00E42342"/>
    <w:rsid w:val="00E423B6"/>
    <w:rsid w:val="00E424C1"/>
    <w:rsid w:val="00E4253F"/>
    <w:rsid w:val="00E42715"/>
    <w:rsid w:val="00E42739"/>
    <w:rsid w:val="00E42A72"/>
    <w:rsid w:val="00E42A73"/>
    <w:rsid w:val="00E42C38"/>
    <w:rsid w:val="00E434DA"/>
    <w:rsid w:val="00E43503"/>
    <w:rsid w:val="00E43A77"/>
    <w:rsid w:val="00E43E11"/>
    <w:rsid w:val="00E43F38"/>
    <w:rsid w:val="00E4403E"/>
    <w:rsid w:val="00E440EA"/>
    <w:rsid w:val="00E440EE"/>
    <w:rsid w:val="00E44113"/>
    <w:rsid w:val="00E4427D"/>
    <w:rsid w:val="00E44412"/>
    <w:rsid w:val="00E44594"/>
    <w:rsid w:val="00E44659"/>
    <w:rsid w:val="00E4466C"/>
    <w:rsid w:val="00E44781"/>
    <w:rsid w:val="00E4488F"/>
    <w:rsid w:val="00E44BA9"/>
    <w:rsid w:val="00E44D8D"/>
    <w:rsid w:val="00E44F76"/>
    <w:rsid w:val="00E4503E"/>
    <w:rsid w:val="00E451D1"/>
    <w:rsid w:val="00E45243"/>
    <w:rsid w:val="00E453CD"/>
    <w:rsid w:val="00E453EE"/>
    <w:rsid w:val="00E45A4F"/>
    <w:rsid w:val="00E45EC4"/>
    <w:rsid w:val="00E45F68"/>
    <w:rsid w:val="00E462B7"/>
    <w:rsid w:val="00E46457"/>
    <w:rsid w:val="00E4646E"/>
    <w:rsid w:val="00E4660A"/>
    <w:rsid w:val="00E467FD"/>
    <w:rsid w:val="00E4688D"/>
    <w:rsid w:val="00E478A6"/>
    <w:rsid w:val="00E479C6"/>
    <w:rsid w:val="00E47A2D"/>
    <w:rsid w:val="00E5010D"/>
    <w:rsid w:val="00E501A5"/>
    <w:rsid w:val="00E507DB"/>
    <w:rsid w:val="00E508EF"/>
    <w:rsid w:val="00E50B55"/>
    <w:rsid w:val="00E50D60"/>
    <w:rsid w:val="00E51174"/>
    <w:rsid w:val="00E517DB"/>
    <w:rsid w:val="00E51B1B"/>
    <w:rsid w:val="00E51B84"/>
    <w:rsid w:val="00E51BAC"/>
    <w:rsid w:val="00E51C8F"/>
    <w:rsid w:val="00E51D73"/>
    <w:rsid w:val="00E51DD1"/>
    <w:rsid w:val="00E521CD"/>
    <w:rsid w:val="00E5244E"/>
    <w:rsid w:val="00E5245D"/>
    <w:rsid w:val="00E52AA3"/>
    <w:rsid w:val="00E52C0C"/>
    <w:rsid w:val="00E52CE3"/>
    <w:rsid w:val="00E530F4"/>
    <w:rsid w:val="00E533E0"/>
    <w:rsid w:val="00E536BA"/>
    <w:rsid w:val="00E536EE"/>
    <w:rsid w:val="00E53A3C"/>
    <w:rsid w:val="00E53A6F"/>
    <w:rsid w:val="00E53B1A"/>
    <w:rsid w:val="00E53D94"/>
    <w:rsid w:val="00E540AB"/>
    <w:rsid w:val="00E5446C"/>
    <w:rsid w:val="00E54896"/>
    <w:rsid w:val="00E54A6D"/>
    <w:rsid w:val="00E54A8F"/>
    <w:rsid w:val="00E54B1E"/>
    <w:rsid w:val="00E54BB2"/>
    <w:rsid w:val="00E54DB6"/>
    <w:rsid w:val="00E54E66"/>
    <w:rsid w:val="00E5509D"/>
    <w:rsid w:val="00E557CD"/>
    <w:rsid w:val="00E55936"/>
    <w:rsid w:val="00E559D7"/>
    <w:rsid w:val="00E55D0A"/>
    <w:rsid w:val="00E55D5E"/>
    <w:rsid w:val="00E55E45"/>
    <w:rsid w:val="00E55FBB"/>
    <w:rsid w:val="00E5623A"/>
    <w:rsid w:val="00E56291"/>
    <w:rsid w:val="00E564CE"/>
    <w:rsid w:val="00E566CB"/>
    <w:rsid w:val="00E573DF"/>
    <w:rsid w:val="00E574C0"/>
    <w:rsid w:val="00E575FE"/>
    <w:rsid w:val="00E577D9"/>
    <w:rsid w:val="00E57B24"/>
    <w:rsid w:val="00E60400"/>
    <w:rsid w:val="00E6057E"/>
    <w:rsid w:val="00E60936"/>
    <w:rsid w:val="00E60998"/>
    <w:rsid w:val="00E60A07"/>
    <w:rsid w:val="00E60D39"/>
    <w:rsid w:val="00E60EC3"/>
    <w:rsid w:val="00E61161"/>
    <w:rsid w:val="00E6147D"/>
    <w:rsid w:val="00E61503"/>
    <w:rsid w:val="00E6160A"/>
    <w:rsid w:val="00E6178C"/>
    <w:rsid w:val="00E61BA3"/>
    <w:rsid w:val="00E62200"/>
    <w:rsid w:val="00E623E5"/>
    <w:rsid w:val="00E62408"/>
    <w:rsid w:val="00E6245A"/>
    <w:rsid w:val="00E625A7"/>
    <w:rsid w:val="00E629E8"/>
    <w:rsid w:val="00E62B10"/>
    <w:rsid w:val="00E62B4F"/>
    <w:rsid w:val="00E62B64"/>
    <w:rsid w:val="00E62C84"/>
    <w:rsid w:val="00E62C8E"/>
    <w:rsid w:val="00E62CA3"/>
    <w:rsid w:val="00E62E53"/>
    <w:rsid w:val="00E63158"/>
    <w:rsid w:val="00E6325C"/>
    <w:rsid w:val="00E63415"/>
    <w:rsid w:val="00E63648"/>
    <w:rsid w:val="00E638B4"/>
    <w:rsid w:val="00E63C63"/>
    <w:rsid w:val="00E63E34"/>
    <w:rsid w:val="00E64485"/>
    <w:rsid w:val="00E6471B"/>
    <w:rsid w:val="00E647FE"/>
    <w:rsid w:val="00E64805"/>
    <w:rsid w:val="00E64BD7"/>
    <w:rsid w:val="00E64CC6"/>
    <w:rsid w:val="00E64FA7"/>
    <w:rsid w:val="00E6526A"/>
    <w:rsid w:val="00E65303"/>
    <w:rsid w:val="00E653C7"/>
    <w:rsid w:val="00E654D8"/>
    <w:rsid w:val="00E65991"/>
    <w:rsid w:val="00E65A37"/>
    <w:rsid w:val="00E65F55"/>
    <w:rsid w:val="00E6623E"/>
    <w:rsid w:val="00E66245"/>
    <w:rsid w:val="00E662E2"/>
    <w:rsid w:val="00E66794"/>
    <w:rsid w:val="00E66855"/>
    <w:rsid w:val="00E668DA"/>
    <w:rsid w:val="00E66A50"/>
    <w:rsid w:val="00E66C85"/>
    <w:rsid w:val="00E67127"/>
    <w:rsid w:val="00E674AC"/>
    <w:rsid w:val="00E675E1"/>
    <w:rsid w:val="00E6769F"/>
    <w:rsid w:val="00E677E0"/>
    <w:rsid w:val="00E67920"/>
    <w:rsid w:val="00E6792A"/>
    <w:rsid w:val="00E67D26"/>
    <w:rsid w:val="00E67ED7"/>
    <w:rsid w:val="00E70021"/>
    <w:rsid w:val="00E70193"/>
    <w:rsid w:val="00E70513"/>
    <w:rsid w:val="00E706F0"/>
    <w:rsid w:val="00E7073C"/>
    <w:rsid w:val="00E70850"/>
    <w:rsid w:val="00E70C30"/>
    <w:rsid w:val="00E70E27"/>
    <w:rsid w:val="00E7111F"/>
    <w:rsid w:val="00E711DD"/>
    <w:rsid w:val="00E714E8"/>
    <w:rsid w:val="00E7199B"/>
    <w:rsid w:val="00E71A76"/>
    <w:rsid w:val="00E71AA8"/>
    <w:rsid w:val="00E71F15"/>
    <w:rsid w:val="00E723FF"/>
    <w:rsid w:val="00E7246F"/>
    <w:rsid w:val="00E724AA"/>
    <w:rsid w:val="00E7291B"/>
    <w:rsid w:val="00E729AB"/>
    <w:rsid w:val="00E72F9F"/>
    <w:rsid w:val="00E73200"/>
    <w:rsid w:val="00E73339"/>
    <w:rsid w:val="00E7334D"/>
    <w:rsid w:val="00E734F0"/>
    <w:rsid w:val="00E73534"/>
    <w:rsid w:val="00E73CB5"/>
    <w:rsid w:val="00E73F3B"/>
    <w:rsid w:val="00E742FB"/>
    <w:rsid w:val="00E743DE"/>
    <w:rsid w:val="00E748D8"/>
    <w:rsid w:val="00E7494C"/>
    <w:rsid w:val="00E74A3C"/>
    <w:rsid w:val="00E74A9A"/>
    <w:rsid w:val="00E751C8"/>
    <w:rsid w:val="00E754A1"/>
    <w:rsid w:val="00E75744"/>
    <w:rsid w:val="00E7585E"/>
    <w:rsid w:val="00E75B2C"/>
    <w:rsid w:val="00E75D66"/>
    <w:rsid w:val="00E75DAB"/>
    <w:rsid w:val="00E760EE"/>
    <w:rsid w:val="00E76115"/>
    <w:rsid w:val="00E761E5"/>
    <w:rsid w:val="00E7677C"/>
    <w:rsid w:val="00E76C3D"/>
    <w:rsid w:val="00E76CEA"/>
    <w:rsid w:val="00E7770F"/>
    <w:rsid w:val="00E77806"/>
    <w:rsid w:val="00E77BC1"/>
    <w:rsid w:val="00E77D6C"/>
    <w:rsid w:val="00E77EB1"/>
    <w:rsid w:val="00E77EFC"/>
    <w:rsid w:val="00E77F57"/>
    <w:rsid w:val="00E801D4"/>
    <w:rsid w:val="00E80399"/>
    <w:rsid w:val="00E80891"/>
    <w:rsid w:val="00E8090A"/>
    <w:rsid w:val="00E80A88"/>
    <w:rsid w:val="00E80ABB"/>
    <w:rsid w:val="00E80CA5"/>
    <w:rsid w:val="00E80EAE"/>
    <w:rsid w:val="00E8150A"/>
    <w:rsid w:val="00E817BF"/>
    <w:rsid w:val="00E81855"/>
    <w:rsid w:val="00E81AEB"/>
    <w:rsid w:val="00E82065"/>
    <w:rsid w:val="00E8221E"/>
    <w:rsid w:val="00E824FA"/>
    <w:rsid w:val="00E82599"/>
    <w:rsid w:val="00E827CF"/>
    <w:rsid w:val="00E82838"/>
    <w:rsid w:val="00E8288E"/>
    <w:rsid w:val="00E82B13"/>
    <w:rsid w:val="00E82BFD"/>
    <w:rsid w:val="00E82C63"/>
    <w:rsid w:val="00E82EFE"/>
    <w:rsid w:val="00E82F5E"/>
    <w:rsid w:val="00E82F88"/>
    <w:rsid w:val="00E83491"/>
    <w:rsid w:val="00E836AF"/>
    <w:rsid w:val="00E8395B"/>
    <w:rsid w:val="00E83CAE"/>
    <w:rsid w:val="00E83D8C"/>
    <w:rsid w:val="00E843AC"/>
    <w:rsid w:val="00E846AA"/>
    <w:rsid w:val="00E84754"/>
    <w:rsid w:val="00E84821"/>
    <w:rsid w:val="00E84AC6"/>
    <w:rsid w:val="00E84EE1"/>
    <w:rsid w:val="00E84FB2"/>
    <w:rsid w:val="00E8553F"/>
    <w:rsid w:val="00E8565D"/>
    <w:rsid w:val="00E8571C"/>
    <w:rsid w:val="00E85781"/>
    <w:rsid w:val="00E85906"/>
    <w:rsid w:val="00E8596B"/>
    <w:rsid w:val="00E85976"/>
    <w:rsid w:val="00E85EBA"/>
    <w:rsid w:val="00E85EC9"/>
    <w:rsid w:val="00E8613F"/>
    <w:rsid w:val="00E86394"/>
    <w:rsid w:val="00E863FB"/>
    <w:rsid w:val="00E865DC"/>
    <w:rsid w:val="00E86A2E"/>
    <w:rsid w:val="00E86F30"/>
    <w:rsid w:val="00E871B9"/>
    <w:rsid w:val="00E8726B"/>
    <w:rsid w:val="00E876B8"/>
    <w:rsid w:val="00E8791E"/>
    <w:rsid w:val="00E8798B"/>
    <w:rsid w:val="00E90247"/>
    <w:rsid w:val="00E9069E"/>
    <w:rsid w:val="00E906C9"/>
    <w:rsid w:val="00E9092E"/>
    <w:rsid w:val="00E90A7E"/>
    <w:rsid w:val="00E91C9D"/>
    <w:rsid w:val="00E91F16"/>
    <w:rsid w:val="00E922DA"/>
    <w:rsid w:val="00E9252F"/>
    <w:rsid w:val="00E92594"/>
    <w:rsid w:val="00E926A3"/>
    <w:rsid w:val="00E926C8"/>
    <w:rsid w:val="00E92A76"/>
    <w:rsid w:val="00E92B8D"/>
    <w:rsid w:val="00E92CAE"/>
    <w:rsid w:val="00E92ED6"/>
    <w:rsid w:val="00E93213"/>
    <w:rsid w:val="00E93303"/>
    <w:rsid w:val="00E9341C"/>
    <w:rsid w:val="00E93899"/>
    <w:rsid w:val="00E938F4"/>
    <w:rsid w:val="00E939BA"/>
    <w:rsid w:val="00E93C1E"/>
    <w:rsid w:val="00E93D09"/>
    <w:rsid w:val="00E940E5"/>
    <w:rsid w:val="00E940F8"/>
    <w:rsid w:val="00E94157"/>
    <w:rsid w:val="00E9429D"/>
    <w:rsid w:val="00E94320"/>
    <w:rsid w:val="00E94441"/>
    <w:rsid w:val="00E95046"/>
    <w:rsid w:val="00E954C1"/>
    <w:rsid w:val="00E957A4"/>
    <w:rsid w:val="00E9595E"/>
    <w:rsid w:val="00E95A64"/>
    <w:rsid w:val="00E95AE8"/>
    <w:rsid w:val="00E95D73"/>
    <w:rsid w:val="00E965EA"/>
    <w:rsid w:val="00E96725"/>
    <w:rsid w:val="00E96737"/>
    <w:rsid w:val="00E968EB"/>
    <w:rsid w:val="00E968FE"/>
    <w:rsid w:val="00E96B14"/>
    <w:rsid w:val="00E96CF1"/>
    <w:rsid w:val="00E96EBB"/>
    <w:rsid w:val="00E970AC"/>
    <w:rsid w:val="00E971EF"/>
    <w:rsid w:val="00E9780A"/>
    <w:rsid w:val="00E97E09"/>
    <w:rsid w:val="00EA0308"/>
    <w:rsid w:val="00EA0755"/>
    <w:rsid w:val="00EA07A2"/>
    <w:rsid w:val="00EA085C"/>
    <w:rsid w:val="00EA098D"/>
    <w:rsid w:val="00EA0A52"/>
    <w:rsid w:val="00EA0C95"/>
    <w:rsid w:val="00EA2145"/>
    <w:rsid w:val="00EA24FA"/>
    <w:rsid w:val="00EA2756"/>
    <w:rsid w:val="00EA2871"/>
    <w:rsid w:val="00EA2ADB"/>
    <w:rsid w:val="00EA2AF3"/>
    <w:rsid w:val="00EA2C91"/>
    <w:rsid w:val="00EA2F12"/>
    <w:rsid w:val="00EA30C7"/>
    <w:rsid w:val="00EA32C0"/>
    <w:rsid w:val="00EA3768"/>
    <w:rsid w:val="00EA38D0"/>
    <w:rsid w:val="00EA3A20"/>
    <w:rsid w:val="00EA48EC"/>
    <w:rsid w:val="00EA4FD2"/>
    <w:rsid w:val="00EA5284"/>
    <w:rsid w:val="00EA5297"/>
    <w:rsid w:val="00EA5614"/>
    <w:rsid w:val="00EA5645"/>
    <w:rsid w:val="00EA5E09"/>
    <w:rsid w:val="00EA5E95"/>
    <w:rsid w:val="00EA6129"/>
    <w:rsid w:val="00EA61B0"/>
    <w:rsid w:val="00EA6568"/>
    <w:rsid w:val="00EA65AA"/>
    <w:rsid w:val="00EA665D"/>
    <w:rsid w:val="00EA6A06"/>
    <w:rsid w:val="00EA6EF3"/>
    <w:rsid w:val="00EA7313"/>
    <w:rsid w:val="00EA7395"/>
    <w:rsid w:val="00EA73A6"/>
    <w:rsid w:val="00EA7547"/>
    <w:rsid w:val="00EA7A59"/>
    <w:rsid w:val="00EB01C4"/>
    <w:rsid w:val="00EB0207"/>
    <w:rsid w:val="00EB035A"/>
    <w:rsid w:val="00EB0689"/>
    <w:rsid w:val="00EB07EC"/>
    <w:rsid w:val="00EB08A0"/>
    <w:rsid w:val="00EB0A61"/>
    <w:rsid w:val="00EB0DD0"/>
    <w:rsid w:val="00EB0F50"/>
    <w:rsid w:val="00EB0FBD"/>
    <w:rsid w:val="00EB10E9"/>
    <w:rsid w:val="00EB148E"/>
    <w:rsid w:val="00EB1601"/>
    <w:rsid w:val="00EB1C6D"/>
    <w:rsid w:val="00EB1EF4"/>
    <w:rsid w:val="00EB205C"/>
    <w:rsid w:val="00EB20BE"/>
    <w:rsid w:val="00EB20E3"/>
    <w:rsid w:val="00EB20F7"/>
    <w:rsid w:val="00EB2215"/>
    <w:rsid w:val="00EB25E3"/>
    <w:rsid w:val="00EB27DF"/>
    <w:rsid w:val="00EB2885"/>
    <w:rsid w:val="00EB2FF3"/>
    <w:rsid w:val="00EB3A09"/>
    <w:rsid w:val="00EB3D8A"/>
    <w:rsid w:val="00EB3F0B"/>
    <w:rsid w:val="00EB43A3"/>
    <w:rsid w:val="00EB4805"/>
    <w:rsid w:val="00EB48B6"/>
    <w:rsid w:val="00EB4FCF"/>
    <w:rsid w:val="00EB55E2"/>
    <w:rsid w:val="00EB57D1"/>
    <w:rsid w:val="00EB5CB3"/>
    <w:rsid w:val="00EB5FDB"/>
    <w:rsid w:val="00EB6102"/>
    <w:rsid w:val="00EB61EC"/>
    <w:rsid w:val="00EB620B"/>
    <w:rsid w:val="00EB6488"/>
    <w:rsid w:val="00EB68C8"/>
    <w:rsid w:val="00EB6912"/>
    <w:rsid w:val="00EB6A4C"/>
    <w:rsid w:val="00EB6AD4"/>
    <w:rsid w:val="00EB6DE3"/>
    <w:rsid w:val="00EB6ED3"/>
    <w:rsid w:val="00EB71E1"/>
    <w:rsid w:val="00EB739C"/>
    <w:rsid w:val="00EB797C"/>
    <w:rsid w:val="00EB7AD5"/>
    <w:rsid w:val="00EB7C8E"/>
    <w:rsid w:val="00EB7F9B"/>
    <w:rsid w:val="00EC014E"/>
    <w:rsid w:val="00EC02A0"/>
    <w:rsid w:val="00EC057A"/>
    <w:rsid w:val="00EC0669"/>
    <w:rsid w:val="00EC0AEE"/>
    <w:rsid w:val="00EC0C7B"/>
    <w:rsid w:val="00EC1010"/>
    <w:rsid w:val="00EC1254"/>
    <w:rsid w:val="00EC1393"/>
    <w:rsid w:val="00EC1CA1"/>
    <w:rsid w:val="00EC1F9E"/>
    <w:rsid w:val="00EC215C"/>
    <w:rsid w:val="00EC2185"/>
    <w:rsid w:val="00EC231B"/>
    <w:rsid w:val="00EC24A5"/>
    <w:rsid w:val="00EC24F0"/>
    <w:rsid w:val="00EC251B"/>
    <w:rsid w:val="00EC27F8"/>
    <w:rsid w:val="00EC2E3D"/>
    <w:rsid w:val="00EC2FDF"/>
    <w:rsid w:val="00EC32C5"/>
    <w:rsid w:val="00EC3432"/>
    <w:rsid w:val="00EC37D0"/>
    <w:rsid w:val="00EC37E8"/>
    <w:rsid w:val="00EC3B42"/>
    <w:rsid w:val="00EC3C6E"/>
    <w:rsid w:val="00EC451B"/>
    <w:rsid w:val="00EC479A"/>
    <w:rsid w:val="00EC51C1"/>
    <w:rsid w:val="00EC53A6"/>
    <w:rsid w:val="00EC54C4"/>
    <w:rsid w:val="00EC565C"/>
    <w:rsid w:val="00EC5900"/>
    <w:rsid w:val="00EC59C1"/>
    <w:rsid w:val="00EC5ED6"/>
    <w:rsid w:val="00EC6185"/>
    <w:rsid w:val="00EC61B5"/>
    <w:rsid w:val="00EC6240"/>
    <w:rsid w:val="00EC626F"/>
    <w:rsid w:val="00EC6491"/>
    <w:rsid w:val="00EC6923"/>
    <w:rsid w:val="00EC695A"/>
    <w:rsid w:val="00EC6B42"/>
    <w:rsid w:val="00EC714D"/>
    <w:rsid w:val="00EC717A"/>
    <w:rsid w:val="00EC72B9"/>
    <w:rsid w:val="00EC7597"/>
    <w:rsid w:val="00EC762A"/>
    <w:rsid w:val="00EC77FB"/>
    <w:rsid w:val="00EC7CF0"/>
    <w:rsid w:val="00EC7FA3"/>
    <w:rsid w:val="00ED0180"/>
    <w:rsid w:val="00ED0181"/>
    <w:rsid w:val="00ED03CF"/>
    <w:rsid w:val="00ED0E92"/>
    <w:rsid w:val="00ED0F32"/>
    <w:rsid w:val="00ED1033"/>
    <w:rsid w:val="00ED113C"/>
    <w:rsid w:val="00ED1301"/>
    <w:rsid w:val="00ED13FD"/>
    <w:rsid w:val="00ED1425"/>
    <w:rsid w:val="00ED148D"/>
    <w:rsid w:val="00ED14B0"/>
    <w:rsid w:val="00ED163F"/>
    <w:rsid w:val="00ED197D"/>
    <w:rsid w:val="00ED19D0"/>
    <w:rsid w:val="00ED1C01"/>
    <w:rsid w:val="00ED1D67"/>
    <w:rsid w:val="00ED1FB6"/>
    <w:rsid w:val="00ED231C"/>
    <w:rsid w:val="00ED240B"/>
    <w:rsid w:val="00ED2B3D"/>
    <w:rsid w:val="00ED2C2B"/>
    <w:rsid w:val="00ED2DA9"/>
    <w:rsid w:val="00ED306A"/>
    <w:rsid w:val="00ED3157"/>
    <w:rsid w:val="00ED380B"/>
    <w:rsid w:val="00ED39E4"/>
    <w:rsid w:val="00ED3ACE"/>
    <w:rsid w:val="00ED3B2A"/>
    <w:rsid w:val="00ED3E7A"/>
    <w:rsid w:val="00ED3EBC"/>
    <w:rsid w:val="00ED3F45"/>
    <w:rsid w:val="00ED4224"/>
    <w:rsid w:val="00ED4871"/>
    <w:rsid w:val="00ED48B5"/>
    <w:rsid w:val="00ED50EA"/>
    <w:rsid w:val="00ED5153"/>
    <w:rsid w:val="00ED555E"/>
    <w:rsid w:val="00ED5627"/>
    <w:rsid w:val="00ED5C90"/>
    <w:rsid w:val="00ED5CC0"/>
    <w:rsid w:val="00ED5DCA"/>
    <w:rsid w:val="00ED623A"/>
    <w:rsid w:val="00ED64B1"/>
    <w:rsid w:val="00ED64EA"/>
    <w:rsid w:val="00ED6874"/>
    <w:rsid w:val="00ED759C"/>
    <w:rsid w:val="00ED75B3"/>
    <w:rsid w:val="00ED7698"/>
    <w:rsid w:val="00ED7897"/>
    <w:rsid w:val="00ED7A03"/>
    <w:rsid w:val="00ED7C6C"/>
    <w:rsid w:val="00EE01C8"/>
    <w:rsid w:val="00EE065D"/>
    <w:rsid w:val="00EE08A6"/>
    <w:rsid w:val="00EE0C1E"/>
    <w:rsid w:val="00EE1297"/>
    <w:rsid w:val="00EE1471"/>
    <w:rsid w:val="00EE1A4E"/>
    <w:rsid w:val="00EE1CA5"/>
    <w:rsid w:val="00EE1CE3"/>
    <w:rsid w:val="00EE22B0"/>
    <w:rsid w:val="00EE22E4"/>
    <w:rsid w:val="00EE2378"/>
    <w:rsid w:val="00EE2411"/>
    <w:rsid w:val="00EE2481"/>
    <w:rsid w:val="00EE2F5D"/>
    <w:rsid w:val="00EE3075"/>
    <w:rsid w:val="00EE341E"/>
    <w:rsid w:val="00EE3B6D"/>
    <w:rsid w:val="00EE3BFB"/>
    <w:rsid w:val="00EE3C59"/>
    <w:rsid w:val="00EE3E36"/>
    <w:rsid w:val="00EE42B9"/>
    <w:rsid w:val="00EE4319"/>
    <w:rsid w:val="00EE45A4"/>
    <w:rsid w:val="00EE45E2"/>
    <w:rsid w:val="00EE4795"/>
    <w:rsid w:val="00EE4BCA"/>
    <w:rsid w:val="00EE548E"/>
    <w:rsid w:val="00EE5546"/>
    <w:rsid w:val="00EE5988"/>
    <w:rsid w:val="00EE5B67"/>
    <w:rsid w:val="00EE5D3F"/>
    <w:rsid w:val="00EE5DBF"/>
    <w:rsid w:val="00EE60EC"/>
    <w:rsid w:val="00EE6435"/>
    <w:rsid w:val="00EE64E8"/>
    <w:rsid w:val="00EE6ADB"/>
    <w:rsid w:val="00EE6E5B"/>
    <w:rsid w:val="00EE718D"/>
    <w:rsid w:val="00EE773D"/>
    <w:rsid w:val="00EE7C96"/>
    <w:rsid w:val="00EE7DC7"/>
    <w:rsid w:val="00EF0082"/>
    <w:rsid w:val="00EF011D"/>
    <w:rsid w:val="00EF03FE"/>
    <w:rsid w:val="00EF09B0"/>
    <w:rsid w:val="00EF0A03"/>
    <w:rsid w:val="00EF0AEE"/>
    <w:rsid w:val="00EF0D62"/>
    <w:rsid w:val="00EF0DC1"/>
    <w:rsid w:val="00EF1225"/>
    <w:rsid w:val="00EF13B3"/>
    <w:rsid w:val="00EF19BE"/>
    <w:rsid w:val="00EF1DB9"/>
    <w:rsid w:val="00EF20FA"/>
    <w:rsid w:val="00EF2204"/>
    <w:rsid w:val="00EF235B"/>
    <w:rsid w:val="00EF2769"/>
    <w:rsid w:val="00EF291C"/>
    <w:rsid w:val="00EF29F7"/>
    <w:rsid w:val="00EF2A18"/>
    <w:rsid w:val="00EF2ADA"/>
    <w:rsid w:val="00EF2E7E"/>
    <w:rsid w:val="00EF30B3"/>
    <w:rsid w:val="00EF324A"/>
    <w:rsid w:val="00EF339A"/>
    <w:rsid w:val="00EF3499"/>
    <w:rsid w:val="00EF34B2"/>
    <w:rsid w:val="00EF3983"/>
    <w:rsid w:val="00EF3AD5"/>
    <w:rsid w:val="00EF3ED4"/>
    <w:rsid w:val="00EF4031"/>
    <w:rsid w:val="00EF41D8"/>
    <w:rsid w:val="00EF435B"/>
    <w:rsid w:val="00EF461B"/>
    <w:rsid w:val="00EF47A3"/>
    <w:rsid w:val="00EF4962"/>
    <w:rsid w:val="00EF49F1"/>
    <w:rsid w:val="00EF4B1F"/>
    <w:rsid w:val="00EF4B6F"/>
    <w:rsid w:val="00EF4D13"/>
    <w:rsid w:val="00EF4E1B"/>
    <w:rsid w:val="00EF537C"/>
    <w:rsid w:val="00EF5652"/>
    <w:rsid w:val="00EF5AF6"/>
    <w:rsid w:val="00EF5BED"/>
    <w:rsid w:val="00EF6116"/>
    <w:rsid w:val="00EF61AE"/>
    <w:rsid w:val="00EF62C1"/>
    <w:rsid w:val="00EF6490"/>
    <w:rsid w:val="00EF64DD"/>
    <w:rsid w:val="00EF656B"/>
    <w:rsid w:val="00EF65AD"/>
    <w:rsid w:val="00EF65E7"/>
    <w:rsid w:val="00EF6653"/>
    <w:rsid w:val="00EF66D3"/>
    <w:rsid w:val="00EF69CC"/>
    <w:rsid w:val="00EF6E95"/>
    <w:rsid w:val="00EF6F15"/>
    <w:rsid w:val="00EF7007"/>
    <w:rsid w:val="00EF7113"/>
    <w:rsid w:val="00EF7359"/>
    <w:rsid w:val="00EF75B7"/>
    <w:rsid w:val="00EF78A0"/>
    <w:rsid w:val="00EF7BDB"/>
    <w:rsid w:val="00F00375"/>
    <w:rsid w:val="00F00670"/>
    <w:rsid w:val="00F0073F"/>
    <w:rsid w:val="00F00761"/>
    <w:rsid w:val="00F0081D"/>
    <w:rsid w:val="00F00822"/>
    <w:rsid w:val="00F00D27"/>
    <w:rsid w:val="00F00DCA"/>
    <w:rsid w:val="00F0120A"/>
    <w:rsid w:val="00F01321"/>
    <w:rsid w:val="00F01487"/>
    <w:rsid w:val="00F01D53"/>
    <w:rsid w:val="00F01F3F"/>
    <w:rsid w:val="00F02BDE"/>
    <w:rsid w:val="00F02D68"/>
    <w:rsid w:val="00F02EAF"/>
    <w:rsid w:val="00F03073"/>
    <w:rsid w:val="00F03644"/>
    <w:rsid w:val="00F03ABB"/>
    <w:rsid w:val="00F03E79"/>
    <w:rsid w:val="00F03F63"/>
    <w:rsid w:val="00F04922"/>
    <w:rsid w:val="00F049DD"/>
    <w:rsid w:val="00F04BC3"/>
    <w:rsid w:val="00F04CA5"/>
    <w:rsid w:val="00F04DE8"/>
    <w:rsid w:val="00F05481"/>
    <w:rsid w:val="00F056C2"/>
    <w:rsid w:val="00F05931"/>
    <w:rsid w:val="00F05C6C"/>
    <w:rsid w:val="00F05EC3"/>
    <w:rsid w:val="00F0618C"/>
    <w:rsid w:val="00F06517"/>
    <w:rsid w:val="00F0662F"/>
    <w:rsid w:val="00F06754"/>
    <w:rsid w:val="00F067EE"/>
    <w:rsid w:val="00F06A55"/>
    <w:rsid w:val="00F06C4D"/>
    <w:rsid w:val="00F06D10"/>
    <w:rsid w:val="00F071E1"/>
    <w:rsid w:val="00F07261"/>
    <w:rsid w:val="00F07273"/>
    <w:rsid w:val="00F073AF"/>
    <w:rsid w:val="00F074BE"/>
    <w:rsid w:val="00F074CA"/>
    <w:rsid w:val="00F075CF"/>
    <w:rsid w:val="00F075E1"/>
    <w:rsid w:val="00F076C8"/>
    <w:rsid w:val="00F07D46"/>
    <w:rsid w:val="00F07E08"/>
    <w:rsid w:val="00F07E31"/>
    <w:rsid w:val="00F10258"/>
    <w:rsid w:val="00F10450"/>
    <w:rsid w:val="00F10484"/>
    <w:rsid w:val="00F10653"/>
    <w:rsid w:val="00F10A17"/>
    <w:rsid w:val="00F10AAD"/>
    <w:rsid w:val="00F110EF"/>
    <w:rsid w:val="00F1130F"/>
    <w:rsid w:val="00F114DF"/>
    <w:rsid w:val="00F11943"/>
    <w:rsid w:val="00F1195C"/>
    <w:rsid w:val="00F11ADE"/>
    <w:rsid w:val="00F11CDA"/>
    <w:rsid w:val="00F123B1"/>
    <w:rsid w:val="00F12870"/>
    <w:rsid w:val="00F1290B"/>
    <w:rsid w:val="00F129A3"/>
    <w:rsid w:val="00F12A6D"/>
    <w:rsid w:val="00F12D06"/>
    <w:rsid w:val="00F13250"/>
    <w:rsid w:val="00F133D1"/>
    <w:rsid w:val="00F1390A"/>
    <w:rsid w:val="00F13AD8"/>
    <w:rsid w:val="00F13D83"/>
    <w:rsid w:val="00F13F4F"/>
    <w:rsid w:val="00F14032"/>
    <w:rsid w:val="00F1404B"/>
    <w:rsid w:val="00F14051"/>
    <w:rsid w:val="00F1424F"/>
    <w:rsid w:val="00F14552"/>
    <w:rsid w:val="00F1457E"/>
    <w:rsid w:val="00F1458C"/>
    <w:rsid w:val="00F14A0D"/>
    <w:rsid w:val="00F14B28"/>
    <w:rsid w:val="00F14DCE"/>
    <w:rsid w:val="00F1544A"/>
    <w:rsid w:val="00F155D3"/>
    <w:rsid w:val="00F15737"/>
    <w:rsid w:val="00F15874"/>
    <w:rsid w:val="00F15B78"/>
    <w:rsid w:val="00F15BA8"/>
    <w:rsid w:val="00F160FD"/>
    <w:rsid w:val="00F16135"/>
    <w:rsid w:val="00F161DB"/>
    <w:rsid w:val="00F1629E"/>
    <w:rsid w:val="00F16493"/>
    <w:rsid w:val="00F1688B"/>
    <w:rsid w:val="00F169AD"/>
    <w:rsid w:val="00F16A7C"/>
    <w:rsid w:val="00F16CB7"/>
    <w:rsid w:val="00F16E3C"/>
    <w:rsid w:val="00F16FFD"/>
    <w:rsid w:val="00F171D6"/>
    <w:rsid w:val="00F1729B"/>
    <w:rsid w:val="00F17466"/>
    <w:rsid w:val="00F17695"/>
    <w:rsid w:val="00F176F3"/>
    <w:rsid w:val="00F17B87"/>
    <w:rsid w:val="00F17C06"/>
    <w:rsid w:val="00F17E93"/>
    <w:rsid w:val="00F20195"/>
    <w:rsid w:val="00F201D2"/>
    <w:rsid w:val="00F20257"/>
    <w:rsid w:val="00F206A1"/>
    <w:rsid w:val="00F20783"/>
    <w:rsid w:val="00F20B68"/>
    <w:rsid w:val="00F21622"/>
    <w:rsid w:val="00F21879"/>
    <w:rsid w:val="00F21A1C"/>
    <w:rsid w:val="00F21C48"/>
    <w:rsid w:val="00F21E74"/>
    <w:rsid w:val="00F22264"/>
    <w:rsid w:val="00F22269"/>
    <w:rsid w:val="00F2230C"/>
    <w:rsid w:val="00F22645"/>
    <w:rsid w:val="00F22766"/>
    <w:rsid w:val="00F22ABE"/>
    <w:rsid w:val="00F22D55"/>
    <w:rsid w:val="00F2309F"/>
    <w:rsid w:val="00F23590"/>
    <w:rsid w:val="00F23985"/>
    <w:rsid w:val="00F23B66"/>
    <w:rsid w:val="00F23B8B"/>
    <w:rsid w:val="00F23E4D"/>
    <w:rsid w:val="00F23F2C"/>
    <w:rsid w:val="00F24234"/>
    <w:rsid w:val="00F244EB"/>
    <w:rsid w:val="00F24774"/>
    <w:rsid w:val="00F24A95"/>
    <w:rsid w:val="00F24AF1"/>
    <w:rsid w:val="00F24B1F"/>
    <w:rsid w:val="00F24CEB"/>
    <w:rsid w:val="00F24D67"/>
    <w:rsid w:val="00F24E52"/>
    <w:rsid w:val="00F2500A"/>
    <w:rsid w:val="00F25163"/>
    <w:rsid w:val="00F25179"/>
    <w:rsid w:val="00F251E9"/>
    <w:rsid w:val="00F25212"/>
    <w:rsid w:val="00F25229"/>
    <w:rsid w:val="00F254AB"/>
    <w:rsid w:val="00F25633"/>
    <w:rsid w:val="00F25643"/>
    <w:rsid w:val="00F256E7"/>
    <w:rsid w:val="00F2595B"/>
    <w:rsid w:val="00F25E30"/>
    <w:rsid w:val="00F26011"/>
    <w:rsid w:val="00F2610D"/>
    <w:rsid w:val="00F26D5F"/>
    <w:rsid w:val="00F26EDB"/>
    <w:rsid w:val="00F27643"/>
    <w:rsid w:val="00F27AFF"/>
    <w:rsid w:val="00F27BBB"/>
    <w:rsid w:val="00F27CC4"/>
    <w:rsid w:val="00F27F58"/>
    <w:rsid w:val="00F301AF"/>
    <w:rsid w:val="00F302CD"/>
    <w:rsid w:val="00F3039C"/>
    <w:rsid w:val="00F3042B"/>
    <w:rsid w:val="00F308EC"/>
    <w:rsid w:val="00F30D3D"/>
    <w:rsid w:val="00F30F2F"/>
    <w:rsid w:val="00F310F3"/>
    <w:rsid w:val="00F3113D"/>
    <w:rsid w:val="00F312CC"/>
    <w:rsid w:val="00F3143A"/>
    <w:rsid w:val="00F3145A"/>
    <w:rsid w:val="00F31687"/>
    <w:rsid w:val="00F3171A"/>
    <w:rsid w:val="00F3178C"/>
    <w:rsid w:val="00F31925"/>
    <w:rsid w:val="00F31954"/>
    <w:rsid w:val="00F31AD5"/>
    <w:rsid w:val="00F31E9B"/>
    <w:rsid w:val="00F32174"/>
    <w:rsid w:val="00F32287"/>
    <w:rsid w:val="00F32442"/>
    <w:rsid w:val="00F3247C"/>
    <w:rsid w:val="00F32578"/>
    <w:rsid w:val="00F325E5"/>
    <w:rsid w:val="00F32D44"/>
    <w:rsid w:val="00F32E3D"/>
    <w:rsid w:val="00F32ECB"/>
    <w:rsid w:val="00F33378"/>
    <w:rsid w:val="00F33686"/>
    <w:rsid w:val="00F336FD"/>
    <w:rsid w:val="00F34042"/>
    <w:rsid w:val="00F340A6"/>
    <w:rsid w:val="00F341D4"/>
    <w:rsid w:val="00F34224"/>
    <w:rsid w:val="00F34387"/>
    <w:rsid w:val="00F346E0"/>
    <w:rsid w:val="00F34726"/>
    <w:rsid w:val="00F34735"/>
    <w:rsid w:val="00F349B3"/>
    <w:rsid w:val="00F34A7D"/>
    <w:rsid w:val="00F3500C"/>
    <w:rsid w:val="00F35051"/>
    <w:rsid w:val="00F35097"/>
    <w:rsid w:val="00F3523C"/>
    <w:rsid w:val="00F3558D"/>
    <w:rsid w:val="00F355B4"/>
    <w:rsid w:val="00F35624"/>
    <w:rsid w:val="00F35B1E"/>
    <w:rsid w:val="00F35DC1"/>
    <w:rsid w:val="00F362C9"/>
    <w:rsid w:val="00F362DA"/>
    <w:rsid w:val="00F3683F"/>
    <w:rsid w:val="00F368BC"/>
    <w:rsid w:val="00F368CA"/>
    <w:rsid w:val="00F36B83"/>
    <w:rsid w:val="00F36D3B"/>
    <w:rsid w:val="00F37091"/>
    <w:rsid w:val="00F37239"/>
    <w:rsid w:val="00F374F0"/>
    <w:rsid w:val="00F37961"/>
    <w:rsid w:val="00F379F1"/>
    <w:rsid w:val="00F403BD"/>
    <w:rsid w:val="00F404D8"/>
    <w:rsid w:val="00F40660"/>
    <w:rsid w:val="00F40815"/>
    <w:rsid w:val="00F40AD4"/>
    <w:rsid w:val="00F40D1F"/>
    <w:rsid w:val="00F40D3B"/>
    <w:rsid w:val="00F40F93"/>
    <w:rsid w:val="00F41023"/>
    <w:rsid w:val="00F41274"/>
    <w:rsid w:val="00F4163E"/>
    <w:rsid w:val="00F41AAD"/>
    <w:rsid w:val="00F41AC6"/>
    <w:rsid w:val="00F41D5C"/>
    <w:rsid w:val="00F4222A"/>
    <w:rsid w:val="00F4259D"/>
    <w:rsid w:val="00F4289D"/>
    <w:rsid w:val="00F428E8"/>
    <w:rsid w:val="00F42996"/>
    <w:rsid w:val="00F42A62"/>
    <w:rsid w:val="00F42F27"/>
    <w:rsid w:val="00F4343C"/>
    <w:rsid w:val="00F434A8"/>
    <w:rsid w:val="00F438A5"/>
    <w:rsid w:val="00F43A62"/>
    <w:rsid w:val="00F43C60"/>
    <w:rsid w:val="00F43F9E"/>
    <w:rsid w:val="00F43FB5"/>
    <w:rsid w:val="00F441C0"/>
    <w:rsid w:val="00F4443F"/>
    <w:rsid w:val="00F445A8"/>
    <w:rsid w:val="00F4472E"/>
    <w:rsid w:val="00F44731"/>
    <w:rsid w:val="00F44B7A"/>
    <w:rsid w:val="00F44E03"/>
    <w:rsid w:val="00F44E1C"/>
    <w:rsid w:val="00F44EA0"/>
    <w:rsid w:val="00F45007"/>
    <w:rsid w:val="00F45011"/>
    <w:rsid w:val="00F450AA"/>
    <w:rsid w:val="00F45167"/>
    <w:rsid w:val="00F456D5"/>
    <w:rsid w:val="00F457E4"/>
    <w:rsid w:val="00F4597F"/>
    <w:rsid w:val="00F45E38"/>
    <w:rsid w:val="00F45F78"/>
    <w:rsid w:val="00F4620E"/>
    <w:rsid w:val="00F4622A"/>
    <w:rsid w:val="00F46239"/>
    <w:rsid w:val="00F464E0"/>
    <w:rsid w:val="00F4666F"/>
    <w:rsid w:val="00F466B0"/>
    <w:rsid w:val="00F46983"/>
    <w:rsid w:val="00F46CFB"/>
    <w:rsid w:val="00F46F58"/>
    <w:rsid w:val="00F47727"/>
    <w:rsid w:val="00F47989"/>
    <w:rsid w:val="00F47BD4"/>
    <w:rsid w:val="00F5048C"/>
    <w:rsid w:val="00F50D4A"/>
    <w:rsid w:val="00F50E7E"/>
    <w:rsid w:val="00F50F96"/>
    <w:rsid w:val="00F51127"/>
    <w:rsid w:val="00F51195"/>
    <w:rsid w:val="00F512C2"/>
    <w:rsid w:val="00F5158B"/>
    <w:rsid w:val="00F51926"/>
    <w:rsid w:val="00F51DDD"/>
    <w:rsid w:val="00F51E84"/>
    <w:rsid w:val="00F521D3"/>
    <w:rsid w:val="00F522F7"/>
    <w:rsid w:val="00F527EE"/>
    <w:rsid w:val="00F527F0"/>
    <w:rsid w:val="00F529EB"/>
    <w:rsid w:val="00F52B36"/>
    <w:rsid w:val="00F52BCA"/>
    <w:rsid w:val="00F52CEC"/>
    <w:rsid w:val="00F53481"/>
    <w:rsid w:val="00F535D7"/>
    <w:rsid w:val="00F537C4"/>
    <w:rsid w:val="00F537ED"/>
    <w:rsid w:val="00F53820"/>
    <w:rsid w:val="00F53949"/>
    <w:rsid w:val="00F53B12"/>
    <w:rsid w:val="00F53C52"/>
    <w:rsid w:val="00F53CA7"/>
    <w:rsid w:val="00F54190"/>
    <w:rsid w:val="00F54463"/>
    <w:rsid w:val="00F54747"/>
    <w:rsid w:val="00F54A99"/>
    <w:rsid w:val="00F54C7F"/>
    <w:rsid w:val="00F55015"/>
    <w:rsid w:val="00F5515B"/>
    <w:rsid w:val="00F55391"/>
    <w:rsid w:val="00F55445"/>
    <w:rsid w:val="00F55558"/>
    <w:rsid w:val="00F5558F"/>
    <w:rsid w:val="00F55610"/>
    <w:rsid w:val="00F55D37"/>
    <w:rsid w:val="00F561BA"/>
    <w:rsid w:val="00F562CA"/>
    <w:rsid w:val="00F56305"/>
    <w:rsid w:val="00F56A00"/>
    <w:rsid w:val="00F56B29"/>
    <w:rsid w:val="00F56B5A"/>
    <w:rsid w:val="00F56F6E"/>
    <w:rsid w:val="00F56F96"/>
    <w:rsid w:val="00F57091"/>
    <w:rsid w:val="00F57435"/>
    <w:rsid w:val="00F57630"/>
    <w:rsid w:val="00F577F7"/>
    <w:rsid w:val="00F5794F"/>
    <w:rsid w:val="00F57A84"/>
    <w:rsid w:val="00F57C3E"/>
    <w:rsid w:val="00F57DD4"/>
    <w:rsid w:val="00F57F82"/>
    <w:rsid w:val="00F6024C"/>
    <w:rsid w:val="00F604B2"/>
    <w:rsid w:val="00F605DA"/>
    <w:rsid w:val="00F6069F"/>
    <w:rsid w:val="00F60786"/>
    <w:rsid w:val="00F6079B"/>
    <w:rsid w:val="00F60B8B"/>
    <w:rsid w:val="00F60C1C"/>
    <w:rsid w:val="00F60DE3"/>
    <w:rsid w:val="00F6132C"/>
    <w:rsid w:val="00F6142C"/>
    <w:rsid w:val="00F61A23"/>
    <w:rsid w:val="00F61A65"/>
    <w:rsid w:val="00F61F29"/>
    <w:rsid w:val="00F620FA"/>
    <w:rsid w:val="00F62412"/>
    <w:rsid w:val="00F62B9A"/>
    <w:rsid w:val="00F635F3"/>
    <w:rsid w:val="00F6391A"/>
    <w:rsid w:val="00F63BCF"/>
    <w:rsid w:val="00F64060"/>
    <w:rsid w:val="00F6446C"/>
    <w:rsid w:val="00F644F9"/>
    <w:rsid w:val="00F64500"/>
    <w:rsid w:val="00F64511"/>
    <w:rsid w:val="00F6460F"/>
    <w:rsid w:val="00F646BA"/>
    <w:rsid w:val="00F648B5"/>
    <w:rsid w:val="00F64AFA"/>
    <w:rsid w:val="00F64E65"/>
    <w:rsid w:val="00F65420"/>
    <w:rsid w:val="00F65529"/>
    <w:rsid w:val="00F65547"/>
    <w:rsid w:val="00F65729"/>
    <w:rsid w:val="00F65B41"/>
    <w:rsid w:val="00F65C8F"/>
    <w:rsid w:val="00F6601A"/>
    <w:rsid w:val="00F660FD"/>
    <w:rsid w:val="00F66268"/>
    <w:rsid w:val="00F66425"/>
    <w:rsid w:val="00F66695"/>
    <w:rsid w:val="00F66A33"/>
    <w:rsid w:val="00F66A43"/>
    <w:rsid w:val="00F67068"/>
    <w:rsid w:val="00F6719E"/>
    <w:rsid w:val="00F6720D"/>
    <w:rsid w:val="00F6737A"/>
    <w:rsid w:val="00F675D1"/>
    <w:rsid w:val="00F677CD"/>
    <w:rsid w:val="00F677DC"/>
    <w:rsid w:val="00F677FD"/>
    <w:rsid w:val="00F67A2C"/>
    <w:rsid w:val="00F67E9F"/>
    <w:rsid w:val="00F700EB"/>
    <w:rsid w:val="00F706BE"/>
    <w:rsid w:val="00F707F4"/>
    <w:rsid w:val="00F70925"/>
    <w:rsid w:val="00F70A02"/>
    <w:rsid w:val="00F70F13"/>
    <w:rsid w:val="00F71209"/>
    <w:rsid w:val="00F71260"/>
    <w:rsid w:val="00F71477"/>
    <w:rsid w:val="00F716DA"/>
    <w:rsid w:val="00F717E6"/>
    <w:rsid w:val="00F71ABC"/>
    <w:rsid w:val="00F71B1F"/>
    <w:rsid w:val="00F71E3E"/>
    <w:rsid w:val="00F71E65"/>
    <w:rsid w:val="00F72350"/>
    <w:rsid w:val="00F72459"/>
    <w:rsid w:val="00F724B9"/>
    <w:rsid w:val="00F72717"/>
    <w:rsid w:val="00F727D4"/>
    <w:rsid w:val="00F72ACC"/>
    <w:rsid w:val="00F72B3C"/>
    <w:rsid w:val="00F72E3B"/>
    <w:rsid w:val="00F72FA4"/>
    <w:rsid w:val="00F730EB"/>
    <w:rsid w:val="00F73251"/>
    <w:rsid w:val="00F735E4"/>
    <w:rsid w:val="00F73644"/>
    <w:rsid w:val="00F7372D"/>
    <w:rsid w:val="00F73D0D"/>
    <w:rsid w:val="00F73E69"/>
    <w:rsid w:val="00F742E5"/>
    <w:rsid w:val="00F7456B"/>
    <w:rsid w:val="00F7474A"/>
    <w:rsid w:val="00F74813"/>
    <w:rsid w:val="00F74862"/>
    <w:rsid w:val="00F74B0C"/>
    <w:rsid w:val="00F74B18"/>
    <w:rsid w:val="00F74CC8"/>
    <w:rsid w:val="00F74D1D"/>
    <w:rsid w:val="00F74E51"/>
    <w:rsid w:val="00F75232"/>
    <w:rsid w:val="00F752AB"/>
    <w:rsid w:val="00F75877"/>
    <w:rsid w:val="00F7587F"/>
    <w:rsid w:val="00F758A6"/>
    <w:rsid w:val="00F7590C"/>
    <w:rsid w:val="00F75978"/>
    <w:rsid w:val="00F75C9B"/>
    <w:rsid w:val="00F76142"/>
    <w:rsid w:val="00F765A0"/>
    <w:rsid w:val="00F76AFF"/>
    <w:rsid w:val="00F76E1F"/>
    <w:rsid w:val="00F77C2B"/>
    <w:rsid w:val="00F800E7"/>
    <w:rsid w:val="00F8012E"/>
    <w:rsid w:val="00F8035C"/>
    <w:rsid w:val="00F804A9"/>
    <w:rsid w:val="00F806A3"/>
    <w:rsid w:val="00F80B1E"/>
    <w:rsid w:val="00F80ED2"/>
    <w:rsid w:val="00F80F21"/>
    <w:rsid w:val="00F8100D"/>
    <w:rsid w:val="00F8121B"/>
    <w:rsid w:val="00F8126F"/>
    <w:rsid w:val="00F812EA"/>
    <w:rsid w:val="00F81425"/>
    <w:rsid w:val="00F818A0"/>
    <w:rsid w:val="00F81910"/>
    <w:rsid w:val="00F81EBB"/>
    <w:rsid w:val="00F82323"/>
    <w:rsid w:val="00F82545"/>
    <w:rsid w:val="00F82CA2"/>
    <w:rsid w:val="00F82EC5"/>
    <w:rsid w:val="00F8324F"/>
    <w:rsid w:val="00F832E5"/>
    <w:rsid w:val="00F835EE"/>
    <w:rsid w:val="00F836FD"/>
    <w:rsid w:val="00F83704"/>
    <w:rsid w:val="00F83828"/>
    <w:rsid w:val="00F83DAF"/>
    <w:rsid w:val="00F84075"/>
    <w:rsid w:val="00F841D1"/>
    <w:rsid w:val="00F84350"/>
    <w:rsid w:val="00F847C8"/>
    <w:rsid w:val="00F84AA7"/>
    <w:rsid w:val="00F84C49"/>
    <w:rsid w:val="00F84CCB"/>
    <w:rsid w:val="00F852DE"/>
    <w:rsid w:val="00F8562D"/>
    <w:rsid w:val="00F8568E"/>
    <w:rsid w:val="00F860B7"/>
    <w:rsid w:val="00F8615D"/>
    <w:rsid w:val="00F865C2"/>
    <w:rsid w:val="00F866B9"/>
    <w:rsid w:val="00F86863"/>
    <w:rsid w:val="00F86A9E"/>
    <w:rsid w:val="00F86B74"/>
    <w:rsid w:val="00F86B82"/>
    <w:rsid w:val="00F873F9"/>
    <w:rsid w:val="00F875A1"/>
    <w:rsid w:val="00F87735"/>
    <w:rsid w:val="00F8790A"/>
    <w:rsid w:val="00F87A62"/>
    <w:rsid w:val="00F87ADB"/>
    <w:rsid w:val="00F87E9E"/>
    <w:rsid w:val="00F900FA"/>
    <w:rsid w:val="00F90591"/>
    <w:rsid w:val="00F90933"/>
    <w:rsid w:val="00F909DE"/>
    <w:rsid w:val="00F90CB2"/>
    <w:rsid w:val="00F90FA5"/>
    <w:rsid w:val="00F90FEA"/>
    <w:rsid w:val="00F9149D"/>
    <w:rsid w:val="00F91968"/>
    <w:rsid w:val="00F91ACE"/>
    <w:rsid w:val="00F91CAC"/>
    <w:rsid w:val="00F91D90"/>
    <w:rsid w:val="00F91DF6"/>
    <w:rsid w:val="00F91F54"/>
    <w:rsid w:val="00F91F6C"/>
    <w:rsid w:val="00F92228"/>
    <w:rsid w:val="00F92C47"/>
    <w:rsid w:val="00F92D00"/>
    <w:rsid w:val="00F9308B"/>
    <w:rsid w:val="00F93242"/>
    <w:rsid w:val="00F937C6"/>
    <w:rsid w:val="00F93884"/>
    <w:rsid w:val="00F93E9F"/>
    <w:rsid w:val="00F93FBA"/>
    <w:rsid w:val="00F940EB"/>
    <w:rsid w:val="00F94224"/>
    <w:rsid w:val="00F94235"/>
    <w:rsid w:val="00F94292"/>
    <w:rsid w:val="00F94294"/>
    <w:rsid w:val="00F94A75"/>
    <w:rsid w:val="00F94FF9"/>
    <w:rsid w:val="00F9501B"/>
    <w:rsid w:val="00F9520A"/>
    <w:rsid w:val="00F9563E"/>
    <w:rsid w:val="00F958F1"/>
    <w:rsid w:val="00F95924"/>
    <w:rsid w:val="00F95EA9"/>
    <w:rsid w:val="00F95F11"/>
    <w:rsid w:val="00F9605C"/>
    <w:rsid w:val="00F960C2"/>
    <w:rsid w:val="00F965E0"/>
    <w:rsid w:val="00F96A36"/>
    <w:rsid w:val="00F96A3C"/>
    <w:rsid w:val="00F96B88"/>
    <w:rsid w:val="00F96C1F"/>
    <w:rsid w:val="00F96DCC"/>
    <w:rsid w:val="00F972EC"/>
    <w:rsid w:val="00F97511"/>
    <w:rsid w:val="00F975AA"/>
    <w:rsid w:val="00F9775A"/>
    <w:rsid w:val="00F978B7"/>
    <w:rsid w:val="00F97F54"/>
    <w:rsid w:val="00FA010D"/>
    <w:rsid w:val="00FA0128"/>
    <w:rsid w:val="00FA029E"/>
    <w:rsid w:val="00FA02EB"/>
    <w:rsid w:val="00FA0318"/>
    <w:rsid w:val="00FA074C"/>
    <w:rsid w:val="00FA0ADA"/>
    <w:rsid w:val="00FA104A"/>
    <w:rsid w:val="00FA1194"/>
    <w:rsid w:val="00FA12CA"/>
    <w:rsid w:val="00FA1607"/>
    <w:rsid w:val="00FA17C3"/>
    <w:rsid w:val="00FA1BC2"/>
    <w:rsid w:val="00FA1BCA"/>
    <w:rsid w:val="00FA20E7"/>
    <w:rsid w:val="00FA268C"/>
    <w:rsid w:val="00FA29D1"/>
    <w:rsid w:val="00FA2A45"/>
    <w:rsid w:val="00FA2A6C"/>
    <w:rsid w:val="00FA2CFF"/>
    <w:rsid w:val="00FA2DB3"/>
    <w:rsid w:val="00FA2E16"/>
    <w:rsid w:val="00FA311C"/>
    <w:rsid w:val="00FA338F"/>
    <w:rsid w:val="00FA346B"/>
    <w:rsid w:val="00FA347D"/>
    <w:rsid w:val="00FA3603"/>
    <w:rsid w:val="00FA37E5"/>
    <w:rsid w:val="00FA3961"/>
    <w:rsid w:val="00FA3BE1"/>
    <w:rsid w:val="00FA41D0"/>
    <w:rsid w:val="00FA475A"/>
    <w:rsid w:val="00FA4F22"/>
    <w:rsid w:val="00FA4F67"/>
    <w:rsid w:val="00FA50FE"/>
    <w:rsid w:val="00FA5125"/>
    <w:rsid w:val="00FA52F6"/>
    <w:rsid w:val="00FA53DC"/>
    <w:rsid w:val="00FA54C6"/>
    <w:rsid w:val="00FA5509"/>
    <w:rsid w:val="00FA5593"/>
    <w:rsid w:val="00FA5606"/>
    <w:rsid w:val="00FA5B9A"/>
    <w:rsid w:val="00FA6287"/>
    <w:rsid w:val="00FA64A4"/>
    <w:rsid w:val="00FA686D"/>
    <w:rsid w:val="00FA6E25"/>
    <w:rsid w:val="00FA6E5C"/>
    <w:rsid w:val="00FA6FF5"/>
    <w:rsid w:val="00FA71D3"/>
    <w:rsid w:val="00FA7558"/>
    <w:rsid w:val="00FA7CBE"/>
    <w:rsid w:val="00FA7DAE"/>
    <w:rsid w:val="00FA7E9C"/>
    <w:rsid w:val="00FA7EAB"/>
    <w:rsid w:val="00FA7EDF"/>
    <w:rsid w:val="00FA7FC9"/>
    <w:rsid w:val="00FB016C"/>
    <w:rsid w:val="00FB01A4"/>
    <w:rsid w:val="00FB039F"/>
    <w:rsid w:val="00FB03E3"/>
    <w:rsid w:val="00FB04C6"/>
    <w:rsid w:val="00FB08E1"/>
    <w:rsid w:val="00FB093A"/>
    <w:rsid w:val="00FB0EF8"/>
    <w:rsid w:val="00FB0F11"/>
    <w:rsid w:val="00FB11D0"/>
    <w:rsid w:val="00FB1404"/>
    <w:rsid w:val="00FB160B"/>
    <w:rsid w:val="00FB1760"/>
    <w:rsid w:val="00FB17D7"/>
    <w:rsid w:val="00FB1855"/>
    <w:rsid w:val="00FB200D"/>
    <w:rsid w:val="00FB23F9"/>
    <w:rsid w:val="00FB2488"/>
    <w:rsid w:val="00FB25D0"/>
    <w:rsid w:val="00FB278E"/>
    <w:rsid w:val="00FB3150"/>
    <w:rsid w:val="00FB36C2"/>
    <w:rsid w:val="00FB3A3F"/>
    <w:rsid w:val="00FB3E46"/>
    <w:rsid w:val="00FB3E5C"/>
    <w:rsid w:val="00FB458E"/>
    <w:rsid w:val="00FB4A2B"/>
    <w:rsid w:val="00FB4B13"/>
    <w:rsid w:val="00FB4C8A"/>
    <w:rsid w:val="00FB4E89"/>
    <w:rsid w:val="00FB4EDB"/>
    <w:rsid w:val="00FB5103"/>
    <w:rsid w:val="00FB51E4"/>
    <w:rsid w:val="00FB543C"/>
    <w:rsid w:val="00FB54E5"/>
    <w:rsid w:val="00FB5588"/>
    <w:rsid w:val="00FB55E2"/>
    <w:rsid w:val="00FB56FC"/>
    <w:rsid w:val="00FB5762"/>
    <w:rsid w:val="00FB5A61"/>
    <w:rsid w:val="00FB6090"/>
    <w:rsid w:val="00FB6231"/>
    <w:rsid w:val="00FB640E"/>
    <w:rsid w:val="00FB65DE"/>
    <w:rsid w:val="00FB6885"/>
    <w:rsid w:val="00FB6C9E"/>
    <w:rsid w:val="00FB717B"/>
    <w:rsid w:val="00FB7476"/>
    <w:rsid w:val="00FB74AA"/>
    <w:rsid w:val="00FB76D6"/>
    <w:rsid w:val="00FB7B06"/>
    <w:rsid w:val="00FC0121"/>
    <w:rsid w:val="00FC05B0"/>
    <w:rsid w:val="00FC09B3"/>
    <w:rsid w:val="00FC0B8D"/>
    <w:rsid w:val="00FC0CAF"/>
    <w:rsid w:val="00FC0EBB"/>
    <w:rsid w:val="00FC0F0C"/>
    <w:rsid w:val="00FC10A6"/>
    <w:rsid w:val="00FC14EF"/>
    <w:rsid w:val="00FC17B0"/>
    <w:rsid w:val="00FC1B1C"/>
    <w:rsid w:val="00FC1CFB"/>
    <w:rsid w:val="00FC1E84"/>
    <w:rsid w:val="00FC1EF8"/>
    <w:rsid w:val="00FC20DA"/>
    <w:rsid w:val="00FC20E4"/>
    <w:rsid w:val="00FC2342"/>
    <w:rsid w:val="00FC25D8"/>
    <w:rsid w:val="00FC2812"/>
    <w:rsid w:val="00FC283F"/>
    <w:rsid w:val="00FC2E1B"/>
    <w:rsid w:val="00FC2EDE"/>
    <w:rsid w:val="00FC3172"/>
    <w:rsid w:val="00FC32DC"/>
    <w:rsid w:val="00FC3408"/>
    <w:rsid w:val="00FC35AC"/>
    <w:rsid w:val="00FC3ABB"/>
    <w:rsid w:val="00FC3C7F"/>
    <w:rsid w:val="00FC3CFA"/>
    <w:rsid w:val="00FC4103"/>
    <w:rsid w:val="00FC43B8"/>
    <w:rsid w:val="00FC487E"/>
    <w:rsid w:val="00FC48DB"/>
    <w:rsid w:val="00FC4E0D"/>
    <w:rsid w:val="00FC4E37"/>
    <w:rsid w:val="00FC4E3A"/>
    <w:rsid w:val="00FC51C9"/>
    <w:rsid w:val="00FC5348"/>
    <w:rsid w:val="00FC53C6"/>
    <w:rsid w:val="00FC540B"/>
    <w:rsid w:val="00FC5954"/>
    <w:rsid w:val="00FC5E3E"/>
    <w:rsid w:val="00FC630D"/>
    <w:rsid w:val="00FC6648"/>
    <w:rsid w:val="00FC67FA"/>
    <w:rsid w:val="00FC6841"/>
    <w:rsid w:val="00FC68A6"/>
    <w:rsid w:val="00FC69D4"/>
    <w:rsid w:val="00FC6F98"/>
    <w:rsid w:val="00FC7001"/>
    <w:rsid w:val="00FC72CD"/>
    <w:rsid w:val="00FC7672"/>
    <w:rsid w:val="00FC7F0F"/>
    <w:rsid w:val="00FD0183"/>
    <w:rsid w:val="00FD0327"/>
    <w:rsid w:val="00FD03B6"/>
    <w:rsid w:val="00FD073D"/>
    <w:rsid w:val="00FD0AB9"/>
    <w:rsid w:val="00FD0E14"/>
    <w:rsid w:val="00FD0FA8"/>
    <w:rsid w:val="00FD1020"/>
    <w:rsid w:val="00FD11BA"/>
    <w:rsid w:val="00FD12D5"/>
    <w:rsid w:val="00FD12D8"/>
    <w:rsid w:val="00FD13C1"/>
    <w:rsid w:val="00FD14C3"/>
    <w:rsid w:val="00FD184E"/>
    <w:rsid w:val="00FD18E8"/>
    <w:rsid w:val="00FD1B5B"/>
    <w:rsid w:val="00FD1C24"/>
    <w:rsid w:val="00FD1CAF"/>
    <w:rsid w:val="00FD1D71"/>
    <w:rsid w:val="00FD2010"/>
    <w:rsid w:val="00FD2147"/>
    <w:rsid w:val="00FD2372"/>
    <w:rsid w:val="00FD2AE5"/>
    <w:rsid w:val="00FD31FE"/>
    <w:rsid w:val="00FD33EC"/>
    <w:rsid w:val="00FD3946"/>
    <w:rsid w:val="00FD39A1"/>
    <w:rsid w:val="00FD3A66"/>
    <w:rsid w:val="00FD3B2B"/>
    <w:rsid w:val="00FD3BD0"/>
    <w:rsid w:val="00FD3BE2"/>
    <w:rsid w:val="00FD3F24"/>
    <w:rsid w:val="00FD4224"/>
    <w:rsid w:val="00FD4615"/>
    <w:rsid w:val="00FD4664"/>
    <w:rsid w:val="00FD4CD6"/>
    <w:rsid w:val="00FD5066"/>
    <w:rsid w:val="00FD5378"/>
    <w:rsid w:val="00FD5576"/>
    <w:rsid w:val="00FD5610"/>
    <w:rsid w:val="00FD5C1E"/>
    <w:rsid w:val="00FD5FFE"/>
    <w:rsid w:val="00FD61C1"/>
    <w:rsid w:val="00FD6549"/>
    <w:rsid w:val="00FD68EF"/>
    <w:rsid w:val="00FD6AE3"/>
    <w:rsid w:val="00FD6B6C"/>
    <w:rsid w:val="00FD6FBE"/>
    <w:rsid w:val="00FD77E4"/>
    <w:rsid w:val="00FD7C86"/>
    <w:rsid w:val="00FD7DE4"/>
    <w:rsid w:val="00FD7E08"/>
    <w:rsid w:val="00FD7E81"/>
    <w:rsid w:val="00FE0124"/>
    <w:rsid w:val="00FE0187"/>
    <w:rsid w:val="00FE0461"/>
    <w:rsid w:val="00FE06BA"/>
    <w:rsid w:val="00FE0763"/>
    <w:rsid w:val="00FE0E28"/>
    <w:rsid w:val="00FE0F14"/>
    <w:rsid w:val="00FE0F5E"/>
    <w:rsid w:val="00FE1384"/>
    <w:rsid w:val="00FE1602"/>
    <w:rsid w:val="00FE170D"/>
    <w:rsid w:val="00FE1D1F"/>
    <w:rsid w:val="00FE1DDA"/>
    <w:rsid w:val="00FE1EBF"/>
    <w:rsid w:val="00FE1F13"/>
    <w:rsid w:val="00FE1F98"/>
    <w:rsid w:val="00FE272C"/>
    <w:rsid w:val="00FE27AF"/>
    <w:rsid w:val="00FE2FA7"/>
    <w:rsid w:val="00FE3004"/>
    <w:rsid w:val="00FE33CA"/>
    <w:rsid w:val="00FE33CB"/>
    <w:rsid w:val="00FE38CA"/>
    <w:rsid w:val="00FE3A95"/>
    <w:rsid w:val="00FE3BE3"/>
    <w:rsid w:val="00FE42F6"/>
    <w:rsid w:val="00FE4FFE"/>
    <w:rsid w:val="00FE52BF"/>
    <w:rsid w:val="00FE53CE"/>
    <w:rsid w:val="00FE5A20"/>
    <w:rsid w:val="00FE5A5E"/>
    <w:rsid w:val="00FE5B5C"/>
    <w:rsid w:val="00FE5CA2"/>
    <w:rsid w:val="00FE5F39"/>
    <w:rsid w:val="00FE6013"/>
    <w:rsid w:val="00FE6105"/>
    <w:rsid w:val="00FE61A6"/>
    <w:rsid w:val="00FE61DA"/>
    <w:rsid w:val="00FE63E4"/>
    <w:rsid w:val="00FE66F6"/>
    <w:rsid w:val="00FE678D"/>
    <w:rsid w:val="00FE67D0"/>
    <w:rsid w:val="00FE6981"/>
    <w:rsid w:val="00FE6AF4"/>
    <w:rsid w:val="00FE6B9B"/>
    <w:rsid w:val="00FE72E6"/>
    <w:rsid w:val="00FE7557"/>
    <w:rsid w:val="00FE7820"/>
    <w:rsid w:val="00FE7D2A"/>
    <w:rsid w:val="00FF000F"/>
    <w:rsid w:val="00FF0394"/>
    <w:rsid w:val="00FF0626"/>
    <w:rsid w:val="00FF0651"/>
    <w:rsid w:val="00FF0A8B"/>
    <w:rsid w:val="00FF0C7F"/>
    <w:rsid w:val="00FF0E00"/>
    <w:rsid w:val="00FF0E97"/>
    <w:rsid w:val="00FF0F64"/>
    <w:rsid w:val="00FF1004"/>
    <w:rsid w:val="00FF1369"/>
    <w:rsid w:val="00FF1462"/>
    <w:rsid w:val="00FF14A4"/>
    <w:rsid w:val="00FF168F"/>
    <w:rsid w:val="00FF1723"/>
    <w:rsid w:val="00FF1AC1"/>
    <w:rsid w:val="00FF1B2F"/>
    <w:rsid w:val="00FF1C70"/>
    <w:rsid w:val="00FF1EEE"/>
    <w:rsid w:val="00FF1FFE"/>
    <w:rsid w:val="00FF2421"/>
    <w:rsid w:val="00FF263E"/>
    <w:rsid w:val="00FF27D9"/>
    <w:rsid w:val="00FF2F3F"/>
    <w:rsid w:val="00FF31B4"/>
    <w:rsid w:val="00FF3283"/>
    <w:rsid w:val="00FF3576"/>
    <w:rsid w:val="00FF36B4"/>
    <w:rsid w:val="00FF3BBA"/>
    <w:rsid w:val="00FF4076"/>
    <w:rsid w:val="00FF4241"/>
    <w:rsid w:val="00FF461A"/>
    <w:rsid w:val="00FF4808"/>
    <w:rsid w:val="00FF4C18"/>
    <w:rsid w:val="00FF50A2"/>
    <w:rsid w:val="00FF54B8"/>
    <w:rsid w:val="00FF55FD"/>
    <w:rsid w:val="00FF58C7"/>
    <w:rsid w:val="00FF5D06"/>
    <w:rsid w:val="00FF5FC4"/>
    <w:rsid w:val="00FF6420"/>
    <w:rsid w:val="00FF665D"/>
    <w:rsid w:val="00FF6739"/>
    <w:rsid w:val="00FF67F4"/>
    <w:rsid w:val="00FF68F3"/>
    <w:rsid w:val="00FF6AB2"/>
    <w:rsid w:val="00FF6ECA"/>
    <w:rsid w:val="00FF6ED8"/>
    <w:rsid w:val="00FF70D4"/>
    <w:rsid w:val="00FF7171"/>
    <w:rsid w:val="00FF71B9"/>
    <w:rsid w:val="00FF72A8"/>
    <w:rsid w:val="00FF752D"/>
    <w:rsid w:val="00FF7545"/>
    <w:rsid w:val="00FF760F"/>
    <w:rsid w:val="00FF7870"/>
    <w:rsid w:val="00FF7A85"/>
    <w:rsid w:val="00FF7B28"/>
    <w:rsid w:val="00FF7E62"/>
    <w:rsid w:val="00FF7E6A"/>
    <w:rsid w:val="00FF7F30"/>
    <w:rsid w:val="0104AFE6"/>
    <w:rsid w:val="010C7600"/>
    <w:rsid w:val="011E0F37"/>
    <w:rsid w:val="01242E69"/>
    <w:rsid w:val="0135F6E3"/>
    <w:rsid w:val="0139389A"/>
    <w:rsid w:val="0141D258"/>
    <w:rsid w:val="0153FFAF"/>
    <w:rsid w:val="015D1DFD"/>
    <w:rsid w:val="016E15C4"/>
    <w:rsid w:val="0187DDAD"/>
    <w:rsid w:val="01A40034"/>
    <w:rsid w:val="01A9B992"/>
    <w:rsid w:val="01B05CA7"/>
    <w:rsid w:val="01B860F2"/>
    <w:rsid w:val="01E10908"/>
    <w:rsid w:val="020B14A9"/>
    <w:rsid w:val="0214FC8C"/>
    <w:rsid w:val="0222183A"/>
    <w:rsid w:val="02233932"/>
    <w:rsid w:val="022B0102"/>
    <w:rsid w:val="0253C0D0"/>
    <w:rsid w:val="025A2898"/>
    <w:rsid w:val="0278464D"/>
    <w:rsid w:val="029B5FFB"/>
    <w:rsid w:val="02A35508"/>
    <w:rsid w:val="02A7031D"/>
    <w:rsid w:val="02ACF7D0"/>
    <w:rsid w:val="02BA0918"/>
    <w:rsid w:val="02C98DE1"/>
    <w:rsid w:val="02DDFADA"/>
    <w:rsid w:val="02F5AFFF"/>
    <w:rsid w:val="02F638E5"/>
    <w:rsid w:val="0303D1BF"/>
    <w:rsid w:val="0328EC92"/>
    <w:rsid w:val="034D3607"/>
    <w:rsid w:val="035C656E"/>
    <w:rsid w:val="035DBAAC"/>
    <w:rsid w:val="035FB480"/>
    <w:rsid w:val="036D4E68"/>
    <w:rsid w:val="037D9814"/>
    <w:rsid w:val="037EB873"/>
    <w:rsid w:val="0383D781"/>
    <w:rsid w:val="03A8ABC7"/>
    <w:rsid w:val="03B4200F"/>
    <w:rsid w:val="03BCCC00"/>
    <w:rsid w:val="03C43D21"/>
    <w:rsid w:val="03C5E3B6"/>
    <w:rsid w:val="03C6A8FB"/>
    <w:rsid w:val="03CFBAFD"/>
    <w:rsid w:val="03D4A249"/>
    <w:rsid w:val="03DFC424"/>
    <w:rsid w:val="03FFE65C"/>
    <w:rsid w:val="0441D21F"/>
    <w:rsid w:val="044A7801"/>
    <w:rsid w:val="045C47AF"/>
    <w:rsid w:val="0461194A"/>
    <w:rsid w:val="046705DC"/>
    <w:rsid w:val="046ECB6F"/>
    <w:rsid w:val="0470FE92"/>
    <w:rsid w:val="0480A11B"/>
    <w:rsid w:val="048A82FA"/>
    <w:rsid w:val="048D5C0D"/>
    <w:rsid w:val="0496532F"/>
    <w:rsid w:val="0499FDC0"/>
    <w:rsid w:val="04B5050F"/>
    <w:rsid w:val="04BD20F2"/>
    <w:rsid w:val="04C19E63"/>
    <w:rsid w:val="04DF767F"/>
    <w:rsid w:val="04F9EE2E"/>
    <w:rsid w:val="050495CA"/>
    <w:rsid w:val="05064561"/>
    <w:rsid w:val="0510A40E"/>
    <w:rsid w:val="051826B4"/>
    <w:rsid w:val="056176BE"/>
    <w:rsid w:val="0569308C"/>
    <w:rsid w:val="0574A352"/>
    <w:rsid w:val="057A68DE"/>
    <w:rsid w:val="057FB91B"/>
    <w:rsid w:val="05812C75"/>
    <w:rsid w:val="058576E5"/>
    <w:rsid w:val="058A2B53"/>
    <w:rsid w:val="05BADC91"/>
    <w:rsid w:val="05D32337"/>
    <w:rsid w:val="05D56188"/>
    <w:rsid w:val="05D78C7C"/>
    <w:rsid w:val="060E44C7"/>
    <w:rsid w:val="060EC05C"/>
    <w:rsid w:val="0623929F"/>
    <w:rsid w:val="062D33D0"/>
    <w:rsid w:val="0636676F"/>
    <w:rsid w:val="0639544B"/>
    <w:rsid w:val="066A218A"/>
    <w:rsid w:val="0679B8ED"/>
    <w:rsid w:val="067ED2F7"/>
    <w:rsid w:val="068D099A"/>
    <w:rsid w:val="069178D4"/>
    <w:rsid w:val="0696FEC5"/>
    <w:rsid w:val="06B504AC"/>
    <w:rsid w:val="06C5A19B"/>
    <w:rsid w:val="06DA6A7D"/>
    <w:rsid w:val="06E537D4"/>
    <w:rsid w:val="06E8E4CC"/>
    <w:rsid w:val="06ED1BC1"/>
    <w:rsid w:val="06EEE995"/>
    <w:rsid w:val="06F20162"/>
    <w:rsid w:val="06FBD7E0"/>
    <w:rsid w:val="07018338"/>
    <w:rsid w:val="070D375A"/>
    <w:rsid w:val="0711248B"/>
    <w:rsid w:val="07126BA3"/>
    <w:rsid w:val="07161DD7"/>
    <w:rsid w:val="0717470D"/>
    <w:rsid w:val="071B9581"/>
    <w:rsid w:val="0729BBD0"/>
    <w:rsid w:val="072D0C41"/>
    <w:rsid w:val="073DB834"/>
    <w:rsid w:val="073FBDE4"/>
    <w:rsid w:val="0745A36E"/>
    <w:rsid w:val="074F8B57"/>
    <w:rsid w:val="07532E5B"/>
    <w:rsid w:val="0762A82C"/>
    <w:rsid w:val="0768DED6"/>
    <w:rsid w:val="0769D4E4"/>
    <w:rsid w:val="0774E870"/>
    <w:rsid w:val="077A2D8A"/>
    <w:rsid w:val="07931FA3"/>
    <w:rsid w:val="0798E1FD"/>
    <w:rsid w:val="07B05A6C"/>
    <w:rsid w:val="07C50781"/>
    <w:rsid w:val="07C9DB6F"/>
    <w:rsid w:val="07DEA549"/>
    <w:rsid w:val="07E74745"/>
    <w:rsid w:val="07F03A00"/>
    <w:rsid w:val="07F1A617"/>
    <w:rsid w:val="07FA1AB1"/>
    <w:rsid w:val="07FF17F9"/>
    <w:rsid w:val="08016A62"/>
    <w:rsid w:val="082B2DC7"/>
    <w:rsid w:val="082D4B98"/>
    <w:rsid w:val="0837E342"/>
    <w:rsid w:val="084FC00E"/>
    <w:rsid w:val="0874B52C"/>
    <w:rsid w:val="0874EA88"/>
    <w:rsid w:val="087DBB93"/>
    <w:rsid w:val="08B0DC76"/>
    <w:rsid w:val="08B4798A"/>
    <w:rsid w:val="08BB7792"/>
    <w:rsid w:val="08C75141"/>
    <w:rsid w:val="08CBEB6B"/>
    <w:rsid w:val="08D578B7"/>
    <w:rsid w:val="08E244EC"/>
    <w:rsid w:val="08F7988A"/>
    <w:rsid w:val="08FA8416"/>
    <w:rsid w:val="09049A3D"/>
    <w:rsid w:val="0968A4AD"/>
    <w:rsid w:val="096D1F10"/>
    <w:rsid w:val="0983BA7F"/>
    <w:rsid w:val="09861CC8"/>
    <w:rsid w:val="099E6EA6"/>
    <w:rsid w:val="09AD584B"/>
    <w:rsid w:val="09B52E25"/>
    <w:rsid w:val="09B9427D"/>
    <w:rsid w:val="09BFFB92"/>
    <w:rsid w:val="09C2051F"/>
    <w:rsid w:val="09CBE837"/>
    <w:rsid w:val="09D2D8F1"/>
    <w:rsid w:val="09E092F6"/>
    <w:rsid w:val="0A049A72"/>
    <w:rsid w:val="0A062D03"/>
    <w:rsid w:val="0A074524"/>
    <w:rsid w:val="0A089542"/>
    <w:rsid w:val="0A116F2A"/>
    <w:rsid w:val="0A1573D0"/>
    <w:rsid w:val="0A213796"/>
    <w:rsid w:val="0A279209"/>
    <w:rsid w:val="0A29DFEB"/>
    <w:rsid w:val="0A395066"/>
    <w:rsid w:val="0A514292"/>
    <w:rsid w:val="0A5AABAA"/>
    <w:rsid w:val="0A7326EC"/>
    <w:rsid w:val="0A75F2D2"/>
    <w:rsid w:val="0A8867BC"/>
    <w:rsid w:val="0A8C4AE5"/>
    <w:rsid w:val="0A8F4F9B"/>
    <w:rsid w:val="0A91029A"/>
    <w:rsid w:val="0AAAEA3C"/>
    <w:rsid w:val="0AB1DCE3"/>
    <w:rsid w:val="0AB5BDA1"/>
    <w:rsid w:val="0AD8597A"/>
    <w:rsid w:val="0AF0DB2F"/>
    <w:rsid w:val="0AFA787D"/>
    <w:rsid w:val="0AFE83D2"/>
    <w:rsid w:val="0AFF8072"/>
    <w:rsid w:val="0B0412D5"/>
    <w:rsid w:val="0B0C3A57"/>
    <w:rsid w:val="0B13CBAB"/>
    <w:rsid w:val="0B1E6E95"/>
    <w:rsid w:val="0B26E629"/>
    <w:rsid w:val="0B30048D"/>
    <w:rsid w:val="0B32F053"/>
    <w:rsid w:val="0B42546E"/>
    <w:rsid w:val="0B9DDD3B"/>
    <w:rsid w:val="0BB554AB"/>
    <w:rsid w:val="0BE7F5B7"/>
    <w:rsid w:val="0BF19F67"/>
    <w:rsid w:val="0C0596D8"/>
    <w:rsid w:val="0C1C7076"/>
    <w:rsid w:val="0C1EDBBE"/>
    <w:rsid w:val="0C203C57"/>
    <w:rsid w:val="0C295DD0"/>
    <w:rsid w:val="0C456C2A"/>
    <w:rsid w:val="0C63D0FC"/>
    <w:rsid w:val="0C752C6D"/>
    <w:rsid w:val="0CEA8DE0"/>
    <w:rsid w:val="0D003EF9"/>
    <w:rsid w:val="0D013F33"/>
    <w:rsid w:val="0D0591B6"/>
    <w:rsid w:val="0D125A74"/>
    <w:rsid w:val="0D1AB0E8"/>
    <w:rsid w:val="0D1EC0FE"/>
    <w:rsid w:val="0D39954A"/>
    <w:rsid w:val="0D3C04E9"/>
    <w:rsid w:val="0D50109B"/>
    <w:rsid w:val="0D5D1E74"/>
    <w:rsid w:val="0D62332F"/>
    <w:rsid w:val="0D73ADDF"/>
    <w:rsid w:val="0D74AC8A"/>
    <w:rsid w:val="0D85750B"/>
    <w:rsid w:val="0D901FB6"/>
    <w:rsid w:val="0D9A9F70"/>
    <w:rsid w:val="0DA95516"/>
    <w:rsid w:val="0DC7F116"/>
    <w:rsid w:val="0DCF9205"/>
    <w:rsid w:val="0DDCE7DE"/>
    <w:rsid w:val="0DEC7619"/>
    <w:rsid w:val="0DF8083E"/>
    <w:rsid w:val="0DFA6A7A"/>
    <w:rsid w:val="0E016B5B"/>
    <w:rsid w:val="0E08D6D1"/>
    <w:rsid w:val="0E173FAA"/>
    <w:rsid w:val="0E181676"/>
    <w:rsid w:val="0E37D4AA"/>
    <w:rsid w:val="0E4C0EFE"/>
    <w:rsid w:val="0E515694"/>
    <w:rsid w:val="0E54D9F0"/>
    <w:rsid w:val="0E5F334A"/>
    <w:rsid w:val="0E602661"/>
    <w:rsid w:val="0E684F1D"/>
    <w:rsid w:val="0E8658CC"/>
    <w:rsid w:val="0E92675A"/>
    <w:rsid w:val="0E99B48C"/>
    <w:rsid w:val="0EAB428D"/>
    <w:rsid w:val="0EB23FAC"/>
    <w:rsid w:val="0EB62366"/>
    <w:rsid w:val="0EE09E5A"/>
    <w:rsid w:val="0EE0F1A9"/>
    <w:rsid w:val="0EEADD38"/>
    <w:rsid w:val="0EEFCE52"/>
    <w:rsid w:val="0F055A0C"/>
    <w:rsid w:val="0F15108C"/>
    <w:rsid w:val="0F3FEA39"/>
    <w:rsid w:val="0F4FC8E8"/>
    <w:rsid w:val="0F64F998"/>
    <w:rsid w:val="0F734E49"/>
    <w:rsid w:val="0F8F1A50"/>
    <w:rsid w:val="0F913591"/>
    <w:rsid w:val="0FA81368"/>
    <w:rsid w:val="0FD2482D"/>
    <w:rsid w:val="0FEEDFFA"/>
    <w:rsid w:val="100199A5"/>
    <w:rsid w:val="1003F6AC"/>
    <w:rsid w:val="1031D017"/>
    <w:rsid w:val="103C3B9C"/>
    <w:rsid w:val="1065198F"/>
    <w:rsid w:val="106A4EB2"/>
    <w:rsid w:val="10708355"/>
    <w:rsid w:val="10796E9B"/>
    <w:rsid w:val="109965CB"/>
    <w:rsid w:val="10BA9FA3"/>
    <w:rsid w:val="10C1B675"/>
    <w:rsid w:val="10CAA1B3"/>
    <w:rsid w:val="10CBFC03"/>
    <w:rsid w:val="10D8B275"/>
    <w:rsid w:val="10E1A229"/>
    <w:rsid w:val="10F540B1"/>
    <w:rsid w:val="10F5D55E"/>
    <w:rsid w:val="110238C3"/>
    <w:rsid w:val="1107AF11"/>
    <w:rsid w:val="111031A2"/>
    <w:rsid w:val="1113BBF5"/>
    <w:rsid w:val="11211845"/>
    <w:rsid w:val="1133D35C"/>
    <w:rsid w:val="1155481A"/>
    <w:rsid w:val="11597D82"/>
    <w:rsid w:val="1165D19C"/>
    <w:rsid w:val="118632EB"/>
    <w:rsid w:val="11BEB9EC"/>
    <w:rsid w:val="11D24700"/>
    <w:rsid w:val="11D8D5C8"/>
    <w:rsid w:val="11E29F9C"/>
    <w:rsid w:val="11EECD2F"/>
    <w:rsid w:val="11F546C7"/>
    <w:rsid w:val="11FE13D1"/>
    <w:rsid w:val="122F60C6"/>
    <w:rsid w:val="123AA43D"/>
    <w:rsid w:val="123E0E64"/>
    <w:rsid w:val="125C5B76"/>
    <w:rsid w:val="12646E8E"/>
    <w:rsid w:val="126850FD"/>
    <w:rsid w:val="1275F82C"/>
    <w:rsid w:val="127789B0"/>
    <w:rsid w:val="127DE51E"/>
    <w:rsid w:val="1286283C"/>
    <w:rsid w:val="128AC7CC"/>
    <w:rsid w:val="12955BF4"/>
    <w:rsid w:val="12AAE774"/>
    <w:rsid w:val="12B08481"/>
    <w:rsid w:val="12B1308F"/>
    <w:rsid w:val="12B784AA"/>
    <w:rsid w:val="12BECEE4"/>
    <w:rsid w:val="12DC9C2D"/>
    <w:rsid w:val="12EF90D0"/>
    <w:rsid w:val="12F417BE"/>
    <w:rsid w:val="12F4EE1A"/>
    <w:rsid w:val="12FA3C9D"/>
    <w:rsid w:val="1307444C"/>
    <w:rsid w:val="13076B40"/>
    <w:rsid w:val="131E9BA1"/>
    <w:rsid w:val="1335EA00"/>
    <w:rsid w:val="1340E3FA"/>
    <w:rsid w:val="1352DB7E"/>
    <w:rsid w:val="13586126"/>
    <w:rsid w:val="13643B02"/>
    <w:rsid w:val="138984DE"/>
    <w:rsid w:val="13992D0B"/>
    <w:rsid w:val="139E69D2"/>
    <w:rsid w:val="13E0CD83"/>
    <w:rsid w:val="13F542E4"/>
    <w:rsid w:val="1420A468"/>
    <w:rsid w:val="1424FD97"/>
    <w:rsid w:val="142A30F8"/>
    <w:rsid w:val="142FFD51"/>
    <w:rsid w:val="1431630C"/>
    <w:rsid w:val="143CDDE0"/>
    <w:rsid w:val="145408F2"/>
    <w:rsid w:val="145BB4C8"/>
    <w:rsid w:val="146FD0E9"/>
    <w:rsid w:val="147CE0A3"/>
    <w:rsid w:val="14A62923"/>
    <w:rsid w:val="14B6D2CE"/>
    <w:rsid w:val="14B8ABA6"/>
    <w:rsid w:val="14C74131"/>
    <w:rsid w:val="14CC0A47"/>
    <w:rsid w:val="151259F0"/>
    <w:rsid w:val="151A06DC"/>
    <w:rsid w:val="151CD831"/>
    <w:rsid w:val="1544FB3C"/>
    <w:rsid w:val="154EC145"/>
    <w:rsid w:val="154F0861"/>
    <w:rsid w:val="155C2B82"/>
    <w:rsid w:val="155EFD5D"/>
    <w:rsid w:val="1569316D"/>
    <w:rsid w:val="1569DC1B"/>
    <w:rsid w:val="156D7A55"/>
    <w:rsid w:val="1586B771"/>
    <w:rsid w:val="159976BC"/>
    <w:rsid w:val="15AF5FE6"/>
    <w:rsid w:val="15BFE2F3"/>
    <w:rsid w:val="15CBFCF0"/>
    <w:rsid w:val="15DF9B65"/>
    <w:rsid w:val="160C07CB"/>
    <w:rsid w:val="16182A46"/>
    <w:rsid w:val="1632F984"/>
    <w:rsid w:val="1661FE42"/>
    <w:rsid w:val="168BEC7F"/>
    <w:rsid w:val="16971580"/>
    <w:rsid w:val="16A224EE"/>
    <w:rsid w:val="16B13F03"/>
    <w:rsid w:val="16B7DC8E"/>
    <w:rsid w:val="16D4B95F"/>
    <w:rsid w:val="16DD0A88"/>
    <w:rsid w:val="16DE65FC"/>
    <w:rsid w:val="17034E4D"/>
    <w:rsid w:val="17083676"/>
    <w:rsid w:val="1727DA4E"/>
    <w:rsid w:val="1765A050"/>
    <w:rsid w:val="176B2120"/>
    <w:rsid w:val="1771D6EF"/>
    <w:rsid w:val="17720A83"/>
    <w:rsid w:val="1776D51D"/>
    <w:rsid w:val="1777377D"/>
    <w:rsid w:val="178E06EF"/>
    <w:rsid w:val="17A8C282"/>
    <w:rsid w:val="17AE8345"/>
    <w:rsid w:val="17B4F40F"/>
    <w:rsid w:val="17B68D1A"/>
    <w:rsid w:val="17B9C32C"/>
    <w:rsid w:val="17C5A678"/>
    <w:rsid w:val="17CB7C55"/>
    <w:rsid w:val="17E62CA3"/>
    <w:rsid w:val="17FEE665"/>
    <w:rsid w:val="17FF58C4"/>
    <w:rsid w:val="1811B71C"/>
    <w:rsid w:val="18140C0F"/>
    <w:rsid w:val="181683B6"/>
    <w:rsid w:val="182DC3F0"/>
    <w:rsid w:val="1840F35E"/>
    <w:rsid w:val="1842C002"/>
    <w:rsid w:val="184E6118"/>
    <w:rsid w:val="185140E5"/>
    <w:rsid w:val="186AA1B2"/>
    <w:rsid w:val="1877F1B3"/>
    <w:rsid w:val="18A4CD90"/>
    <w:rsid w:val="18B28E48"/>
    <w:rsid w:val="18B5E74B"/>
    <w:rsid w:val="18BFC391"/>
    <w:rsid w:val="18C2285C"/>
    <w:rsid w:val="18C58BAE"/>
    <w:rsid w:val="18CECE18"/>
    <w:rsid w:val="18FAA673"/>
    <w:rsid w:val="190107D1"/>
    <w:rsid w:val="19036265"/>
    <w:rsid w:val="19133035"/>
    <w:rsid w:val="1928CBA1"/>
    <w:rsid w:val="1928D58B"/>
    <w:rsid w:val="192FED65"/>
    <w:rsid w:val="195B5D13"/>
    <w:rsid w:val="195C13F3"/>
    <w:rsid w:val="197EF1F5"/>
    <w:rsid w:val="198AA0BE"/>
    <w:rsid w:val="1990DF52"/>
    <w:rsid w:val="19A2CE06"/>
    <w:rsid w:val="19BA6D8A"/>
    <w:rsid w:val="19C66432"/>
    <w:rsid w:val="19CD39B8"/>
    <w:rsid w:val="19D505C7"/>
    <w:rsid w:val="19E23626"/>
    <w:rsid w:val="1A1138F8"/>
    <w:rsid w:val="1A276813"/>
    <w:rsid w:val="1A282842"/>
    <w:rsid w:val="1A31ED74"/>
    <w:rsid w:val="1A45A5F7"/>
    <w:rsid w:val="1A52F8D0"/>
    <w:rsid w:val="1A54B44E"/>
    <w:rsid w:val="1A5AECBD"/>
    <w:rsid w:val="1A791A53"/>
    <w:rsid w:val="1A79CB18"/>
    <w:rsid w:val="1A8C187B"/>
    <w:rsid w:val="1A957F98"/>
    <w:rsid w:val="1A9783D2"/>
    <w:rsid w:val="1A9E4324"/>
    <w:rsid w:val="1AB098EC"/>
    <w:rsid w:val="1AB4D984"/>
    <w:rsid w:val="1ABA7735"/>
    <w:rsid w:val="1ACE1604"/>
    <w:rsid w:val="1AD1078C"/>
    <w:rsid w:val="1AD420C9"/>
    <w:rsid w:val="1AE10991"/>
    <w:rsid w:val="1AED5872"/>
    <w:rsid w:val="1AF25D42"/>
    <w:rsid w:val="1AFB0BE4"/>
    <w:rsid w:val="1B073847"/>
    <w:rsid w:val="1B08A0CC"/>
    <w:rsid w:val="1B0CAD92"/>
    <w:rsid w:val="1B362E4D"/>
    <w:rsid w:val="1B49FAF7"/>
    <w:rsid w:val="1B5E5874"/>
    <w:rsid w:val="1B6455AE"/>
    <w:rsid w:val="1B78C36B"/>
    <w:rsid w:val="1B79EF05"/>
    <w:rsid w:val="1B7FA0C3"/>
    <w:rsid w:val="1B8080D1"/>
    <w:rsid w:val="1B950765"/>
    <w:rsid w:val="1B989EA0"/>
    <w:rsid w:val="1B9F9FB7"/>
    <w:rsid w:val="1BBC8E09"/>
    <w:rsid w:val="1BBD7595"/>
    <w:rsid w:val="1BC0AC84"/>
    <w:rsid w:val="1BC8D454"/>
    <w:rsid w:val="1BD74618"/>
    <w:rsid w:val="1BD848BA"/>
    <w:rsid w:val="1BE07C8F"/>
    <w:rsid w:val="1BEF03FB"/>
    <w:rsid w:val="1BF06F24"/>
    <w:rsid w:val="1BF1077C"/>
    <w:rsid w:val="1BF65E23"/>
    <w:rsid w:val="1BF7251A"/>
    <w:rsid w:val="1C04935C"/>
    <w:rsid w:val="1C1775EF"/>
    <w:rsid w:val="1C2FB956"/>
    <w:rsid w:val="1C3B12C6"/>
    <w:rsid w:val="1C62AAC2"/>
    <w:rsid w:val="1C69E5C1"/>
    <w:rsid w:val="1C6B1F70"/>
    <w:rsid w:val="1C6EF82A"/>
    <w:rsid w:val="1C8981EB"/>
    <w:rsid w:val="1CA7C857"/>
    <w:rsid w:val="1CABEE50"/>
    <w:rsid w:val="1CAC90A8"/>
    <w:rsid w:val="1CC64B74"/>
    <w:rsid w:val="1CD53D34"/>
    <w:rsid w:val="1CD755D2"/>
    <w:rsid w:val="1CDBDA5C"/>
    <w:rsid w:val="1CE7ABB9"/>
    <w:rsid w:val="1CE80440"/>
    <w:rsid w:val="1CEA719C"/>
    <w:rsid w:val="1CEC62F3"/>
    <w:rsid w:val="1D108704"/>
    <w:rsid w:val="1D13E612"/>
    <w:rsid w:val="1D1FACD3"/>
    <w:rsid w:val="1D2514A7"/>
    <w:rsid w:val="1D2CD16D"/>
    <w:rsid w:val="1D30E850"/>
    <w:rsid w:val="1D427061"/>
    <w:rsid w:val="1D52C8E7"/>
    <w:rsid w:val="1D5BD44E"/>
    <w:rsid w:val="1D6A0CDB"/>
    <w:rsid w:val="1D723F3B"/>
    <w:rsid w:val="1D75E927"/>
    <w:rsid w:val="1D78BFB5"/>
    <w:rsid w:val="1D7F42C9"/>
    <w:rsid w:val="1D9B55EC"/>
    <w:rsid w:val="1DBAA44D"/>
    <w:rsid w:val="1DCF3770"/>
    <w:rsid w:val="1DCF96F5"/>
    <w:rsid w:val="1DD611B7"/>
    <w:rsid w:val="1DD7CC61"/>
    <w:rsid w:val="1DFC76EC"/>
    <w:rsid w:val="1E10148C"/>
    <w:rsid w:val="1E27EBAD"/>
    <w:rsid w:val="1E29EB97"/>
    <w:rsid w:val="1E35CD5D"/>
    <w:rsid w:val="1E5A0A6D"/>
    <w:rsid w:val="1E5FA75E"/>
    <w:rsid w:val="1E871217"/>
    <w:rsid w:val="1E9F1CC5"/>
    <w:rsid w:val="1EA1F05E"/>
    <w:rsid w:val="1EB04869"/>
    <w:rsid w:val="1EC8BCBA"/>
    <w:rsid w:val="1EC9CD00"/>
    <w:rsid w:val="1ECAB9C5"/>
    <w:rsid w:val="1ECC2693"/>
    <w:rsid w:val="1ECE2158"/>
    <w:rsid w:val="1EDBDD73"/>
    <w:rsid w:val="1EDFB62D"/>
    <w:rsid w:val="1EF1A131"/>
    <w:rsid w:val="1EF56811"/>
    <w:rsid w:val="1EF91877"/>
    <w:rsid w:val="1F229B6F"/>
    <w:rsid w:val="1F3ABEFB"/>
    <w:rsid w:val="1F409B54"/>
    <w:rsid w:val="1F4744C1"/>
    <w:rsid w:val="1F4A0E9E"/>
    <w:rsid w:val="1F5449F9"/>
    <w:rsid w:val="1F5A60FB"/>
    <w:rsid w:val="1F5A6E24"/>
    <w:rsid w:val="1F5C858F"/>
    <w:rsid w:val="1F76FB8F"/>
    <w:rsid w:val="1F77FFA2"/>
    <w:rsid w:val="1F782CB8"/>
    <w:rsid w:val="1F812E97"/>
    <w:rsid w:val="1F85EB07"/>
    <w:rsid w:val="1F92C059"/>
    <w:rsid w:val="1FA2DEAC"/>
    <w:rsid w:val="1FA3F447"/>
    <w:rsid w:val="1FB85F47"/>
    <w:rsid w:val="1FB91C88"/>
    <w:rsid w:val="1FBDA5B5"/>
    <w:rsid w:val="1FCFEE1D"/>
    <w:rsid w:val="1FD8BF7B"/>
    <w:rsid w:val="1FDB1EB0"/>
    <w:rsid w:val="1FDEE6BA"/>
    <w:rsid w:val="1FE5F9FB"/>
    <w:rsid w:val="1FF8DB1A"/>
    <w:rsid w:val="200BC396"/>
    <w:rsid w:val="202092FF"/>
    <w:rsid w:val="202F9A51"/>
    <w:rsid w:val="20355E89"/>
    <w:rsid w:val="205E289E"/>
    <w:rsid w:val="205EF16C"/>
    <w:rsid w:val="20747AD7"/>
    <w:rsid w:val="208E4B8F"/>
    <w:rsid w:val="208F1343"/>
    <w:rsid w:val="209E2A2E"/>
    <w:rsid w:val="20A81607"/>
    <w:rsid w:val="20C28743"/>
    <w:rsid w:val="20C7B277"/>
    <w:rsid w:val="20D6F81E"/>
    <w:rsid w:val="20D7564E"/>
    <w:rsid w:val="20DE3112"/>
    <w:rsid w:val="20E3AD9D"/>
    <w:rsid w:val="2117E64D"/>
    <w:rsid w:val="21458B20"/>
    <w:rsid w:val="2157A9AB"/>
    <w:rsid w:val="215AD302"/>
    <w:rsid w:val="21718212"/>
    <w:rsid w:val="21957455"/>
    <w:rsid w:val="21CB3286"/>
    <w:rsid w:val="21CBC8CF"/>
    <w:rsid w:val="21CF6CD1"/>
    <w:rsid w:val="21D79B5B"/>
    <w:rsid w:val="21E2652D"/>
    <w:rsid w:val="2210F753"/>
    <w:rsid w:val="22144F44"/>
    <w:rsid w:val="2223C602"/>
    <w:rsid w:val="2240C5EB"/>
    <w:rsid w:val="2245018A"/>
    <w:rsid w:val="2278AC1E"/>
    <w:rsid w:val="22AC0389"/>
    <w:rsid w:val="22B0CB3E"/>
    <w:rsid w:val="22C3F253"/>
    <w:rsid w:val="22D05016"/>
    <w:rsid w:val="22DC130F"/>
    <w:rsid w:val="22E11470"/>
    <w:rsid w:val="22E5BDB1"/>
    <w:rsid w:val="22FB9A48"/>
    <w:rsid w:val="22FDB164"/>
    <w:rsid w:val="23097FF5"/>
    <w:rsid w:val="230C22E5"/>
    <w:rsid w:val="230F63C7"/>
    <w:rsid w:val="23313335"/>
    <w:rsid w:val="2337AF4C"/>
    <w:rsid w:val="2356600B"/>
    <w:rsid w:val="235DE418"/>
    <w:rsid w:val="236CFBF9"/>
    <w:rsid w:val="23857A70"/>
    <w:rsid w:val="238FA557"/>
    <w:rsid w:val="23B57D60"/>
    <w:rsid w:val="23C35922"/>
    <w:rsid w:val="23DD3D02"/>
    <w:rsid w:val="23E82FC3"/>
    <w:rsid w:val="23E89203"/>
    <w:rsid w:val="23EC99C7"/>
    <w:rsid w:val="23F1AC2D"/>
    <w:rsid w:val="23FEFF8E"/>
    <w:rsid w:val="2409C544"/>
    <w:rsid w:val="240FF61E"/>
    <w:rsid w:val="2416B0A9"/>
    <w:rsid w:val="241C3F06"/>
    <w:rsid w:val="24468242"/>
    <w:rsid w:val="244A66B6"/>
    <w:rsid w:val="245140F7"/>
    <w:rsid w:val="2453C6E6"/>
    <w:rsid w:val="24551C3A"/>
    <w:rsid w:val="24946ABC"/>
    <w:rsid w:val="249EBF6D"/>
    <w:rsid w:val="24AB50FA"/>
    <w:rsid w:val="24B15E87"/>
    <w:rsid w:val="24DE1EEC"/>
    <w:rsid w:val="24E3937F"/>
    <w:rsid w:val="24FBBD7B"/>
    <w:rsid w:val="251047A9"/>
    <w:rsid w:val="252B1F53"/>
    <w:rsid w:val="2541ACDF"/>
    <w:rsid w:val="2541DE59"/>
    <w:rsid w:val="254C45D7"/>
    <w:rsid w:val="254FADB7"/>
    <w:rsid w:val="2553A9AE"/>
    <w:rsid w:val="25734883"/>
    <w:rsid w:val="2573F2D6"/>
    <w:rsid w:val="2586BD21"/>
    <w:rsid w:val="259000D7"/>
    <w:rsid w:val="259404E3"/>
    <w:rsid w:val="25967C54"/>
    <w:rsid w:val="25A7AF72"/>
    <w:rsid w:val="25AC2DD2"/>
    <w:rsid w:val="25C0B222"/>
    <w:rsid w:val="25C5418F"/>
    <w:rsid w:val="25D679FC"/>
    <w:rsid w:val="25E026B2"/>
    <w:rsid w:val="25F1A747"/>
    <w:rsid w:val="262C38D1"/>
    <w:rsid w:val="2650620A"/>
    <w:rsid w:val="266011D1"/>
    <w:rsid w:val="2661FEFA"/>
    <w:rsid w:val="26679DC1"/>
    <w:rsid w:val="26710F94"/>
    <w:rsid w:val="267B545B"/>
    <w:rsid w:val="269A45CA"/>
    <w:rsid w:val="269CD2B2"/>
    <w:rsid w:val="26A4A189"/>
    <w:rsid w:val="26A4BB26"/>
    <w:rsid w:val="26EC3B62"/>
    <w:rsid w:val="26F2536F"/>
    <w:rsid w:val="27067F8D"/>
    <w:rsid w:val="272AAFFD"/>
    <w:rsid w:val="2730F8A3"/>
    <w:rsid w:val="2735F1A3"/>
    <w:rsid w:val="27371FD0"/>
    <w:rsid w:val="273D0ECA"/>
    <w:rsid w:val="2746B058"/>
    <w:rsid w:val="2754B53C"/>
    <w:rsid w:val="275FAD8A"/>
    <w:rsid w:val="2799CAB4"/>
    <w:rsid w:val="27AC7867"/>
    <w:rsid w:val="27BFA718"/>
    <w:rsid w:val="27D83930"/>
    <w:rsid w:val="280324F5"/>
    <w:rsid w:val="2811CDCD"/>
    <w:rsid w:val="281492E1"/>
    <w:rsid w:val="2840E85B"/>
    <w:rsid w:val="284C6354"/>
    <w:rsid w:val="2853DCA0"/>
    <w:rsid w:val="285400BA"/>
    <w:rsid w:val="2855A323"/>
    <w:rsid w:val="28669343"/>
    <w:rsid w:val="2885E344"/>
    <w:rsid w:val="289D6B7B"/>
    <w:rsid w:val="28A919A3"/>
    <w:rsid w:val="28BF517E"/>
    <w:rsid w:val="28C1786E"/>
    <w:rsid w:val="28C47DD9"/>
    <w:rsid w:val="28C76D41"/>
    <w:rsid w:val="28CAF761"/>
    <w:rsid w:val="28E3B063"/>
    <w:rsid w:val="28F3FEA7"/>
    <w:rsid w:val="2901800B"/>
    <w:rsid w:val="2902EB15"/>
    <w:rsid w:val="29135B1A"/>
    <w:rsid w:val="2920FC24"/>
    <w:rsid w:val="29302A69"/>
    <w:rsid w:val="2937CC0E"/>
    <w:rsid w:val="294CD7F8"/>
    <w:rsid w:val="294F290F"/>
    <w:rsid w:val="29528654"/>
    <w:rsid w:val="29580895"/>
    <w:rsid w:val="296454E1"/>
    <w:rsid w:val="297417BE"/>
    <w:rsid w:val="29763ED1"/>
    <w:rsid w:val="2976B08B"/>
    <w:rsid w:val="299593AD"/>
    <w:rsid w:val="299758B2"/>
    <w:rsid w:val="299C169B"/>
    <w:rsid w:val="29A3AB1E"/>
    <w:rsid w:val="29A437B4"/>
    <w:rsid w:val="29A5D53C"/>
    <w:rsid w:val="29AD3804"/>
    <w:rsid w:val="29B862AD"/>
    <w:rsid w:val="29CE7AE1"/>
    <w:rsid w:val="29E14FDD"/>
    <w:rsid w:val="2A10C42E"/>
    <w:rsid w:val="2A15436C"/>
    <w:rsid w:val="2A15B84F"/>
    <w:rsid w:val="2A1689F1"/>
    <w:rsid w:val="2A1FEBC7"/>
    <w:rsid w:val="2A20674D"/>
    <w:rsid w:val="2A3B55A6"/>
    <w:rsid w:val="2A4559FA"/>
    <w:rsid w:val="2A5A2029"/>
    <w:rsid w:val="2A5CAC3B"/>
    <w:rsid w:val="2A7E38B9"/>
    <w:rsid w:val="2A913BD6"/>
    <w:rsid w:val="2A9FAD11"/>
    <w:rsid w:val="2AC3C34A"/>
    <w:rsid w:val="2AD0AB0B"/>
    <w:rsid w:val="2AD7166C"/>
    <w:rsid w:val="2ADF31F4"/>
    <w:rsid w:val="2AE38DB0"/>
    <w:rsid w:val="2AE7260A"/>
    <w:rsid w:val="2AEAACB7"/>
    <w:rsid w:val="2B13B17F"/>
    <w:rsid w:val="2B1433B2"/>
    <w:rsid w:val="2B362867"/>
    <w:rsid w:val="2B375127"/>
    <w:rsid w:val="2B3CECAD"/>
    <w:rsid w:val="2B3CFBEE"/>
    <w:rsid w:val="2B49B419"/>
    <w:rsid w:val="2B5DE468"/>
    <w:rsid w:val="2B711AC2"/>
    <w:rsid w:val="2B88EA8B"/>
    <w:rsid w:val="2B8C12C3"/>
    <w:rsid w:val="2B96195B"/>
    <w:rsid w:val="2BAD21A5"/>
    <w:rsid w:val="2BAD88CA"/>
    <w:rsid w:val="2BAE02AC"/>
    <w:rsid w:val="2BCA419E"/>
    <w:rsid w:val="2BCD4DF9"/>
    <w:rsid w:val="2BF38C40"/>
    <w:rsid w:val="2BFADFAF"/>
    <w:rsid w:val="2C08233E"/>
    <w:rsid w:val="2C3B84BD"/>
    <w:rsid w:val="2C3FC246"/>
    <w:rsid w:val="2C4725AA"/>
    <w:rsid w:val="2C7D5210"/>
    <w:rsid w:val="2C858D6F"/>
    <w:rsid w:val="2C8FFEE7"/>
    <w:rsid w:val="2C92B280"/>
    <w:rsid w:val="2C9B0436"/>
    <w:rsid w:val="2CA891C1"/>
    <w:rsid w:val="2CB8FB97"/>
    <w:rsid w:val="2CD8F973"/>
    <w:rsid w:val="2CE3E1CB"/>
    <w:rsid w:val="2CF898DC"/>
    <w:rsid w:val="2D0749D8"/>
    <w:rsid w:val="2D136602"/>
    <w:rsid w:val="2D2956FF"/>
    <w:rsid w:val="2D3BD095"/>
    <w:rsid w:val="2D55DBF0"/>
    <w:rsid w:val="2D6385B2"/>
    <w:rsid w:val="2D6E92E7"/>
    <w:rsid w:val="2D6F1856"/>
    <w:rsid w:val="2D70651A"/>
    <w:rsid w:val="2D74D386"/>
    <w:rsid w:val="2D78A6F9"/>
    <w:rsid w:val="2D7CDC97"/>
    <w:rsid w:val="2D80BE0F"/>
    <w:rsid w:val="2D9FCC35"/>
    <w:rsid w:val="2DB4B6D0"/>
    <w:rsid w:val="2DCE5BCA"/>
    <w:rsid w:val="2DDC0172"/>
    <w:rsid w:val="2DDFE0C6"/>
    <w:rsid w:val="2DE652FB"/>
    <w:rsid w:val="2DE93D5A"/>
    <w:rsid w:val="2DEAFFF9"/>
    <w:rsid w:val="2DECDD28"/>
    <w:rsid w:val="2DF62A36"/>
    <w:rsid w:val="2E03C223"/>
    <w:rsid w:val="2E07430C"/>
    <w:rsid w:val="2E1CD114"/>
    <w:rsid w:val="2E2437AB"/>
    <w:rsid w:val="2E389B07"/>
    <w:rsid w:val="2E3B6E89"/>
    <w:rsid w:val="2E4B7912"/>
    <w:rsid w:val="2E587085"/>
    <w:rsid w:val="2E73CEDE"/>
    <w:rsid w:val="2E7BFFA5"/>
    <w:rsid w:val="2E94F29A"/>
    <w:rsid w:val="2E9B4B70"/>
    <w:rsid w:val="2EA43F65"/>
    <w:rsid w:val="2EA9A90D"/>
    <w:rsid w:val="2EAE88AF"/>
    <w:rsid w:val="2EB1B1A7"/>
    <w:rsid w:val="2EBD4B8D"/>
    <w:rsid w:val="2ED1E76D"/>
    <w:rsid w:val="2ED310D8"/>
    <w:rsid w:val="2ED7E830"/>
    <w:rsid w:val="2EDE4D77"/>
    <w:rsid w:val="2EE0C540"/>
    <w:rsid w:val="2EE780F8"/>
    <w:rsid w:val="2EF2E045"/>
    <w:rsid w:val="2EFD0833"/>
    <w:rsid w:val="2F168AF6"/>
    <w:rsid w:val="2F1B4AC7"/>
    <w:rsid w:val="2F207B2D"/>
    <w:rsid w:val="2F216DCB"/>
    <w:rsid w:val="2F260A60"/>
    <w:rsid w:val="2F270665"/>
    <w:rsid w:val="2F2F852D"/>
    <w:rsid w:val="2F442ED8"/>
    <w:rsid w:val="2F478889"/>
    <w:rsid w:val="2F57E0A8"/>
    <w:rsid w:val="2F5B9789"/>
    <w:rsid w:val="2F5DE763"/>
    <w:rsid w:val="2F629576"/>
    <w:rsid w:val="2F64915D"/>
    <w:rsid w:val="2F67240E"/>
    <w:rsid w:val="2F7C36B0"/>
    <w:rsid w:val="2F7E6DB4"/>
    <w:rsid w:val="2F88F3AE"/>
    <w:rsid w:val="2F913DCD"/>
    <w:rsid w:val="2FA17D31"/>
    <w:rsid w:val="2FBA669F"/>
    <w:rsid w:val="2FBFE731"/>
    <w:rsid w:val="2FC785C6"/>
    <w:rsid w:val="2FEF3D3F"/>
    <w:rsid w:val="30078673"/>
    <w:rsid w:val="300B7E45"/>
    <w:rsid w:val="3024EFCC"/>
    <w:rsid w:val="3068FB55"/>
    <w:rsid w:val="307E830B"/>
    <w:rsid w:val="308A5AA5"/>
    <w:rsid w:val="309984E4"/>
    <w:rsid w:val="30ADD6F6"/>
    <w:rsid w:val="30B44C76"/>
    <w:rsid w:val="30B7EF90"/>
    <w:rsid w:val="30BA2B26"/>
    <w:rsid w:val="30D8340B"/>
    <w:rsid w:val="30D9F13A"/>
    <w:rsid w:val="30E48C57"/>
    <w:rsid w:val="30E9D6E3"/>
    <w:rsid w:val="3103FFC3"/>
    <w:rsid w:val="31043C5D"/>
    <w:rsid w:val="310ABA0A"/>
    <w:rsid w:val="310BF09E"/>
    <w:rsid w:val="31370398"/>
    <w:rsid w:val="3139086C"/>
    <w:rsid w:val="3139BF7A"/>
    <w:rsid w:val="313D9240"/>
    <w:rsid w:val="3141C644"/>
    <w:rsid w:val="31431E09"/>
    <w:rsid w:val="314B1872"/>
    <w:rsid w:val="315AC31A"/>
    <w:rsid w:val="3165CE47"/>
    <w:rsid w:val="316C9C7B"/>
    <w:rsid w:val="31A16ED9"/>
    <w:rsid w:val="31A5E976"/>
    <w:rsid w:val="31C6EE2D"/>
    <w:rsid w:val="32166372"/>
    <w:rsid w:val="32189B14"/>
    <w:rsid w:val="321E7883"/>
    <w:rsid w:val="3221F9E4"/>
    <w:rsid w:val="323B2457"/>
    <w:rsid w:val="3259CD06"/>
    <w:rsid w:val="32665246"/>
    <w:rsid w:val="32920465"/>
    <w:rsid w:val="329C2728"/>
    <w:rsid w:val="32A5EA3A"/>
    <w:rsid w:val="32AA4998"/>
    <w:rsid w:val="32B21AB4"/>
    <w:rsid w:val="32B90EC8"/>
    <w:rsid w:val="32BD371E"/>
    <w:rsid w:val="32BDD2CB"/>
    <w:rsid w:val="32DEB127"/>
    <w:rsid w:val="32E608B5"/>
    <w:rsid w:val="32E60DEB"/>
    <w:rsid w:val="32E723B5"/>
    <w:rsid w:val="32EE5988"/>
    <w:rsid w:val="330A268F"/>
    <w:rsid w:val="330C5ED1"/>
    <w:rsid w:val="332107E0"/>
    <w:rsid w:val="333ED5C3"/>
    <w:rsid w:val="33585A35"/>
    <w:rsid w:val="3368B33B"/>
    <w:rsid w:val="336943B3"/>
    <w:rsid w:val="337C8F48"/>
    <w:rsid w:val="3383A9F4"/>
    <w:rsid w:val="338725C9"/>
    <w:rsid w:val="338C557A"/>
    <w:rsid w:val="33933362"/>
    <w:rsid w:val="33A8F27D"/>
    <w:rsid w:val="33B9588A"/>
    <w:rsid w:val="33E27DB2"/>
    <w:rsid w:val="33E8AF25"/>
    <w:rsid w:val="33F63E06"/>
    <w:rsid w:val="3411BD30"/>
    <w:rsid w:val="3432A7A0"/>
    <w:rsid w:val="343E595E"/>
    <w:rsid w:val="3440BA7E"/>
    <w:rsid w:val="344C1B3E"/>
    <w:rsid w:val="346249E9"/>
    <w:rsid w:val="347EDE32"/>
    <w:rsid w:val="34831DDF"/>
    <w:rsid w:val="3488325B"/>
    <w:rsid w:val="348BAF9B"/>
    <w:rsid w:val="349C6A4E"/>
    <w:rsid w:val="34B3DD77"/>
    <w:rsid w:val="34B40B1D"/>
    <w:rsid w:val="34B8D5AE"/>
    <w:rsid w:val="34C11D36"/>
    <w:rsid w:val="34D0F027"/>
    <w:rsid w:val="34DB2DDD"/>
    <w:rsid w:val="34E33A70"/>
    <w:rsid w:val="34E39ED6"/>
    <w:rsid w:val="34E65B0A"/>
    <w:rsid w:val="34F659FD"/>
    <w:rsid w:val="3500670D"/>
    <w:rsid w:val="350344CB"/>
    <w:rsid w:val="350A2FC1"/>
    <w:rsid w:val="3510E0A3"/>
    <w:rsid w:val="35116ABD"/>
    <w:rsid w:val="35156AF4"/>
    <w:rsid w:val="3520B76D"/>
    <w:rsid w:val="352ACFD3"/>
    <w:rsid w:val="353BA93C"/>
    <w:rsid w:val="354D3238"/>
    <w:rsid w:val="35546BB3"/>
    <w:rsid w:val="3555EC71"/>
    <w:rsid w:val="355AF9CA"/>
    <w:rsid w:val="3565C7CB"/>
    <w:rsid w:val="35699869"/>
    <w:rsid w:val="356F175E"/>
    <w:rsid w:val="356F79D2"/>
    <w:rsid w:val="358174ED"/>
    <w:rsid w:val="3583AECE"/>
    <w:rsid w:val="358805E1"/>
    <w:rsid w:val="35904911"/>
    <w:rsid w:val="35B1877A"/>
    <w:rsid w:val="35B56379"/>
    <w:rsid w:val="35D6F620"/>
    <w:rsid w:val="35D9D044"/>
    <w:rsid w:val="35DA90D6"/>
    <w:rsid w:val="35FCAB36"/>
    <w:rsid w:val="364ED93A"/>
    <w:rsid w:val="36641F40"/>
    <w:rsid w:val="366FD6EB"/>
    <w:rsid w:val="367EEBCE"/>
    <w:rsid w:val="368954D9"/>
    <w:rsid w:val="368C810F"/>
    <w:rsid w:val="36A3FC8F"/>
    <w:rsid w:val="36CD7B4E"/>
    <w:rsid w:val="36CE07A1"/>
    <w:rsid w:val="36D35C6C"/>
    <w:rsid w:val="36E721F9"/>
    <w:rsid w:val="36F179B0"/>
    <w:rsid w:val="36F57207"/>
    <w:rsid w:val="37076115"/>
    <w:rsid w:val="3711A4D8"/>
    <w:rsid w:val="373EA334"/>
    <w:rsid w:val="37442B97"/>
    <w:rsid w:val="37462168"/>
    <w:rsid w:val="3753C906"/>
    <w:rsid w:val="375D3B4F"/>
    <w:rsid w:val="375E9CEB"/>
    <w:rsid w:val="376CB666"/>
    <w:rsid w:val="376F110F"/>
    <w:rsid w:val="378152C2"/>
    <w:rsid w:val="378EC123"/>
    <w:rsid w:val="3790FBC2"/>
    <w:rsid w:val="37ACDCE5"/>
    <w:rsid w:val="37ADA0B2"/>
    <w:rsid w:val="37B9D1D0"/>
    <w:rsid w:val="37BF702B"/>
    <w:rsid w:val="37C30022"/>
    <w:rsid w:val="37C74100"/>
    <w:rsid w:val="37C9AEF1"/>
    <w:rsid w:val="37DEB206"/>
    <w:rsid w:val="37EBAF44"/>
    <w:rsid w:val="37F10CDA"/>
    <w:rsid w:val="38086B31"/>
    <w:rsid w:val="3811E908"/>
    <w:rsid w:val="3815AA0C"/>
    <w:rsid w:val="38195FA6"/>
    <w:rsid w:val="381C07C4"/>
    <w:rsid w:val="3820793B"/>
    <w:rsid w:val="3826CB08"/>
    <w:rsid w:val="382D3C9C"/>
    <w:rsid w:val="383922E2"/>
    <w:rsid w:val="3840A008"/>
    <w:rsid w:val="3843CEE6"/>
    <w:rsid w:val="384C746A"/>
    <w:rsid w:val="385ECD46"/>
    <w:rsid w:val="38631DAB"/>
    <w:rsid w:val="38958B64"/>
    <w:rsid w:val="38989184"/>
    <w:rsid w:val="389C23B8"/>
    <w:rsid w:val="38BC6847"/>
    <w:rsid w:val="38BC74DC"/>
    <w:rsid w:val="38C879CF"/>
    <w:rsid w:val="38D8A64C"/>
    <w:rsid w:val="38DCB295"/>
    <w:rsid w:val="38DF4317"/>
    <w:rsid w:val="38ECCF15"/>
    <w:rsid w:val="38F134CF"/>
    <w:rsid w:val="38F3A185"/>
    <w:rsid w:val="38F9C9F1"/>
    <w:rsid w:val="38FEDA0F"/>
    <w:rsid w:val="39113A37"/>
    <w:rsid w:val="391DC281"/>
    <w:rsid w:val="39724B72"/>
    <w:rsid w:val="397E4FB9"/>
    <w:rsid w:val="3988BD95"/>
    <w:rsid w:val="39890F63"/>
    <w:rsid w:val="399E2FEB"/>
    <w:rsid w:val="39AE2D3A"/>
    <w:rsid w:val="39AFFD27"/>
    <w:rsid w:val="39B7095A"/>
    <w:rsid w:val="39DA0221"/>
    <w:rsid w:val="39DED441"/>
    <w:rsid w:val="39EA73CE"/>
    <w:rsid w:val="39EEA89F"/>
    <w:rsid w:val="39F4C762"/>
    <w:rsid w:val="3A0F758E"/>
    <w:rsid w:val="3A1CDACB"/>
    <w:rsid w:val="3A3A977A"/>
    <w:rsid w:val="3A54149B"/>
    <w:rsid w:val="3A5A6B71"/>
    <w:rsid w:val="3A5A6D5F"/>
    <w:rsid w:val="3A667F7E"/>
    <w:rsid w:val="3A748EE0"/>
    <w:rsid w:val="3A784CEE"/>
    <w:rsid w:val="3A827F76"/>
    <w:rsid w:val="3A9074D6"/>
    <w:rsid w:val="3AAE800E"/>
    <w:rsid w:val="3AB1166C"/>
    <w:rsid w:val="3ACD6A71"/>
    <w:rsid w:val="3ACEFDD1"/>
    <w:rsid w:val="3AE6BD74"/>
    <w:rsid w:val="3AEC0543"/>
    <w:rsid w:val="3AEE2FA2"/>
    <w:rsid w:val="3B002160"/>
    <w:rsid w:val="3B03B6BE"/>
    <w:rsid w:val="3B082D38"/>
    <w:rsid w:val="3B09C45C"/>
    <w:rsid w:val="3B0BD925"/>
    <w:rsid w:val="3B0D2A97"/>
    <w:rsid w:val="3B1DFD59"/>
    <w:rsid w:val="3B4EAB1B"/>
    <w:rsid w:val="3B509670"/>
    <w:rsid w:val="3B5107E0"/>
    <w:rsid w:val="3B8C4873"/>
    <w:rsid w:val="3BAA9F1B"/>
    <w:rsid w:val="3BB00136"/>
    <w:rsid w:val="3BE30C60"/>
    <w:rsid w:val="3C098A0F"/>
    <w:rsid w:val="3C2BEC5E"/>
    <w:rsid w:val="3C2D7421"/>
    <w:rsid w:val="3C3195F8"/>
    <w:rsid w:val="3C359AF3"/>
    <w:rsid w:val="3C4221D9"/>
    <w:rsid w:val="3C42F295"/>
    <w:rsid w:val="3C509790"/>
    <w:rsid w:val="3C5D0953"/>
    <w:rsid w:val="3C68D4EE"/>
    <w:rsid w:val="3C760981"/>
    <w:rsid w:val="3C7A3E17"/>
    <w:rsid w:val="3C822015"/>
    <w:rsid w:val="3CA8BB1A"/>
    <w:rsid w:val="3CAC051A"/>
    <w:rsid w:val="3CB1D81D"/>
    <w:rsid w:val="3CC158C1"/>
    <w:rsid w:val="3CC7E61D"/>
    <w:rsid w:val="3CCD813D"/>
    <w:rsid w:val="3CCE26DA"/>
    <w:rsid w:val="3CE4575D"/>
    <w:rsid w:val="3CFB0F14"/>
    <w:rsid w:val="3CFEBD5D"/>
    <w:rsid w:val="3D0983AE"/>
    <w:rsid w:val="3D0C8A17"/>
    <w:rsid w:val="3D1B56DA"/>
    <w:rsid w:val="3D22C681"/>
    <w:rsid w:val="3D2E556B"/>
    <w:rsid w:val="3D3E9B6F"/>
    <w:rsid w:val="3D5DFEBF"/>
    <w:rsid w:val="3D5FF3CE"/>
    <w:rsid w:val="3D61EB31"/>
    <w:rsid w:val="3D8B5E5A"/>
    <w:rsid w:val="3D8F6064"/>
    <w:rsid w:val="3D92A45D"/>
    <w:rsid w:val="3D9DC99C"/>
    <w:rsid w:val="3DA6426A"/>
    <w:rsid w:val="3DB5E5FB"/>
    <w:rsid w:val="3DBC9140"/>
    <w:rsid w:val="3DD0C814"/>
    <w:rsid w:val="3DDEBF73"/>
    <w:rsid w:val="3DE4F9BA"/>
    <w:rsid w:val="3DED13A6"/>
    <w:rsid w:val="3DF935D2"/>
    <w:rsid w:val="3E070181"/>
    <w:rsid w:val="3E10CB71"/>
    <w:rsid w:val="3E10D422"/>
    <w:rsid w:val="3E24DE91"/>
    <w:rsid w:val="3E316D7A"/>
    <w:rsid w:val="3E5FCFF4"/>
    <w:rsid w:val="3E75DE38"/>
    <w:rsid w:val="3E845783"/>
    <w:rsid w:val="3E872B84"/>
    <w:rsid w:val="3E8C5171"/>
    <w:rsid w:val="3E9B90B9"/>
    <w:rsid w:val="3ECEA425"/>
    <w:rsid w:val="3EE1687C"/>
    <w:rsid w:val="3EE172A3"/>
    <w:rsid w:val="3EE1F1AC"/>
    <w:rsid w:val="3EEFF11C"/>
    <w:rsid w:val="3EF50E2D"/>
    <w:rsid w:val="3EF6A53D"/>
    <w:rsid w:val="3EF7D865"/>
    <w:rsid w:val="3F06BBCB"/>
    <w:rsid w:val="3F0E62D9"/>
    <w:rsid w:val="3F185622"/>
    <w:rsid w:val="3F2E91C1"/>
    <w:rsid w:val="3F3D839F"/>
    <w:rsid w:val="3F4963F0"/>
    <w:rsid w:val="3F4DFE12"/>
    <w:rsid w:val="3F4E0CDC"/>
    <w:rsid w:val="3F557A13"/>
    <w:rsid w:val="3F5BE7B3"/>
    <w:rsid w:val="3F6BC73B"/>
    <w:rsid w:val="3F76724F"/>
    <w:rsid w:val="3F78E389"/>
    <w:rsid w:val="3FA2F9A5"/>
    <w:rsid w:val="3FA38715"/>
    <w:rsid w:val="3FA6D141"/>
    <w:rsid w:val="3FB86D26"/>
    <w:rsid w:val="3FBDA48D"/>
    <w:rsid w:val="3FCCB91A"/>
    <w:rsid w:val="3FE15157"/>
    <w:rsid w:val="3FF3B8D8"/>
    <w:rsid w:val="40023916"/>
    <w:rsid w:val="4002ABE0"/>
    <w:rsid w:val="4027D16D"/>
    <w:rsid w:val="402A2A5F"/>
    <w:rsid w:val="404C0962"/>
    <w:rsid w:val="404F44BD"/>
    <w:rsid w:val="405FB9D2"/>
    <w:rsid w:val="4071F136"/>
    <w:rsid w:val="4076BB31"/>
    <w:rsid w:val="408E6202"/>
    <w:rsid w:val="409DFB18"/>
    <w:rsid w:val="40A32538"/>
    <w:rsid w:val="40A9753C"/>
    <w:rsid w:val="40ACA55C"/>
    <w:rsid w:val="40BDFA29"/>
    <w:rsid w:val="40C344A6"/>
    <w:rsid w:val="40D4BD64"/>
    <w:rsid w:val="40F9F170"/>
    <w:rsid w:val="4109DA9D"/>
    <w:rsid w:val="411CA59B"/>
    <w:rsid w:val="411F40D5"/>
    <w:rsid w:val="41271E62"/>
    <w:rsid w:val="412762DB"/>
    <w:rsid w:val="41288212"/>
    <w:rsid w:val="41366FC7"/>
    <w:rsid w:val="414474A2"/>
    <w:rsid w:val="41456722"/>
    <w:rsid w:val="414DB009"/>
    <w:rsid w:val="4157D546"/>
    <w:rsid w:val="41699211"/>
    <w:rsid w:val="417E670F"/>
    <w:rsid w:val="4192CF1F"/>
    <w:rsid w:val="419470A3"/>
    <w:rsid w:val="41C38A64"/>
    <w:rsid w:val="41E89130"/>
    <w:rsid w:val="4200F437"/>
    <w:rsid w:val="421BCA5D"/>
    <w:rsid w:val="42353DB1"/>
    <w:rsid w:val="42376417"/>
    <w:rsid w:val="42387BA7"/>
    <w:rsid w:val="423C0D61"/>
    <w:rsid w:val="425A05F0"/>
    <w:rsid w:val="4271F4EA"/>
    <w:rsid w:val="428D2118"/>
    <w:rsid w:val="42903650"/>
    <w:rsid w:val="429A249C"/>
    <w:rsid w:val="429EE6A7"/>
    <w:rsid w:val="42B1986B"/>
    <w:rsid w:val="42C676A6"/>
    <w:rsid w:val="42CFAE88"/>
    <w:rsid w:val="42DAEFF1"/>
    <w:rsid w:val="42DC0188"/>
    <w:rsid w:val="42E32035"/>
    <w:rsid w:val="430F1805"/>
    <w:rsid w:val="431169E3"/>
    <w:rsid w:val="4313D1F2"/>
    <w:rsid w:val="43301DC6"/>
    <w:rsid w:val="43458A43"/>
    <w:rsid w:val="435DA3BA"/>
    <w:rsid w:val="43661BA1"/>
    <w:rsid w:val="43749494"/>
    <w:rsid w:val="4374D75B"/>
    <w:rsid w:val="43772429"/>
    <w:rsid w:val="43775BCF"/>
    <w:rsid w:val="437DAC05"/>
    <w:rsid w:val="437E6E6E"/>
    <w:rsid w:val="437F24B8"/>
    <w:rsid w:val="4384E8AA"/>
    <w:rsid w:val="4385EEA7"/>
    <w:rsid w:val="438C3E02"/>
    <w:rsid w:val="439783EF"/>
    <w:rsid w:val="439F86FE"/>
    <w:rsid w:val="43A10672"/>
    <w:rsid w:val="43BE0640"/>
    <w:rsid w:val="43BEB1BA"/>
    <w:rsid w:val="43D0209E"/>
    <w:rsid w:val="43F2DFF1"/>
    <w:rsid w:val="43F97C47"/>
    <w:rsid w:val="43F9C26B"/>
    <w:rsid w:val="43FFEB82"/>
    <w:rsid w:val="44078BDA"/>
    <w:rsid w:val="440B1CE7"/>
    <w:rsid w:val="44298879"/>
    <w:rsid w:val="44385031"/>
    <w:rsid w:val="445C0B00"/>
    <w:rsid w:val="445F638A"/>
    <w:rsid w:val="446B3479"/>
    <w:rsid w:val="44795128"/>
    <w:rsid w:val="44863222"/>
    <w:rsid w:val="4492A67E"/>
    <w:rsid w:val="449712DA"/>
    <w:rsid w:val="449E1A01"/>
    <w:rsid w:val="44AB5321"/>
    <w:rsid w:val="44AEF8D9"/>
    <w:rsid w:val="44B2209C"/>
    <w:rsid w:val="44C338D0"/>
    <w:rsid w:val="44C73F39"/>
    <w:rsid w:val="44DC4FAF"/>
    <w:rsid w:val="44ECEF6F"/>
    <w:rsid w:val="44EFD314"/>
    <w:rsid w:val="45011B9E"/>
    <w:rsid w:val="45352D3D"/>
    <w:rsid w:val="4563F4DB"/>
    <w:rsid w:val="456772EC"/>
    <w:rsid w:val="456EB1BC"/>
    <w:rsid w:val="457DB1E3"/>
    <w:rsid w:val="458338BB"/>
    <w:rsid w:val="4583AA03"/>
    <w:rsid w:val="458D0F5D"/>
    <w:rsid w:val="458F5476"/>
    <w:rsid w:val="459AA315"/>
    <w:rsid w:val="45BDCF65"/>
    <w:rsid w:val="45C2EDCF"/>
    <w:rsid w:val="45CB478B"/>
    <w:rsid w:val="45D5029B"/>
    <w:rsid w:val="45E13D6B"/>
    <w:rsid w:val="45F6BCB6"/>
    <w:rsid w:val="45FC919A"/>
    <w:rsid w:val="460318D0"/>
    <w:rsid w:val="460AB602"/>
    <w:rsid w:val="460D6880"/>
    <w:rsid w:val="461D0D1A"/>
    <w:rsid w:val="461E8955"/>
    <w:rsid w:val="46209E69"/>
    <w:rsid w:val="46258AE0"/>
    <w:rsid w:val="4628DBE3"/>
    <w:rsid w:val="4630000F"/>
    <w:rsid w:val="4639A29A"/>
    <w:rsid w:val="463CC189"/>
    <w:rsid w:val="463D99BB"/>
    <w:rsid w:val="46514149"/>
    <w:rsid w:val="46709431"/>
    <w:rsid w:val="467342D9"/>
    <w:rsid w:val="4682BD7B"/>
    <w:rsid w:val="46A4EEFC"/>
    <w:rsid w:val="46BCCD4F"/>
    <w:rsid w:val="46BF8221"/>
    <w:rsid w:val="46D27551"/>
    <w:rsid w:val="46F0D436"/>
    <w:rsid w:val="4714D197"/>
    <w:rsid w:val="471BDA3D"/>
    <w:rsid w:val="472434AA"/>
    <w:rsid w:val="4730B063"/>
    <w:rsid w:val="473430A3"/>
    <w:rsid w:val="4738D877"/>
    <w:rsid w:val="4740B873"/>
    <w:rsid w:val="4748C989"/>
    <w:rsid w:val="47766173"/>
    <w:rsid w:val="477C6911"/>
    <w:rsid w:val="477C727E"/>
    <w:rsid w:val="478F704A"/>
    <w:rsid w:val="479456E3"/>
    <w:rsid w:val="47C350B0"/>
    <w:rsid w:val="47C7BC5D"/>
    <w:rsid w:val="47CE927F"/>
    <w:rsid w:val="47DA05A6"/>
    <w:rsid w:val="47E57CD4"/>
    <w:rsid w:val="47E87C06"/>
    <w:rsid w:val="47F413E8"/>
    <w:rsid w:val="47F8C90C"/>
    <w:rsid w:val="48017F68"/>
    <w:rsid w:val="480BD825"/>
    <w:rsid w:val="4819D204"/>
    <w:rsid w:val="4822F4C3"/>
    <w:rsid w:val="48273959"/>
    <w:rsid w:val="485E1FD4"/>
    <w:rsid w:val="486388AB"/>
    <w:rsid w:val="486FF1BC"/>
    <w:rsid w:val="4876CF2C"/>
    <w:rsid w:val="487DCD5D"/>
    <w:rsid w:val="48805908"/>
    <w:rsid w:val="4891CCCC"/>
    <w:rsid w:val="489CEB7A"/>
    <w:rsid w:val="48B2D7C7"/>
    <w:rsid w:val="48C8017D"/>
    <w:rsid w:val="48CD23DB"/>
    <w:rsid w:val="48CE9D39"/>
    <w:rsid w:val="48E1C949"/>
    <w:rsid w:val="48E560E2"/>
    <w:rsid w:val="48F4AF94"/>
    <w:rsid w:val="491C23BE"/>
    <w:rsid w:val="492F6830"/>
    <w:rsid w:val="4940A621"/>
    <w:rsid w:val="49426E24"/>
    <w:rsid w:val="497E7822"/>
    <w:rsid w:val="498F270D"/>
    <w:rsid w:val="499F1DD5"/>
    <w:rsid w:val="49B1A243"/>
    <w:rsid w:val="49BDC451"/>
    <w:rsid w:val="49C748C0"/>
    <w:rsid w:val="49CCAC7E"/>
    <w:rsid w:val="49DD7D08"/>
    <w:rsid w:val="49E53851"/>
    <w:rsid w:val="49FC3C49"/>
    <w:rsid w:val="4A1BA98C"/>
    <w:rsid w:val="4A2DCE41"/>
    <w:rsid w:val="4A376561"/>
    <w:rsid w:val="4A376CFD"/>
    <w:rsid w:val="4A44B073"/>
    <w:rsid w:val="4A5A05F7"/>
    <w:rsid w:val="4A5F5D46"/>
    <w:rsid w:val="4A60B3B8"/>
    <w:rsid w:val="4A628014"/>
    <w:rsid w:val="4A7ADF56"/>
    <w:rsid w:val="4A851489"/>
    <w:rsid w:val="4A8BB863"/>
    <w:rsid w:val="4A9664DC"/>
    <w:rsid w:val="4AB68051"/>
    <w:rsid w:val="4AB69852"/>
    <w:rsid w:val="4AEA21C9"/>
    <w:rsid w:val="4B072001"/>
    <w:rsid w:val="4B091401"/>
    <w:rsid w:val="4B13B5DD"/>
    <w:rsid w:val="4B266CB4"/>
    <w:rsid w:val="4B4DC682"/>
    <w:rsid w:val="4B77F83F"/>
    <w:rsid w:val="4B7D7651"/>
    <w:rsid w:val="4B972BF5"/>
    <w:rsid w:val="4BA39651"/>
    <w:rsid w:val="4BA63596"/>
    <w:rsid w:val="4BAE9925"/>
    <w:rsid w:val="4BBC608D"/>
    <w:rsid w:val="4BC1B1C4"/>
    <w:rsid w:val="4BC2C88F"/>
    <w:rsid w:val="4BE9B492"/>
    <w:rsid w:val="4BF62E39"/>
    <w:rsid w:val="4C347EC7"/>
    <w:rsid w:val="4C4283F7"/>
    <w:rsid w:val="4C61741B"/>
    <w:rsid w:val="4C6F26AD"/>
    <w:rsid w:val="4C8DCF85"/>
    <w:rsid w:val="4C8EDBDA"/>
    <w:rsid w:val="4C995368"/>
    <w:rsid w:val="4CA2E6C9"/>
    <w:rsid w:val="4CC293FE"/>
    <w:rsid w:val="4CD648C8"/>
    <w:rsid w:val="4CE4D67D"/>
    <w:rsid w:val="4CE97335"/>
    <w:rsid w:val="4CEC4545"/>
    <w:rsid w:val="4CF5AFC4"/>
    <w:rsid w:val="4D0721A9"/>
    <w:rsid w:val="4D10F2E9"/>
    <w:rsid w:val="4D24ECCA"/>
    <w:rsid w:val="4D31DA25"/>
    <w:rsid w:val="4D3ADA57"/>
    <w:rsid w:val="4D403E6F"/>
    <w:rsid w:val="4D473D88"/>
    <w:rsid w:val="4D4E7808"/>
    <w:rsid w:val="4D598343"/>
    <w:rsid w:val="4D6B6B20"/>
    <w:rsid w:val="4D735FFF"/>
    <w:rsid w:val="4D80EFF4"/>
    <w:rsid w:val="4D8441AC"/>
    <w:rsid w:val="4D8DBEC3"/>
    <w:rsid w:val="4DA822A1"/>
    <w:rsid w:val="4DDB5DCE"/>
    <w:rsid w:val="4DE04902"/>
    <w:rsid w:val="4DE4CA71"/>
    <w:rsid w:val="4DE88071"/>
    <w:rsid w:val="4DF2630F"/>
    <w:rsid w:val="4E00F531"/>
    <w:rsid w:val="4E2D548D"/>
    <w:rsid w:val="4E332004"/>
    <w:rsid w:val="4E36C8DC"/>
    <w:rsid w:val="4E43DB4E"/>
    <w:rsid w:val="4E4ACE13"/>
    <w:rsid w:val="4E54EFE5"/>
    <w:rsid w:val="4E590F74"/>
    <w:rsid w:val="4E636E44"/>
    <w:rsid w:val="4E71AF64"/>
    <w:rsid w:val="4E7AC771"/>
    <w:rsid w:val="4E7E49CE"/>
    <w:rsid w:val="4E7E978D"/>
    <w:rsid w:val="4E8406CB"/>
    <w:rsid w:val="4E8923E7"/>
    <w:rsid w:val="4E8FC8CC"/>
    <w:rsid w:val="4EA1D2BB"/>
    <w:rsid w:val="4EA41CE3"/>
    <w:rsid w:val="4EAC3012"/>
    <w:rsid w:val="4EAEBED8"/>
    <w:rsid w:val="4EB6EBDE"/>
    <w:rsid w:val="4EB900D3"/>
    <w:rsid w:val="4EBCFBC0"/>
    <w:rsid w:val="4EBF8194"/>
    <w:rsid w:val="4EC02C42"/>
    <w:rsid w:val="4ECC24AC"/>
    <w:rsid w:val="4ED2DF27"/>
    <w:rsid w:val="4ED77E96"/>
    <w:rsid w:val="4ED83898"/>
    <w:rsid w:val="4EE159FB"/>
    <w:rsid w:val="4EE94BF8"/>
    <w:rsid w:val="4F00F93C"/>
    <w:rsid w:val="4F079CA4"/>
    <w:rsid w:val="4F2455FD"/>
    <w:rsid w:val="4F2BFACF"/>
    <w:rsid w:val="4F3C272C"/>
    <w:rsid w:val="4F3CD7A3"/>
    <w:rsid w:val="4F42240E"/>
    <w:rsid w:val="4F4FA611"/>
    <w:rsid w:val="4F540B1A"/>
    <w:rsid w:val="4F8547DC"/>
    <w:rsid w:val="4F9D9C65"/>
    <w:rsid w:val="4FA4774B"/>
    <w:rsid w:val="4FA6A5A7"/>
    <w:rsid w:val="4FBC4724"/>
    <w:rsid w:val="4FC041B3"/>
    <w:rsid w:val="4FC45B12"/>
    <w:rsid w:val="4FC574A5"/>
    <w:rsid w:val="4FC57A22"/>
    <w:rsid w:val="4FD507A7"/>
    <w:rsid w:val="4FFA7938"/>
    <w:rsid w:val="50227CD0"/>
    <w:rsid w:val="502E8F73"/>
    <w:rsid w:val="50314E34"/>
    <w:rsid w:val="50323B3B"/>
    <w:rsid w:val="503D1A94"/>
    <w:rsid w:val="504B0618"/>
    <w:rsid w:val="5052F7C8"/>
    <w:rsid w:val="505FCA05"/>
    <w:rsid w:val="50626D0F"/>
    <w:rsid w:val="507C10EC"/>
    <w:rsid w:val="508683CB"/>
    <w:rsid w:val="509E7B9D"/>
    <w:rsid w:val="509F78E3"/>
    <w:rsid w:val="50A105F1"/>
    <w:rsid w:val="50B84099"/>
    <w:rsid w:val="50BCD1DC"/>
    <w:rsid w:val="50C2792C"/>
    <w:rsid w:val="50CDDF4C"/>
    <w:rsid w:val="50D047C3"/>
    <w:rsid w:val="50D59E76"/>
    <w:rsid w:val="50DB064B"/>
    <w:rsid w:val="50DEA0DC"/>
    <w:rsid w:val="50E1998D"/>
    <w:rsid w:val="50E744E2"/>
    <w:rsid w:val="50E9AC94"/>
    <w:rsid w:val="50F7714C"/>
    <w:rsid w:val="510F254C"/>
    <w:rsid w:val="5115F9EF"/>
    <w:rsid w:val="511910FC"/>
    <w:rsid w:val="511D5F14"/>
    <w:rsid w:val="5128A633"/>
    <w:rsid w:val="5136FE71"/>
    <w:rsid w:val="514919CF"/>
    <w:rsid w:val="517EFDFE"/>
    <w:rsid w:val="51A1CFE0"/>
    <w:rsid w:val="51A38C09"/>
    <w:rsid w:val="51B1CDC7"/>
    <w:rsid w:val="51B5E7E8"/>
    <w:rsid w:val="51B6BFBA"/>
    <w:rsid w:val="51BB582D"/>
    <w:rsid w:val="51C102E0"/>
    <w:rsid w:val="51C70629"/>
    <w:rsid w:val="51CEC853"/>
    <w:rsid w:val="51D58A31"/>
    <w:rsid w:val="51D60760"/>
    <w:rsid w:val="51DA7FF1"/>
    <w:rsid w:val="51F10167"/>
    <w:rsid w:val="51F62AA8"/>
    <w:rsid w:val="5200B09B"/>
    <w:rsid w:val="520316F0"/>
    <w:rsid w:val="522197F2"/>
    <w:rsid w:val="5227D712"/>
    <w:rsid w:val="5239AB1C"/>
    <w:rsid w:val="523C83C3"/>
    <w:rsid w:val="52405324"/>
    <w:rsid w:val="52466C5C"/>
    <w:rsid w:val="524D20DF"/>
    <w:rsid w:val="524FDC91"/>
    <w:rsid w:val="52682003"/>
    <w:rsid w:val="527115C0"/>
    <w:rsid w:val="52787273"/>
    <w:rsid w:val="527B3E37"/>
    <w:rsid w:val="528A1ED6"/>
    <w:rsid w:val="528A75C3"/>
    <w:rsid w:val="528C0BCB"/>
    <w:rsid w:val="528F50F3"/>
    <w:rsid w:val="529056BE"/>
    <w:rsid w:val="52B3D578"/>
    <w:rsid w:val="52B4555E"/>
    <w:rsid w:val="52BA6C31"/>
    <w:rsid w:val="52C7E422"/>
    <w:rsid w:val="52CD09B1"/>
    <w:rsid w:val="52D88EE1"/>
    <w:rsid w:val="52DCB995"/>
    <w:rsid w:val="52E80D6B"/>
    <w:rsid w:val="52FEF717"/>
    <w:rsid w:val="530266F2"/>
    <w:rsid w:val="53049D73"/>
    <w:rsid w:val="530E19C4"/>
    <w:rsid w:val="531E549C"/>
    <w:rsid w:val="5328DDFF"/>
    <w:rsid w:val="532D3A32"/>
    <w:rsid w:val="534822CC"/>
    <w:rsid w:val="534E70E6"/>
    <w:rsid w:val="535FC71D"/>
    <w:rsid w:val="535FD88C"/>
    <w:rsid w:val="5365E7C4"/>
    <w:rsid w:val="53753D54"/>
    <w:rsid w:val="53887755"/>
    <w:rsid w:val="538C41FC"/>
    <w:rsid w:val="539B781E"/>
    <w:rsid w:val="539F76F0"/>
    <w:rsid w:val="53A26F7A"/>
    <w:rsid w:val="53A99659"/>
    <w:rsid w:val="53AE11BF"/>
    <w:rsid w:val="53B04468"/>
    <w:rsid w:val="53BC168E"/>
    <w:rsid w:val="53BFD6E6"/>
    <w:rsid w:val="53DD5941"/>
    <w:rsid w:val="53E8EEC8"/>
    <w:rsid w:val="53EE6CB7"/>
    <w:rsid w:val="54012FA5"/>
    <w:rsid w:val="542498CA"/>
    <w:rsid w:val="5428CAF3"/>
    <w:rsid w:val="543D35B7"/>
    <w:rsid w:val="5445C34F"/>
    <w:rsid w:val="544ACFE7"/>
    <w:rsid w:val="544F4F81"/>
    <w:rsid w:val="5455020E"/>
    <w:rsid w:val="5465DD1D"/>
    <w:rsid w:val="5466A9D6"/>
    <w:rsid w:val="5471DD53"/>
    <w:rsid w:val="54779AAF"/>
    <w:rsid w:val="5484FCD2"/>
    <w:rsid w:val="548D5585"/>
    <w:rsid w:val="548E8C55"/>
    <w:rsid w:val="54902A16"/>
    <w:rsid w:val="54A3AF35"/>
    <w:rsid w:val="54B99031"/>
    <w:rsid w:val="54BBD212"/>
    <w:rsid w:val="54BE2E8D"/>
    <w:rsid w:val="54C34D08"/>
    <w:rsid w:val="54C4E5B7"/>
    <w:rsid w:val="54CE1AD4"/>
    <w:rsid w:val="54D88DF4"/>
    <w:rsid w:val="54E52C70"/>
    <w:rsid w:val="54F79185"/>
    <w:rsid w:val="54FAB76B"/>
    <w:rsid w:val="551463A7"/>
    <w:rsid w:val="551BA64A"/>
    <w:rsid w:val="5530F2A2"/>
    <w:rsid w:val="553B3C08"/>
    <w:rsid w:val="555D646D"/>
    <w:rsid w:val="5585D7B5"/>
    <w:rsid w:val="558E338C"/>
    <w:rsid w:val="5591DA69"/>
    <w:rsid w:val="55965BE4"/>
    <w:rsid w:val="559D526B"/>
    <w:rsid w:val="55A58CBB"/>
    <w:rsid w:val="55A9E9FE"/>
    <w:rsid w:val="55C1129D"/>
    <w:rsid w:val="55C77D29"/>
    <w:rsid w:val="55D48969"/>
    <w:rsid w:val="55F4A758"/>
    <w:rsid w:val="55FADF65"/>
    <w:rsid w:val="55FE6315"/>
    <w:rsid w:val="561AF449"/>
    <w:rsid w:val="562568EE"/>
    <w:rsid w:val="562A1D5B"/>
    <w:rsid w:val="5632C6D6"/>
    <w:rsid w:val="563F8E78"/>
    <w:rsid w:val="564B63F8"/>
    <w:rsid w:val="564DD5B4"/>
    <w:rsid w:val="5652553C"/>
    <w:rsid w:val="5669BFAC"/>
    <w:rsid w:val="5677D499"/>
    <w:rsid w:val="5685872F"/>
    <w:rsid w:val="56A199CD"/>
    <w:rsid w:val="56A70BED"/>
    <w:rsid w:val="56B201BC"/>
    <w:rsid w:val="56B6D3D5"/>
    <w:rsid w:val="56C80A05"/>
    <w:rsid w:val="56CB630E"/>
    <w:rsid w:val="571F0FF7"/>
    <w:rsid w:val="5725808B"/>
    <w:rsid w:val="5730D049"/>
    <w:rsid w:val="574C72D4"/>
    <w:rsid w:val="57601506"/>
    <w:rsid w:val="57634405"/>
    <w:rsid w:val="5774841C"/>
    <w:rsid w:val="577C5BFB"/>
    <w:rsid w:val="578A6A5D"/>
    <w:rsid w:val="57A617B0"/>
    <w:rsid w:val="57BC7F22"/>
    <w:rsid w:val="57CB23BC"/>
    <w:rsid w:val="57D2A5A1"/>
    <w:rsid w:val="57DA2337"/>
    <w:rsid w:val="57F201E4"/>
    <w:rsid w:val="57F9611E"/>
    <w:rsid w:val="58046357"/>
    <w:rsid w:val="58142E02"/>
    <w:rsid w:val="582317FB"/>
    <w:rsid w:val="582C677F"/>
    <w:rsid w:val="582D41FB"/>
    <w:rsid w:val="583455E9"/>
    <w:rsid w:val="58486EE3"/>
    <w:rsid w:val="584D1E90"/>
    <w:rsid w:val="584F822B"/>
    <w:rsid w:val="5861D7F4"/>
    <w:rsid w:val="58636A5F"/>
    <w:rsid w:val="5873E32D"/>
    <w:rsid w:val="5889AAEA"/>
    <w:rsid w:val="5897D28F"/>
    <w:rsid w:val="589BCD28"/>
    <w:rsid w:val="58A887BE"/>
    <w:rsid w:val="58B7F4C0"/>
    <w:rsid w:val="58C52E12"/>
    <w:rsid w:val="58D634A1"/>
    <w:rsid w:val="58E61EE6"/>
    <w:rsid w:val="58F19DD3"/>
    <w:rsid w:val="5925C32A"/>
    <w:rsid w:val="59512F64"/>
    <w:rsid w:val="5952D4F2"/>
    <w:rsid w:val="597D93FA"/>
    <w:rsid w:val="5983236F"/>
    <w:rsid w:val="5989B72C"/>
    <w:rsid w:val="59927C78"/>
    <w:rsid w:val="5998A251"/>
    <w:rsid w:val="59A9DF64"/>
    <w:rsid w:val="59AD87EB"/>
    <w:rsid w:val="59BAF381"/>
    <w:rsid w:val="59C29E6F"/>
    <w:rsid w:val="59EA1BF4"/>
    <w:rsid w:val="5A5B11F8"/>
    <w:rsid w:val="5A76A341"/>
    <w:rsid w:val="5A7C21F0"/>
    <w:rsid w:val="5A833F0F"/>
    <w:rsid w:val="5A934231"/>
    <w:rsid w:val="5A96A4D5"/>
    <w:rsid w:val="5A98CBFF"/>
    <w:rsid w:val="5AA5BE44"/>
    <w:rsid w:val="5AB0095F"/>
    <w:rsid w:val="5ABC8DBC"/>
    <w:rsid w:val="5AC507EF"/>
    <w:rsid w:val="5ACF3197"/>
    <w:rsid w:val="5AD904D3"/>
    <w:rsid w:val="5AF0DA34"/>
    <w:rsid w:val="5AF191F5"/>
    <w:rsid w:val="5AFA2E59"/>
    <w:rsid w:val="5AFBCC1B"/>
    <w:rsid w:val="5B1C9B9D"/>
    <w:rsid w:val="5B2A1138"/>
    <w:rsid w:val="5B38C841"/>
    <w:rsid w:val="5B503123"/>
    <w:rsid w:val="5B52489B"/>
    <w:rsid w:val="5B5B316F"/>
    <w:rsid w:val="5B67D5CB"/>
    <w:rsid w:val="5B6E082D"/>
    <w:rsid w:val="5B7A173B"/>
    <w:rsid w:val="5B87C41A"/>
    <w:rsid w:val="5B94B9EA"/>
    <w:rsid w:val="5B95874A"/>
    <w:rsid w:val="5B98B38E"/>
    <w:rsid w:val="5B9A471C"/>
    <w:rsid w:val="5BBC6D22"/>
    <w:rsid w:val="5BBF9A8B"/>
    <w:rsid w:val="5BC55C98"/>
    <w:rsid w:val="5BD3DBC4"/>
    <w:rsid w:val="5BDF4A5E"/>
    <w:rsid w:val="5C3194BD"/>
    <w:rsid w:val="5C4E4931"/>
    <w:rsid w:val="5C4F30C1"/>
    <w:rsid w:val="5C599115"/>
    <w:rsid w:val="5C646C3A"/>
    <w:rsid w:val="5C803F4A"/>
    <w:rsid w:val="5C8E5A51"/>
    <w:rsid w:val="5C9DDF97"/>
    <w:rsid w:val="5CA76DBA"/>
    <w:rsid w:val="5CBBE6D4"/>
    <w:rsid w:val="5CBEE009"/>
    <w:rsid w:val="5CC5AEE8"/>
    <w:rsid w:val="5CD78580"/>
    <w:rsid w:val="5CDAB11B"/>
    <w:rsid w:val="5CDF976C"/>
    <w:rsid w:val="5CE3848B"/>
    <w:rsid w:val="5CED9202"/>
    <w:rsid w:val="5CF10FA1"/>
    <w:rsid w:val="5CF25F2D"/>
    <w:rsid w:val="5CF57422"/>
    <w:rsid w:val="5D08E714"/>
    <w:rsid w:val="5D13C69E"/>
    <w:rsid w:val="5D204DD9"/>
    <w:rsid w:val="5D28CA3D"/>
    <w:rsid w:val="5D3E8172"/>
    <w:rsid w:val="5D4F2007"/>
    <w:rsid w:val="5D4FC607"/>
    <w:rsid w:val="5D5B2D20"/>
    <w:rsid w:val="5D5BC4CF"/>
    <w:rsid w:val="5D5DA027"/>
    <w:rsid w:val="5D61F891"/>
    <w:rsid w:val="5D733823"/>
    <w:rsid w:val="5D754D3E"/>
    <w:rsid w:val="5D8366A2"/>
    <w:rsid w:val="5D877F0B"/>
    <w:rsid w:val="5D8C61DE"/>
    <w:rsid w:val="5D929096"/>
    <w:rsid w:val="5D9D4E9E"/>
    <w:rsid w:val="5DA532E6"/>
    <w:rsid w:val="5DA6EB2F"/>
    <w:rsid w:val="5DC5E343"/>
    <w:rsid w:val="5DF59E03"/>
    <w:rsid w:val="5DFAAFBB"/>
    <w:rsid w:val="5DFDD096"/>
    <w:rsid w:val="5E1488D6"/>
    <w:rsid w:val="5E1B8148"/>
    <w:rsid w:val="5E1CB804"/>
    <w:rsid w:val="5E353472"/>
    <w:rsid w:val="5E6D887E"/>
    <w:rsid w:val="5E6E87DB"/>
    <w:rsid w:val="5E893FE4"/>
    <w:rsid w:val="5E922AE0"/>
    <w:rsid w:val="5E96BBFB"/>
    <w:rsid w:val="5E9C86F9"/>
    <w:rsid w:val="5EAE0C70"/>
    <w:rsid w:val="5EBA4CF9"/>
    <w:rsid w:val="5ED15135"/>
    <w:rsid w:val="5EED5ACE"/>
    <w:rsid w:val="5EF1B99D"/>
    <w:rsid w:val="5EF75A70"/>
    <w:rsid w:val="5EF94F11"/>
    <w:rsid w:val="5EFACB8D"/>
    <w:rsid w:val="5F063B29"/>
    <w:rsid w:val="5F2619A9"/>
    <w:rsid w:val="5F4BB7ED"/>
    <w:rsid w:val="5F558224"/>
    <w:rsid w:val="5F6EBAFD"/>
    <w:rsid w:val="5F7E959C"/>
    <w:rsid w:val="5F8A72CB"/>
    <w:rsid w:val="5F8B20C4"/>
    <w:rsid w:val="5F9F50C5"/>
    <w:rsid w:val="5FAA00FD"/>
    <w:rsid w:val="5FBB843F"/>
    <w:rsid w:val="5FC0F45A"/>
    <w:rsid w:val="5FC34C0F"/>
    <w:rsid w:val="5FC92403"/>
    <w:rsid w:val="5FDE9A9D"/>
    <w:rsid w:val="601F0E0C"/>
    <w:rsid w:val="6038A642"/>
    <w:rsid w:val="6088C552"/>
    <w:rsid w:val="6092F2FC"/>
    <w:rsid w:val="6096E016"/>
    <w:rsid w:val="609905B9"/>
    <w:rsid w:val="609D0070"/>
    <w:rsid w:val="60A19445"/>
    <w:rsid w:val="60A4CA79"/>
    <w:rsid w:val="60B4F7FD"/>
    <w:rsid w:val="60B72A9B"/>
    <w:rsid w:val="60BF1314"/>
    <w:rsid w:val="60C5C5E6"/>
    <w:rsid w:val="60D780FA"/>
    <w:rsid w:val="60FD154E"/>
    <w:rsid w:val="60FDCAD7"/>
    <w:rsid w:val="6110656A"/>
    <w:rsid w:val="61194928"/>
    <w:rsid w:val="612114C7"/>
    <w:rsid w:val="612DB788"/>
    <w:rsid w:val="6130864E"/>
    <w:rsid w:val="6144D05F"/>
    <w:rsid w:val="614E32EE"/>
    <w:rsid w:val="61555B5D"/>
    <w:rsid w:val="615C71C7"/>
    <w:rsid w:val="61653806"/>
    <w:rsid w:val="616E23A8"/>
    <w:rsid w:val="6191E591"/>
    <w:rsid w:val="6197BED6"/>
    <w:rsid w:val="61A4D499"/>
    <w:rsid w:val="61B048BD"/>
    <w:rsid w:val="61B55F42"/>
    <w:rsid w:val="61C87B57"/>
    <w:rsid w:val="61CF6453"/>
    <w:rsid w:val="61E50C99"/>
    <w:rsid w:val="61F0DC8B"/>
    <w:rsid w:val="6200553F"/>
    <w:rsid w:val="62063E37"/>
    <w:rsid w:val="622A765F"/>
    <w:rsid w:val="6231FC79"/>
    <w:rsid w:val="6253E151"/>
    <w:rsid w:val="6270C560"/>
    <w:rsid w:val="627A1932"/>
    <w:rsid w:val="62801952"/>
    <w:rsid w:val="6284FB93"/>
    <w:rsid w:val="6293E20B"/>
    <w:rsid w:val="62C392EB"/>
    <w:rsid w:val="62D20389"/>
    <w:rsid w:val="62D87A55"/>
    <w:rsid w:val="62E1B762"/>
    <w:rsid w:val="62E26E2A"/>
    <w:rsid w:val="62EDB937"/>
    <w:rsid w:val="62FD0B2B"/>
    <w:rsid w:val="63010CB1"/>
    <w:rsid w:val="63035AE6"/>
    <w:rsid w:val="63038FC9"/>
    <w:rsid w:val="63058853"/>
    <w:rsid w:val="631179C0"/>
    <w:rsid w:val="6330427B"/>
    <w:rsid w:val="633F23F8"/>
    <w:rsid w:val="634B95AA"/>
    <w:rsid w:val="634DC854"/>
    <w:rsid w:val="634F5665"/>
    <w:rsid w:val="6358C9BE"/>
    <w:rsid w:val="63715F87"/>
    <w:rsid w:val="637B3335"/>
    <w:rsid w:val="63987936"/>
    <w:rsid w:val="63A7A1A8"/>
    <w:rsid w:val="63DA6627"/>
    <w:rsid w:val="63EDEF71"/>
    <w:rsid w:val="63FA29B5"/>
    <w:rsid w:val="64046899"/>
    <w:rsid w:val="640B299F"/>
    <w:rsid w:val="6422E275"/>
    <w:rsid w:val="64284A86"/>
    <w:rsid w:val="6435D219"/>
    <w:rsid w:val="6443DDAE"/>
    <w:rsid w:val="645E1E36"/>
    <w:rsid w:val="6462C1B5"/>
    <w:rsid w:val="6472B184"/>
    <w:rsid w:val="64756891"/>
    <w:rsid w:val="6481F882"/>
    <w:rsid w:val="64900EDD"/>
    <w:rsid w:val="64920B5C"/>
    <w:rsid w:val="6492D5EF"/>
    <w:rsid w:val="649A8E74"/>
    <w:rsid w:val="649BA101"/>
    <w:rsid w:val="64D495A7"/>
    <w:rsid w:val="64D94915"/>
    <w:rsid w:val="64DE2054"/>
    <w:rsid w:val="64FF13B8"/>
    <w:rsid w:val="65052524"/>
    <w:rsid w:val="6513D602"/>
    <w:rsid w:val="6534C0A3"/>
    <w:rsid w:val="65366B6E"/>
    <w:rsid w:val="6545596C"/>
    <w:rsid w:val="65642692"/>
    <w:rsid w:val="65B1C624"/>
    <w:rsid w:val="65BE17A6"/>
    <w:rsid w:val="65C10858"/>
    <w:rsid w:val="65C4C8C4"/>
    <w:rsid w:val="65CA7A21"/>
    <w:rsid w:val="65CB21FA"/>
    <w:rsid w:val="65CB6BA5"/>
    <w:rsid w:val="65D2A480"/>
    <w:rsid w:val="65DEF801"/>
    <w:rsid w:val="65DFD72A"/>
    <w:rsid w:val="65E266C6"/>
    <w:rsid w:val="65E56E1E"/>
    <w:rsid w:val="65EB1166"/>
    <w:rsid w:val="65EE6C37"/>
    <w:rsid w:val="65F7B656"/>
    <w:rsid w:val="65FC352A"/>
    <w:rsid w:val="65FDD4C2"/>
    <w:rsid w:val="6604342A"/>
    <w:rsid w:val="6635401B"/>
    <w:rsid w:val="664C799D"/>
    <w:rsid w:val="6655B902"/>
    <w:rsid w:val="66624AFF"/>
    <w:rsid w:val="66662DFD"/>
    <w:rsid w:val="6686AE14"/>
    <w:rsid w:val="668B1233"/>
    <w:rsid w:val="66934057"/>
    <w:rsid w:val="669EA70B"/>
    <w:rsid w:val="66A10776"/>
    <w:rsid w:val="66F5E29F"/>
    <w:rsid w:val="670A0007"/>
    <w:rsid w:val="672E8FBF"/>
    <w:rsid w:val="672ED4E4"/>
    <w:rsid w:val="67379689"/>
    <w:rsid w:val="674417F8"/>
    <w:rsid w:val="6744D918"/>
    <w:rsid w:val="6763DE42"/>
    <w:rsid w:val="67657787"/>
    <w:rsid w:val="67685C9A"/>
    <w:rsid w:val="67692A92"/>
    <w:rsid w:val="6773CB2F"/>
    <w:rsid w:val="678F14AC"/>
    <w:rsid w:val="679D2047"/>
    <w:rsid w:val="67A1AD12"/>
    <w:rsid w:val="67CF2CE4"/>
    <w:rsid w:val="67DB6B8B"/>
    <w:rsid w:val="67DC9712"/>
    <w:rsid w:val="67FEA20F"/>
    <w:rsid w:val="680DCC44"/>
    <w:rsid w:val="6812C336"/>
    <w:rsid w:val="682F8748"/>
    <w:rsid w:val="6847206F"/>
    <w:rsid w:val="68488D6F"/>
    <w:rsid w:val="68539CCC"/>
    <w:rsid w:val="68637735"/>
    <w:rsid w:val="6865C7BC"/>
    <w:rsid w:val="6874C480"/>
    <w:rsid w:val="687A33B2"/>
    <w:rsid w:val="688CD839"/>
    <w:rsid w:val="6890D314"/>
    <w:rsid w:val="689AC038"/>
    <w:rsid w:val="68A40B9E"/>
    <w:rsid w:val="68B38C2B"/>
    <w:rsid w:val="68D837C5"/>
    <w:rsid w:val="68DDC126"/>
    <w:rsid w:val="68F3966E"/>
    <w:rsid w:val="69140BB3"/>
    <w:rsid w:val="69223316"/>
    <w:rsid w:val="692E0E23"/>
    <w:rsid w:val="69340A3C"/>
    <w:rsid w:val="6937052F"/>
    <w:rsid w:val="693A0F4C"/>
    <w:rsid w:val="694252D5"/>
    <w:rsid w:val="69465251"/>
    <w:rsid w:val="697EF651"/>
    <w:rsid w:val="698EC582"/>
    <w:rsid w:val="699BF7BE"/>
    <w:rsid w:val="69A1D5E5"/>
    <w:rsid w:val="69A2B8E4"/>
    <w:rsid w:val="69B51CD2"/>
    <w:rsid w:val="69EE6AEC"/>
    <w:rsid w:val="69F66C7C"/>
    <w:rsid w:val="69FFE40E"/>
    <w:rsid w:val="6A00AC0E"/>
    <w:rsid w:val="6A00F369"/>
    <w:rsid w:val="6A01D803"/>
    <w:rsid w:val="6A0F8FD8"/>
    <w:rsid w:val="6A107E3D"/>
    <w:rsid w:val="6A16C69C"/>
    <w:rsid w:val="6A17CA46"/>
    <w:rsid w:val="6A2D0E2E"/>
    <w:rsid w:val="6A32049B"/>
    <w:rsid w:val="6A463C57"/>
    <w:rsid w:val="6A4CA081"/>
    <w:rsid w:val="6A50340C"/>
    <w:rsid w:val="6A58761B"/>
    <w:rsid w:val="6A5D22F5"/>
    <w:rsid w:val="6A6A63F3"/>
    <w:rsid w:val="6A6CDED2"/>
    <w:rsid w:val="6A7AA75D"/>
    <w:rsid w:val="6A7F7960"/>
    <w:rsid w:val="6A8FAD75"/>
    <w:rsid w:val="6A8FE4D5"/>
    <w:rsid w:val="6A90EF08"/>
    <w:rsid w:val="6AA2BE7E"/>
    <w:rsid w:val="6AA89C56"/>
    <w:rsid w:val="6AAC797B"/>
    <w:rsid w:val="6ACCD0DF"/>
    <w:rsid w:val="6AF5AF5B"/>
    <w:rsid w:val="6B055D79"/>
    <w:rsid w:val="6B0EB804"/>
    <w:rsid w:val="6B118A8C"/>
    <w:rsid w:val="6B1286D6"/>
    <w:rsid w:val="6B451407"/>
    <w:rsid w:val="6B4AC4B9"/>
    <w:rsid w:val="6B527979"/>
    <w:rsid w:val="6B6BA54A"/>
    <w:rsid w:val="6B75D4AE"/>
    <w:rsid w:val="6B7AEBB9"/>
    <w:rsid w:val="6B8D4216"/>
    <w:rsid w:val="6BB43567"/>
    <w:rsid w:val="6BC9A739"/>
    <w:rsid w:val="6BCDA3DD"/>
    <w:rsid w:val="6BD7D246"/>
    <w:rsid w:val="6BDED016"/>
    <w:rsid w:val="6BE771B9"/>
    <w:rsid w:val="6BFFA23A"/>
    <w:rsid w:val="6C1235BF"/>
    <w:rsid w:val="6C164357"/>
    <w:rsid w:val="6C1BA512"/>
    <w:rsid w:val="6C388639"/>
    <w:rsid w:val="6C459CA1"/>
    <w:rsid w:val="6CAEB697"/>
    <w:rsid w:val="6CAFC782"/>
    <w:rsid w:val="6CD0DE24"/>
    <w:rsid w:val="6CEB94E4"/>
    <w:rsid w:val="6CEBF412"/>
    <w:rsid w:val="6CF02166"/>
    <w:rsid w:val="6CF26054"/>
    <w:rsid w:val="6CFAE3A6"/>
    <w:rsid w:val="6D1712D5"/>
    <w:rsid w:val="6D4490E4"/>
    <w:rsid w:val="6D449412"/>
    <w:rsid w:val="6D466EF7"/>
    <w:rsid w:val="6D4F7749"/>
    <w:rsid w:val="6D5451A1"/>
    <w:rsid w:val="6D7C0F90"/>
    <w:rsid w:val="6D852B80"/>
    <w:rsid w:val="6D8637C6"/>
    <w:rsid w:val="6DB27F8C"/>
    <w:rsid w:val="6DB640B3"/>
    <w:rsid w:val="6DB990CD"/>
    <w:rsid w:val="6DDA5804"/>
    <w:rsid w:val="6DE70801"/>
    <w:rsid w:val="6DEAB220"/>
    <w:rsid w:val="6DFC126C"/>
    <w:rsid w:val="6E04998F"/>
    <w:rsid w:val="6E0C6FD1"/>
    <w:rsid w:val="6E21E594"/>
    <w:rsid w:val="6E25C901"/>
    <w:rsid w:val="6E2740EF"/>
    <w:rsid w:val="6E3F3A9B"/>
    <w:rsid w:val="6E4C8251"/>
    <w:rsid w:val="6E54C9B3"/>
    <w:rsid w:val="6E7577FB"/>
    <w:rsid w:val="6E7630A4"/>
    <w:rsid w:val="6E82425C"/>
    <w:rsid w:val="6E978316"/>
    <w:rsid w:val="6EA68EB0"/>
    <w:rsid w:val="6EA851E3"/>
    <w:rsid w:val="6EA85A8F"/>
    <w:rsid w:val="6EAC8C0C"/>
    <w:rsid w:val="6EB71925"/>
    <w:rsid w:val="6EB86945"/>
    <w:rsid w:val="6EBBCA30"/>
    <w:rsid w:val="6EBC9785"/>
    <w:rsid w:val="6EBCDCF8"/>
    <w:rsid w:val="6EBD119B"/>
    <w:rsid w:val="6EC3BD51"/>
    <w:rsid w:val="6ED8E875"/>
    <w:rsid w:val="6EE01565"/>
    <w:rsid w:val="6EF77A1A"/>
    <w:rsid w:val="6F00451E"/>
    <w:rsid w:val="6F0CB0B8"/>
    <w:rsid w:val="6F18CB9A"/>
    <w:rsid w:val="6F23FAE6"/>
    <w:rsid w:val="6F2439B1"/>
    <w:rsid w:val="6F34D19E"/>
    <w:rsid w:val="6F39EFAB"/>
    <w:rsid w:val="6F3A2907"/>
    <w:rsid w:val="6F3C9E6B"/>
    <w:rsid w:val="6F41DD73"/>
    <w:rsid w:val="6F50A399"/>
    <w:rsid w:val="6F69C05F"/>
    <w:rsid w:val="6F749114"/>
    <w:rsid w:val="6F7FC9FA"/>
    <w:rsid w:val="6F83062B"/>
    <w:rsid w:val="6F8F5D58"/>
    <w:rsid w:val="6F951AE7"/>
    <w:rsid w:val="6FB8CFF8"/>
    <w:rsid w:val="6FBB7EC7"/>
    <w:rsid w:val="6FCFB78E"/>
    <w:rsid w:val="6FD80FD2"/>
    <w:rsid w:val="6FDB6D64"/>
    <w:rsid w:val="6FE06EA7"/>
    <w:rsid w:val="6FE9E2DE"/>
    <w:rsid w:val="7002EA8F"/>
    <w:rsid w:val="700E9F41"/>
    <w:rsid w:val="7028A557"/>
    <w:rsid w:val="7028FD3A"/>
    <w:rsid w:val="7039AF85"/>
    <w:rsid w:val="70416516"/>
    <w:rsid w:val="7045638C"/>
    <w:rsid w:val="704C9878"/>
    <w:rsid w:val="70608050"/>
    <w:rsid w:val="7064A980"/>
    <w:rsid w:val="7070DB9D"/>
    <w:rsid w:val="70762A7A"/>
    <w:rsid w:val="70897AA1"/>
    <w:rsid w:val="70A16D7A"/>
    <w:rsid w:val="70A8FAA2"/>
    <w:rsid w:val="70BFCE8D"/>
    <w:rsid w:val="70C58329"/>
    <w:rsid w:val="70C780DD"/>
    <w:rsid w:val="70CC724B"/>
    <w:rsid w:val="70F73866"/>
    <w:rsid w:val="70F7A521"/>
    <w:rsid w:val="71003A0D"/>
    <w:rsid w:val="711D1166"/>
    <w:rsid w:val="713E9360"/>
    <w:rsid w:val="71426C14"/>
    <w:rsid w:val="714BE2A5"/>
    <w:rsid w:val="714C43D4"/>
    <w:rsid w:val="714D6C6B"/>
    <w:rsid w:val="714E186D"/>
    <w:rsid w:val="7151CB69"/>
    <w:rsid w:val="71524261"/>
    <w:rsid w:val="71570B9A"/>
    <w:rsid w:val="7160B076"/>
    <w:rsid w:val="716B0271"/>
    <w:rsid w:val="716FD3DB"/>
    <w:rsid w:val="71700FDB"/>
    <w:rsid w:val="7174EAC8"/>
    <w:rsid w:val="7177FCF4"/>
    <w:rsid w:val="7188D548"/>
    <w:rsid w:val="719B0345"/>
    <w:rsid w:val="71A7B09B"/>
    <w:rsid w:val="71A7D8C6"/>
    <w:rsid w:val="71B7D72F"/>
    <w:rsid w:val="71C6FFA5"/>
    <w:rsid w:val="71D81067"/>
    <w:rsid w:val="71EF0DF8"/>
    <w:rsid w:val="71F96993"/>
    <w:rsid w:val="71FCDB12"/>
    <w:rsid w:val="7205CFB5"/>
    <w:rsid w:val="72117237"/>
    <w:rsid w:val="722E64B5"/>
    <w:rsid w:val="723300D7"/>
    <w:rsid w:val="7233214A"/>
    <w:rsid w:val="723884A3"/>
    <w:rsid w:val="7241DBC2"/>
    <w:rsid w:val="72508E2A"/>
    <w:rsid w:val="7255E096"/>
    <w:rsid w:val="7263C850"/>
    <w:rsid w:val="729644EF"/>
    <w:rsid w:val="729A228D"/>
    <w:rsid w:val="729C3AC0"/>
    <w:rsid w:val="72CEAB6B"/>
    <w:rsid w:val="72CECB33"/>
    <w:rsid w:val="72E15699"/>
    <w:rsid w:val="72F7453E"/>
    <w:rsid w:val="73093853"/>
    <w:rsid w:val="73137951"/>
    <w:rsid w:val="7316EE37"/>
    <w:rsid w:val="732FCDB9"/>
    <w:rsid w:val="73370E94"/>
    <w:rsid w:val="73410BED"/>
    <w:rsid w:val="7352F318"/>
    <w:rsid w:val="736C3A18"/>
    <w:rsid w:val="73778D6B"/>
    <w:rsid w:val="737D8BBB"/>
    <w:rsid w:val="738E8890"/>
    <w:rsid w:val="73997556"/>
    <w:rsid w:val="739AC0FB"/>
    <w:rsid w:val="73A7220B"/>
    <w:rsid w:val="73A7795B"/>
    <w:rsid w:val="73B86894"/>
    <w:rsid w:val="73C1768F"/>
    <w:rsid w:val="73D01593"/>
    <w:rsid w:val="73D27F9E"/>
    <w:rsid w:val="73E3D613"/>
    <w:rsid w:val="73E74C2F"/>
    <w:rsid w:val="73EA29B7"/>
    <w:rsid w:val="73FA4C2C"/>
    <w:rsid w:val="7402FBA9"/>
    <w:rsid w:val="7409D3C0"/>
    <w:rsid w:val="741E1FFE"/>
    <w:rsid w:val="7425B289"/>
    <w:rsid w:val="743112F3"/>
    <w:rsid w:val="743ACC31"/>
    <w:rsid w:val="744D68C8"/>
    <w:rsid w:val="7461A13A"/>
    <w:rsid w:val="74620FB3"/>
    <w:rsid w:val="7467B6B5"/>
    <w:rsid w:val="747375A0"/>
    <w:rsid w:val="7475AFD4"/>
    <w:rsid w:val="747E9E81"/>
    <w:rsid w:val="7486E779"/>
    <w:rsid w:val="748D7874"/>
    <w:rsid w:val="74A05681"/>
    <w:rsid w:val="74B5CB4D"/>
    <w:rsid w:val="74C24B39"/>
    <w:rsid w:val="74D4EA9B"/>
    <w:rsid w:val="74DAD120"/>
    <w:rsid w:val="74E01163"/>
    <w:rsid w:val="75036AD2"/>
    <w:rsid w:val="7504F933"/>
    <w:rsid w:val="7505AA95"/>
    <w:rsid w:val="75290250"/>
    <w:rsid w:val="75359705"/>
    <w:rsid w:val="7535EBAB"/>
    <w:rsid w:val="753EB7DA"/>
    <w:rsid w:val="75456B9A"/>
    <w:rsid w:val="7553AC22"/>
    <w:rsid w:val="75576626"/>
    <w:rsid w:val="755ED2FF"/>
    <w:rsid w:val="755F3B40"/>
    <w:rsid w:val="756A616E"/>
    <w:rsid w:val="756C2ED3"/>
    <w:rsid w:val="757B4837"/>
    <w:rsid w:val="7597C690"/>
    <w:rsid w:val="75B451EC"/>
    <w:rsid w:val="75C6BE98"/>
    <w:rsid w:val="75E58012"/>
    <w:rsid w:val="7613C6E1"/>
    <w:rsid w:val="76156DF5"/>
    <w:rsid w:val="761C7437"/>
    <w:rsid w:val="763F5862"/>
    <w:rsid w:val="7663AFA9"/>
    <w:rsid w:val="766B4CA5"/>
    <w:rsid w:val="76712F43"/>
    <w:rsid w:val="7673E064"/>
    <w:rsid w:val="76777D7C"/>
    <w:rsid w:val="76A59B23"/>
    <w:rsid w:val="76A8DBC1"/>
    <w:rsid w:val="76C89905"/>
    <w:rsid w:val="76D0042B"/>
    <w:rsid w:val="76D2CB46"/>
    <w:rsid w:val="772BBF67"/>
    <w:rsid w:val="7736749C"/>
    <w:rsid w:val="7742660A"/>
    <w:rsid w:val="7743EB33"/>
    <w:rsid w:val="774DEFEE"/>
    <w:rsid w:val="775F0320"/>
    <w:rsid w:val="77B06929"/>
    <w:rsid w:val="77BD1FF3"/>
    <w:rsid w:val="77D0608B"/>
    <w:rsid w:val="77D4F1F3"/>
    <w:rsid w:val="77D99ADC"/>
    <w:rsid w:val="77DDB143"/>
    <w:rsid w:val="78107D7D"/>
    <w:rsid w:val="78424A7D"/>
    <w:rsid w:val="784CDB3C"/>
    <w:rsid w:val="7851C3E5"/>
    <w:rsid w:val="785B4D88"/>
    <w:rsid w:val="7864A62C"/>
    <w:rsid w:val="78729E5F"/>
    <w:rsid w:val="7892226C"/>
    <w:rsid w:val="78AFE4B4"/>
    <w:rsid w:val="78B1FABD"/>
    <w:rsid w:val="78C7985F"/>
    <w:rsid w:val="78CED104"/>
    <w:rsid w:val="78D16602"/>
    <w:rsid w:val="78D60523"/>
    <w:rsid w:val="78DCDC20"/>
    <w:rsid w:val="78E030CA"/>
    <w:rsid w:val="78E9268C"/>
    <w:rsid w:val="78EE26D5"/>
    <w:rsid w:val="78F3E434"/>
    <w:rsid w:val="78FF3FD9"/>
    <w:rsid w:val="7900E01E"/>
    <w:rsid w:val="79099E8C"/>
    <w:rsid w:val="790A8AA2"/>
    <w:rsid w:val="79184A47"/>
    <w:rsid w:val="7921A086"/>
    <w:rsid w:val="79224D16"/>
    <w:rsid w:val="793620EE"/>
    <w:rsid w:val="79438704"/>
    <w:rsid w:val="795B90F9"/>
    <w:rsid w:val="796A718F"/>
    <w:rsid w:val="796E24E0"/>
    <w:rsid w:val="797AE852"/>
    <w:rsid w:val="797E94DC"/>
    <w:rsid w:val="79875156"/>
    <w:rsid w:val="799FB09F"/>
    <w:rsid w:val="79A19794"/>
    <w:rsid w:val="79BA6ED2"/>
    <w:rsid w:val="79BB66D0"/>
    <w:rsid w:val="79C80368"/>
    <w:rsid w:val="79FCB516"/>
    <w:rsid w:val="7A0FFBCD"/>
    <w:rsid w:val="7A190012"/>
    <w:rsid w:val="7A259165"/>
    <w:rsid w:val="7A268230"/>
    <w:rsid w:val="7A38E001"/>
    <w:rsid w:val="7A4841DD"/>
    <w:rsid w:val="7A4FC9F4"/>
    <w:rsid w:val="7A57FC5C"/>
    <w:rsid w:val="7A6D4A07"/>
    <w:rsid w:val="7A7E6E16"/>
    <w:rsid w:val="7A84E556"/>
    <w:rsid w:val="7A889C69"/>
    <w:rsid w:val="7A9B91AE"/>
    <w:rsid w:val="7AE7629C"/>
    <w:rsid w:val="7AFF2F62"/>
    <w:rsid w:val="7B001A27"/>
    <w:rsid w:val="7B0F44B4"/>
    <w:rsid w:val="7B1BE924"/>
    <w:rsid w:val="7B255082"/>
    <w:rsid w:val="7B264F0F"/>
    <w:rsid w:val="7B379500"/>
    <w:rsid w:val="7B3CA078"/>
    <w:rsid w:val="7B41CF31"/>
    <w:rsid w:val="7B487065"/>
    <w:rsid w:val="7B61825A"/>
    <w:rsid w:val="7B6C8007"/>
    <w:rsid w:val="7B7019E9"/>
    <w:rsid w:val="7B7CB557"/>
    <w:rsid w:val="7B82D685"/>
    <w:rsid w:val="7B9119D2"/>
    <w:rsid w:val="7BA6069E"/>
    <w:rsid w:val="7BAB3938"/>
    <w:rsid w:val="7BCA576F"/>
    <w:rsid w:val="7BCD2B2E"/>
    <w:rsid w:val="7BCF82B4"/>
    <w:rsid w:val="7BF0AFDC"/>
    <w:rsid w:val="7C0665AE"/>
    <w:rsid w:val="7C078542"/>
    <w:rsid w:val="7C212561"/>
    <w:rsid w:val="7C2BBA31"/>
    <w:rsid w:val="7C35052D"/>
    <w:rsid w:val="7C35CCE9"/>
    <w:rsid w:val="7C46309B"/>
    <w:rsid w:val="7C58ADA6"/>
    <w:rsid w:val="7C5B6083"/>
    <w:rsid w:val="7C69F2CA"/>
    <w:rsid w:val="7C6BF129"/>
    <w:rsid w:val="7C87178B"/>
    <w:rsid w:val="7C886B73"/>
    <w:rsid w:val="7C8CF43A"/>
    <w:rsid w:val="7C96CA14"/>
    <w:rsid w:val="7CA8685A"/>
    <w:rsid w:val="7CBB5038"/>
    <w:rsid w:val="7CBC0A90"/>
    <w:rsid w:val="7CBF7E56"/>
    <w:rsid w:val="7CCD349C"/>
    <w:rsid w:val="7CD7A2A0"/>
    <w:rsid w:val="7CE67266"/>
    <w:rsid w:val="7D1C73EE"/>
    <w:rsid w:val="7D25AB2A"/>
    <w:rsid w:val="7D29B4F0"/>
    <w:rsid w:val="7D4330B5"/>
    <w:rsid w:val="7D4B348F"/>
    <w:rsid w:val="7D54E8CC"/>
    <w:rsid w:val="7D6BD267"/>
    <w:rsid w:val="7D845586"/>
    <w:rsid w:val="7D9D1298"/>
    <w:rsid w:val="7DA47B44"/>
    <w:rsid w:val="7DAB18B7"/>
    <w:rsid w:val="7DABD1DB"/>
    <w:rsid w:val="7DB00B8C"/>
    <w:rsid w:val="7DBBBE5A"/>
    <w:rsid w:val="7DDB3568"/>
    <w:rsid w:val="7DE273F6"/>
    <w:rsid w:val="7DEAEDAE"/>
    <w:rsid w:val="7DFF3BEF"/>
    <w:rsid w:val="7E0805BD"/>
    <w:rsid w:val="7E0D2CDE"/>
    <w:rsid w:val="7E1B731B"/>
    <w:rsid w:val="7E2347AC"/>
    <w:rsid w:val="7E2A7BFD"/>
    <w:rsid w:val="7E31EBD1"/>
    <w:rsid w:val="7E3DC586"/>
    <w:rsid w:val="7E50F3BB"/>
    <w:rsid w:val="7E572E04"/>
    <w:rsid w:val="7E5C381A"/>
    <w:rsid w:val="7E5DBEF8"/>
    <w:rsid w:val="7E671FC7"/>
    <w:rsid w:val="7E713EB3"/>
    <w:rsid w:val="7EBD9852"/>
    <w:rsid w:val="7EC375D5"/>
    <w:rsid w:val="7EC3F801"/>
    <w:rsid w:val="7EC705DF"/>
    <w:rsid w:val="7EEEEBB1"/>
    <w:rsid w:val="7EF09706"/>
    <w:rsid w:val="7EFC7089"/>
    <w:rsid w:val="7EFDADA0"/>
    <w:rsid w:val="7F04A8D5"/>
    <w:rsid w:val="7F0907E2"/>
    <w:rsid w:val="7F11B8C7"/>
    <w:rsid w:val="7F15DB78"/>
    <w:rsid w:val="7F1D19AD"/>
    <w:rsid w:val="7F2025EE"/>
    <w:rsid w:val="7F218B31"/>
    <w:rsid w:val="7F2AA449"/>
    <w:rsid w:val="7F2BA581"/>
    <w:rsid w:val="7F339A22"/>
    <w:rsid w:val="7F35D9D5"/>
    <w:rsid w:val="7F381D93"/>
    <w:rsid w:val="7F3A831B"/>
    <w:rsid w:val="7F424D8C"/>
    <w:rsid w:val="7F43A1C2"/>
    <w:rsid w:val="7F4F3DA9"/>
    <w:rsid w:val="7F4FCFF3"/>
    <w:rsid w:val="7F54FF3D"/>
    <w:rsid w:val="7F5EA86C"/>
    <w:rsid w:val="7F7AD095"/>
    <w:rsid w:val="7F7DD1B3"/>
    <w:rsid w:val="7FA2515A"/>
    <w:rsid w:val="7FAE8A56"/>
    <w:rsid w:val="7FB4A076"/>
    <w:rsid w:val="7FBFE264"/>
    <w:rsid w:val="7FC8A8D4"/>
    <w:rsid w:val="7FD73BFB"/>
    <w:rsid w:val="7FF07E4D"/>
    <w:rsid w:val="7FF112BA"/>
    <w:rsid w:val="7FF20AF9"/>
    <w:rsid w:val="7FFB5EC7"/>
    <w:rsid w:val="7FFE641C"/>
  </w:rsids>
  <m:mathPr>
    <m:mathFont m:val="Cambria Math"/>
  </m:mathPr>
  <w:themeFontLang w:val="it-IT" w:eastAsia="ja-JP" w:bidi="ar-SA"/>
  <w:clrSchemeMapping w:bg1="light1" w:t1="dark1" w:bg2="light2" w:t2="dark2" w:accent1="accent1" w:accent2="accent2" w:accent3="accent3" w:accent4="accent4" w:accent5="accent5" w:accent6="accent6" w:hyperlink="hyperlink" w:followedHyperlink="followedHyperlink"/>
  <w14:docId w14:val="3F8DBDDC"/>
  <w15:chartTrackingRefBased/>
  <w15:docId w15:val="{9FDFECDE-2926-4282-9B58-392443813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61A7"/>
    <w:pPr>
      <w:spacing w:after="0" w:line="240" w:lineRule="auto"/>
    </w:pPr>
    <w:rPr>
      <w:rFonts w:ascii="Times New Roman" w:eastAsia="Times New Roman" w:hAnsi="Times New Roman" w:cs="Times New Roman"/>
      <w:kern w:val="0"/>
      <w:lang w:eastAsia="it-IT"/>
      <w14:ligatures w14:val="none"/>
    </w:rPr>
  </w:style>
  <w:style w:type="paragraph" w:styleId="Heading1">
    <w:name w:val="heading 1"/>
    <w:basedOn w:val="Normal"/>
    <w:next w:val="Normal"/>
    <w:link w:val="Titolo1Carattere"/>
    <w:uiPriority w:val="9"/>
    <w:qFormat/>
    <w:rsid w:val="00EF2204"/>
    <w:pPr>
      <w:keepNext/>
      <w:keepLines/>
      <w:spacing w:before="360" w:after="80"/>
      <w:jc w:val="center"/>
      <w:outlineLvl w:val="0"/>
    </w:pPr>
    <w:rPr>
      <w:rFonts w:eastAsiaTheme="majorEastAsia" w:cstheme="majorBidi"/>
      <w:sz w:val="28"/>
      <w:szCs w:val="40"/>
    </w:rPr>
  </w:style>
  <w:style w:type="paragraph" w:styleId="Heading2">
    <w:name w:val="heading 2"/>
    <w:basedOn w:val="Normal"/>
    <w:next w:val="Normal"/>
    <w:link w:val="Titolo2Carattere"/>
    <w:uiPriority w:val="9"/>
    <w:unhideWhenUsed/>
    <w:qFormat/>
    <w:rsid w:val="00EF2204"/>
    <w:pPr>
      <w:keepNext/>
      <w:keepLines/>
      <w:spacing w:before="160" w:after="80"/>
      <w:jc w:val="center"/>
      <w:outlineLvl w:val="1"/>
    </w:pPr>
    <w:rPr>
      <w:rFonts w:eastAsiaTheme="majorEastAsia" w:cstheme="majorBidi"/>
      <w:b/>
      <w:sz w:val="28"/>
      <w:szCs w:val="32"/>
    </w:rPr>
  </w:style>
  <w:style w:type="paragraph" w:styleId="Heading3">
    <w:name w:val="heading 3"/>
    <w:basedOn w:val="Normal"/>
    <w:next w:val="Normal"/>
    <w:link w:val="Titolo3Carattere"/>
    <w:uiPriority w:val="9"/>
    <w:unhideWhenUsed/>
    <w:qFormat/>
    <w:rsid w:val="00EF2204"/>
    <w:pPr>
      <w:keepNext/>
      <w:keepLines/>
      <w:spacing w:before="160" w:after="80"/>
      <w:jc w:val="center"/>
      <w:outlineLvl w:val="2"/>
    </w:pPr>
    <w:rPr>
      <w:rFonts w:eastAsiaTheme="majorEastAsia" w:cstheme="majorBidi"/>
      <w:b/>
      <w:szCs w:val="28"/>
    </w:rPr>
  </w:style>
  <w:style w:type="paragraph" w:styleId="Heading4">
    <w:name w:val="heading 4"/>
    <w:basedOn w:val="Normal"/>
    <w:next w:val="Normal"/>
    <w:link w:val="Titolo4Carattere"/>
    <w:uiPriority w:val="9"/>
    <w:semiHidden/>
    <w:unhideWhenUsed/>
    <w:qFormat/>
    <w:rsid w:val="004461A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Titolo5Carattere"/>
    <w:uiPriority w:val="9"/>
    <w:semiHidden/>
    <w:unhideWhenUsed/>
    <w:qFormat/>
    <w:rsid w:val="004461A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Titolo6Carattere"/>
    <w:uiPriority w:val="9"/>
    <w:semiHidden/>
    <w:unhideWhenUsed/>
    <w:qFormat/>
    <w:rsid w:val="004461A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Titolo7Carattere"/>
    <w:uiPriority w:val="9"/>
    <w:semiHidden/>
    <w:unhideWhenUsed/>
    <w:qFormat/>
    <w:rsid w:val="004461A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Titolo8Carattere"/>
    <w:uiPriority w:val="9"/>
    <w:semiHidden/>
    <w:unhideWhenUsed/>
    <w:qFormat/>
    <w:rsid w:val="004461A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Titolo9Carattere"/>
    <w:uiPriority w:val="9"/>
    <w:semiHidden/>
    <w:unhideWhenUsed/>
    <w:qFormat/>
    <w:rsid w:val="004461A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olo1Carattere">
    <w:name w:val="Titolo 1 Carattere"/>
    <w:basedOn w:val="DefaultParagraphFont"/>
    <w:link w:val="Heading1"/>
    <w:uiPriority w:val="9"/>
    <w:rsid w:val="00EF2204"/>
    <w:rPr>
      <w:rFonts w:ascii="Times New Roman" w:hAnsi="Times New Roman" w:eastAsiaTheme="majorEastAsia" w:cstheme="majorBidi"/>
      <w:kern w:val="0"/>
      <w:sz w:val="28"/>
      <w:szCs w:val="40"/>
      <w:lang w:eastAsia="it-IT"/>
      <w14:ligatures w14:val="none"/>
    </w:rPr>
  </w:style>
  <w:style w:type="character" w:customStyle="1" w:styleId="Titolo2Carattere">
    <w:name w:val="Titolo 2 Carattere"/>
    <w:basedOn w:val="DefaultParagraphFont"/>
    <w:link w:val="Heading2"/>
    <w:uiPriority w:val="9"/>
    <w:rsid w:val="00EF2204"/>
    <w:rPr>
      <w:rFonts w:ascii="Times New Roman" w:hAnsi="Times New Roman" w:eastAsiaTheme="majorEastAsia" w:cstheme="majorBidi"/>
      <w:b/>
      <w:kern w:val="0"/>
      <w:sz w:val="28"/>
      <w:szCs w:val="32"/>
      <w:lang w:eastAsia="it-IT"/>
      <w14:ligatures w14:val="none"/>
    </w:rPr>
  </w:style>
  <w:style w:type="character" w:customStyle="1" w:styleId="Titolo3Carattere">
    <w:name w:val="Titolo 3 Carattere"/>
    <w:basedOn w:val="DefaultParagraphFont"/>
    <w:link w:val="Heading3"/>
    <w:uiPriority w:val="9"/>
    <w:rsid w:val="00EF2204"/>
    <w:rPr>
      <w:rFonts w:ascii="Times New Roman" w:hAnsi="Times New Roman" w:eastAsiaTheme="majorEastAsia" w:cstheme="majorBidi"/>
      <w:b/>
      <w:kern w:val="0"/>
      <w:szCs w:val="28"/>
      <w:lang w:eastAsia="it-IT"/>
      <w14:ligatures w14:val="none"/>
    </w:rPr>
  </w:style>
  <w:style w:type="character" w:customStyle="1" w:styleId="Titolo4Carattere">
    <w:name w:val="Titolo 4 Carattere"/>
    <w:basedOn w:val="DefaultParagraphFont"/>
    <w:link w:val="Heading4"/>
    <w:uiPriority w:val="9"/>
    <w:semiHidden/>
    <w:rsid w:val="004461A7"/>
    <w:rPr>
      <w:rFonts w:eastAsiaTheme="majorEastAsia" w:cstheme="majorBidi"/>
      <w:i/>
      <w:iCs/>
      <w:color w:val="0F4761" w:themeColor="accent1" w:themeShade="BF"/>
    </w:rPr>
  </w:style>
  <w:style w:type="character" w:customStyle="1" w:styleId="Titolo5Carattere">
    <w:name w:val="Titolo 5 Carattere"/>
    <w:basedOn w:val="DefaultParagraphFont"/>
    <w:link w:val="Heading5"/>
    <w:uiPriority w:val="9"/>
    <w:semiHidden/>
    <w:rsid w:val="004461A7"/>
    <w:rPr>
      <w:rFonts w:eastAsiaTheme="majorEastAsia" w:cstheme="majorBidi"/>
      <w:color w:val="0F4761" w:themeColor="accent1" w:themeShade="BF"/>
    </w:rPr>
  </w:style>
  <w:style w:type="character" w:customStyle="1" w:styleId="Titolo6Carattere">
    <w:name w:val="Titolo 6 Carattere"/>
    <w:basedOn w:val="DefaultParagraphFont"/>
    <w:link w:val="Heading6"/>
    <w:uiPriority w:val="9"/>
    <w:semiHidden/>
    <w:rsid w:val="004461A7"/>
    <w:rPr>
      <w:rFonts w:eastAsiaTheme="majorEastAsia" w:cstheme="majorBidi"/>
      <w:i/>
      <w:iCs/>
      <w:color w:val="595959" w:themeColor="text1" w:themeTint="A6"/>
    </w:rPr>
  </w:style>
  <w:style w:type="character" w:customStyle="1" w:styleId="Titolo7Carattere">
    <w:name w:val="Titolo 7 Carattere"/>
    <w:basedOn w:val="DefaultParagraphFont"/>
    <w:link w:val="Heading7"/>
    <w:uiPriority w:val="9"/>
    <w:semiHidden/>
    <w:rsid w:val="004461A7"/>
    <w:rPr>
      <w:rFonts w:eastAsiaTheme="majorEastAsia" w:cstheme="majorBidi"/>
      <w:color w:val="595959" w:themeColor="text1" w:themeTint="A6"/>
    </w:rPr>
  </w:style>
  <w:style w:type="character" w:customStyle="1" w:styleId="Titolo8Carattere">
    <w:name w:val="Titolo 8 Carattere"/>
    <w:basedOn w:val="DefaultParagraphFont"/>
    <w:link w:val="Heading8"/>
    <w:uiPriority w:val="9"/>
    <w:semiHidden/>
    <w:rsid w:val="004461A7"/>
    <w:rPr>
      <w:rFonts w:eastAsiaTheme="majorEastAsia" w:cstheme="majorBidi"/>
      <w:i/>
      <w:iCs/>
      <w:color w:val="272727" w:themeColor="text1" w:themeTint="D8"/>
    </w:rPr>
  </w:style>
  <w:style w:type="character" w:customStyle="1" w:styleId="Titolo9Carattere">
    <w:name w:val="Titolo 9 Carattere"/>
    <w:basedOn w:val="DefaultParagraphFont"/>
    <w:link w:val="Heading9"/>
    <w:uiPriority w:val="9"/>
    <w:semiHidden/>
    <w:rsid w:val="004461A7"/>
    <w:rPr>
      <w:rFonts w:eastAsiaTheme="majorEastAsia" w:cstheme="majorBidi"/>
      <w:color w:val="272727" w:themeColor="text1" w:themeTint="D8"/>
    </w:rPr>
  </w:style>
  <w:style w:type="paragraph" w:styleId="Title">
    <w:name w:val="Title"/>
    <w:basedOn w:val="Normal"/>
    <w:next w:val="Normal"/>
    <w:link w:val="TitoloCarattere"/>
    <w:uiPriority w:val="10"/>
    <w:qFormat/>
    <w:rsid w:val="004461A7"/>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DefaultParagraphFont"/>
    <w:link w:val="Title"/>
    <w:uiPriority w:val="10"/>
    <w:rsid w:val="004461A7"/>
    <w:rPr>
      <w:rFonts w:asciiTheme="majorHAnsi" w:eastAsiaTheme="majorEastAsia" w:hAnsiTheme="majorHAnsi" w:cstheme="majorBidi"/>
      <w:spacing w:val="-10"/>
      <w:kern w:val="28"/>
      <w:sz w:val="56"/>
      <w:szCs w:val="56"/>
    </w:rPr>
  </w:style>
  <w:style w:type="paragraph" w:styleId="Subtitle">
    <w:name w:val="Subtitle"/>
    <w:basedOn w:val="Normal"/>
    <w:next w:val="Normal"/>
    <w:link w:val="SottotitoloCarattere"/>
    <w:uiPriority w:val="11"/>
    <w:qFormat/>
    <w:rsid w:val="004461A7"/>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DefaultParagraphFont"/>
    <w:link w:val="Subtitle"/>
    <w:uiPriority w:val="11"/>
    <w:rsid w:val="004461A7"/>
    <w:rPr>
      <w:rFonts w:eastAsiaTheme="majorEastAsia" w:cstheme="majorBidi"/>
      <w:color w:val="595959" w:themeColor="text1" w:themeTint="A6"/>
      <w:spacing w:val="15"/>
      <w:sz w:val="28"/>
      <w:szCs w:val="28"/>
    </w:rPr>
  </w:style>
  <w:style w:type="paragraph" w:styleId="Quote">
    <w:name w:val="Quote"/>
    <w:basedOn w:val="Normal"/>
    <w:next w:val="Normal"/>
    <w:link w:val="CitazioneCarattere"/>
    <w:uiPriority w:val="29"/>
    <w:qFormat/>
    <w:rsid w:val="004461A7"/>
    <w:pPr>
      <w:spacing w:before="160"/>
      <w:jc w:val="center"/>
    </w:pPr>
    <w:rPr>
      <w:i/>
      <w:iCs/>
      <w:color w:val="404040" w:themeColor="text1" w:themeTint="BF"/>
    </w:rPr>
  </w:style>
  <w:style w:type="character" w:customStyle="1" w:styleId="CitazioneCarattere">
    <w:name w:val="Citazione Carattere"/>
    <w:basedOn w:val="DefaultParagraphFont"/>
    <w:link w:val="Quote"/>
    <w:uiPriority w:val="29"/>
    <w:rsid w:val="004461A7"/>
    <w:rPr>
      <w:i/>
      <w:iCs/>
      <w:color w:val="404040" w:themeColor="text1" w:themeTint="BF"/>
    </w:rPr>
  </w:style>
  <w:style w:type="paragraph" w:styleId="ListParagraph">
    <w:name w:val="List Paragraph"/>
    <w:aliases w:val="Dot pt,F5 List Paragraph,List Paragraph1,No Spacing1,List Paragraph Char Char Char,Indicator Text,Numbered Para 1,Colorful List - Accent 11,Bullet 1,Bullet Points,Párrafo de lista,MAIN CONTENT,Recommendation,List Paragraph2,OBC Bullet,3"/>
    <w:basedOn w:val="Normal"/>
    <w:link w:val="ParagrafoelencoCarattere"/>
    <w:uiPriority w:val="34"/>
    <w:qFormat/>
    <w:rsid w:val="004461A7"/>
    <w:pPr>
      <w:ind w:left="720"/>
      <w:contextualSpacing/>
    </w:pPr>
  </w:style>
  <w:style w:type="character" w:styleId="IntenseEmphasis">
    <w:name w:val="Intense Emphasis"/>
    <w:basedOn w:val="DefaultParagraphFont"/>
    <w:uiPriority w:val="21"/>
    <w:qFormat/>
    <w:rsid w:val="004461A7"/>
    <w:rPr>
      <w:i/>
      <w:iCs/>
      <w:color w:val="0F4761" w:themeColor="accent1" w:themeShade="BF"/>
    </w:rPr>
  </w:style>
  <w:style w:type="paragraph" w:styleId="IntenseQuote">
    <w:name w:val="Intense Quote"/>
    <w:basedOn w:val="Normal"/>
    <w:next w:val="Normal"/>
    <w:link w:val="CitazioneintensaCarattere"/>
    <w:uiPriority w:val="30"/>
    <w:qFormat/>
    <w:rsid w:val="004461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DefaultParagraphFont"/>
    <w:link w:val="IntenseQuote"/>
    <w:uiPriority w:val="30"/>
    <w:rsid w:val="004461A7"/>
    <w:rPr>
      <w:i/>
      <w:iCs/>
      <w:color w:val="0F4761" w:themeColor="accent1" w:themeShade="BF"/>
    </w:rPr>
  </w:style>
  <w:style w:type="character" w:styleId="IntenseReference">
    <w:name w:val="Intense Reference"/>
    <w:basedOn w:val="DefaultParagraphFont"/>
    <w:uiPriority w:val="32"/>
    <w:qFormat/>
    <w:rsid w:val="004461A7"/>
    <w:rPr>
      <w:b/>
      <w:bCs/>
      <w:smallCaps/>
      <w:color w:val="0F4761" w:themeColor="accent1" w:themeShade="BF"/>
      <w:spacing w:val="5"/>
    </w:rPr>
  </w:style>
  <w:style w:type="character" w:customStyle="1" w:styleId="ParagrafoelencoCarattere">
    <w:name w:val="Paragrafo elenco Carattere"/>
    <w:aliases w:val="Dot pt Carattere,F5 List Paragraph Carattere,List Paragraph1 Carattere,No Spacing1 Carattere,List Paragraph Char Char Char Carattere,Indicator Text Carattere,Numbered Para 1 Carattere,Colorful List - Accent 11 Carattere"/>
    <w:link w:val="ListParagraph"/>
    <w:uiPriority w:val="34"/>
    <w:qFormat/>
    <w:locked/>
    <w:rsid w:val="004461A7"/>
  </w:style>
  <w:style w:type="paragraph" w:customStyle="1" w:styleId="tnarticolo">
    <w:name w:val="tn_articolo"/>
    <w:basedOn w:val="Normal"/>
    <w:next w:val="Normal"/>
    <w:uiPriority w:val="99"/>
    <w:rsid w:val="004461A7"/>
    <w:pPr>
      <w:keepNext/>
      <w:numPr>
        <w:numId w:val="3"/>
      </w:numPr>
      <w:spacing w:before="360"/>
      <w:jc w:val="center"/>
    </w:pPr>
    <w:rPr>
      <w:color w:val="000000"/>
      <w:lang w:eastAsia="en-US"/>
    </w:rPr>
  </w:style>
  <w:style w:type="paragraph" w:styleId="NormalWeb">
    <w:name w:val="Normal (Web)"/>
    <w:basedOn w:val="Normal"/>
    <w:uiPriority w:val="99"/>
    <w:unhideWhenUsed/>
    <w:rsid w:val="004461A7"/>
    <w:pPr>
      <w:spacing w:before="100" w:beforeAutospacing="1" w:after="100" w:afterAutospacing="1"/>
    </w:pPr>
    <w:rPr>
      <w:rFonts w:ascii="Arial" w:hAnsi="Arial"/>
    </w:rPr>
  </w:style>
  <w:style w:type="paragraph" w:customStyle="1" w:styleId="provvr0">
    <w:name w:val="provv_r0"/>
    <w:basedOn w:val="Normal"/>
    <w:rsid w:val="004461A7"/>
    <w:pPr>
      <w:spacing w:before="100" w:beforeAutospacing="1" w:after="100" w:afterAutospacing="1"/>
      <w:jc w:val="both"/>
    </w:pPr>
    <w:rPr>
      <w:rFonts w:ascii="Arial" w:hAnsi="Arial"/>
    </w:rPr>
  </w:style>
  <w:style w:type="character" w:styleId="CommentReference">
    <w:name w:val="annotation reference"/>
    <w:basedOn w:val="DefaultParagraphFont"/>
    <w:uiPriority w:val="99"/>
    <w:semiHidden/>
    <w:unhideWhenUsed/>
    <w:rsid w:val="004461A7"/>
    <w:rPr>
      <w:sz w:val="16"/>
      <w:szCs w:val="16"/>
    </w:rPr>
  </w:style>
  <w:style w:type="paragraph" w:styleId="CommentText">
    <w:name w:val="annotation text"/>
    <w:basedOn w:val="Normal"/>
    <w:link w:val="TestocommentoCarattere"/>
    <w:uiPriority w:val="99"/>
    <w:unhideWhenUsed/>
    <w:rsid w:val="004461A7"/>
    <w:pPr>
      <w:suppressAutoHyphens/>
      <w:spacing w:after="200"/>
    </w:pPr>
    <w:rPr>
      <w:rFonts w:ascii="Calibri" w:eastAsia="Calibri" w:hAnsi="Calibri"/>
      <w:sz w:val="20"/>
      <w:szCs w:val="20"/>
      <w:lang w:eastAsia="ar-SA"/>
    </w:rPr>
  </w:style>
  <w:style w:type="character" w:customStyle="1" w:styleId="TestocommentoCarattere">
    <w:name w:val="Testo commento Carattere"/>
    <w:basedOn w:val="DefaultParagraphFont"/>
    <w:link w:val="CommentText"/>
    <w:uiPriority w:val="99"/>
    <w:rsid w:val="004461A7"/>
    <w:rPr>
      <w:rFonts w:ascii="Calibri" w:eastAsia="Calibri" w:hAnsi="Calibri" w:cs="Times New Roman"/>
      <w:kern w:val="0"/>
      <w:sz w:val="20"/>
      <w:szCs w:val="20"/>
      <w:lang w:eastAsia="ar-SA"/>
      <w14:ligatures w14:val="none"/>
    </w:rPr>
  </w:style>
  <w:style w:type="character" w:customStyle="1" w:styleId="linkneltesto">
    <w:name w:val="link_nel_testo"/>
    <w:basedOn w:val="DefaultParagraphFont"/>
    <w:rsid w:val="004461A7"/>
  </w:style>
  <w:style w:type="table" w:styleId="TableGrid">
    <w:name w:val="Table Grid"/>
    <w:basedOn w:val="TableNormal"/>
    <w:uiPriority w:val="39"/>
    <w:rsid w:val="004461A7"/>
    <w:pPr>
      <w:spacing w:after="0" w:line="240" w:lineRule="auto"/>
    </w:pPr>
    <w:rPr>
      <w:kern w:val="0"/>
      <w:sz w:val="22"/>
      <w:szCs w:val="22"/>
      <w14:ligatures w14:val="none"/>
    </w:rPr>
    <w:tblPr/>
  </w:style>
  <w:style w:type="character" w:customStyle="1" w:styleId="provvnumcomma">
    <w:name w:val="provv_numcomma"/>
    <w:basedOn w:val="DefaultParagraphFont"/>
    <w:rsid w:val="004461A7"/>
  </w:style>
  <w:style w:type="paragraph" w:styleId="Header">
    <w:name w:val="header"/>
    <w:basedOn w:val="Normal"/>
    <w:link w:val="IntestazioneCarattere"/>
    <w:uiPriority w:val="99"/>
    <w:unhideWhenUsed/>
    <w:rsid w:val="004461A7"/>
    <w:pPr>
      <w:tabs>
        <w:tab w:val="center" w:pos="4819"/>
        <w:tab w:val="right" w:pos="9638"/>
      </w:tabs>
    </w:pPr>
  </w:style>
  <w:style w:type="character" w:customStyle="1" w:styleId="IntestazioneCarattere">
    <w:name w:val="Intestazione Carattere"/>
    <w:basedOn w:val="DefaultParagraphFont"/>
    <w:link w:val="Header"/>
    <w:uiPriority w:val="99"/>
    <w:rsid w:val="004461A7"/>
    <w:rPr>
      <w:rFonts w:ascii="Times New Roman" w:eastAsia="Times New Roman" w:hAnsi="Times New Roman" w:cs="Times New Roman"/>
      <w:kern w:val="0"/>
      <w:lang w:eastAsia="it-IT"/>
      <w14:ligatures w14:val="none"/>
    </w:rPr>
  </w:style>
  <w:style w:type="paragraph" w:styleId="Footer">
    <w:name w:val="footer"/>
    <w:basedOn w:val="Normal"/>
    <w:link w:val="PidipaginaCarattere"/>
    <w:uiPriority w:val="99"/>
    <w:unhideWhenUsed/>
    <w:rsid w:val="004461A7"/>
    <w:pPr>
      <w:tabs>
        <w:tab w:val="center" w:pos="4819"/>
        <w:tab w:val="right" w:pos="9638"/>
      </w:tabs>
    </w:pPr>
  </w:style>
  <w:style w:type="character" w:customStyle="1" w:styleId="PidipaginaCarattere">
    <w:name w:val="Piè di pagina Carattere"/>
    <w:basedOn w:val="DefaultParagraphFont"/>
    <w:link w:val="Footer"/>
    <w:uiPriority w:val="99"/>
    <w:rsid w:val="004461A7"/>
    <w:rPr>
      <w:rFonts w:ascii="Times New Roman" w:eastAsia="Times New Roman" w:hAnsi="Times New Roman" w:cs="Times New Roman"/>
      <w:kern w:val="0"/>
      <w:lang w:eastAsia="it-IT"/>
      <w14:ligatures w14:val="none"/>
    </w:rPr>
  </w:style>
  <w:style w:type="paragraph" w:styleId="TOCHeading">
    <w:name w:val="TOC Heading"/>
    <w:basedOn w:val="Heading1"/>
    <w:next w:val="Normal"/>
    <w:uiPriority w:val="39"/>
    <w:unhideWhenUsed/>
    <w:qFormat/>
    <w:rsid w:val="004461A7"/>
    <w:pPr>
      <w:spacing w:before="240" w:after="0" w:line="259" w:lineRule="auto"/>
      <w:outlineLvl w:val="9"/>
    </w:pPr>
    <w:rPr>
      <w:sz w:val="32"/>
      <w:szCs w:val="32"/>
    </w:rPr>
  </w:style>
  <w:style w:type="paragraph" w:styleId="TOC2">
    <w:name w:val="toc 2"/>
    <w:basedOn w:val="Normal"/>
    <w:next w:val="Normal"/>
    <w:autoRedefine/>
    <w:uiPriority w:val="39"/>
    <w:unhideWhenUsed/>
    <w:rsid w:val="00F604B2"/>
    <w:pPr>
      <w:tabs>
        <w:tab w:val="left" w:pos="1320"/>
        <w:tab w:val="right" w:leader="dot" w:pos="9628"/>
      </w:tabs>
      <w:spacing w:after="100" w:line="259" w:lineRule="auto"/>
      <w:ind w:left="220"/>
    </w:pPr>
    <w:rPr>
      <w:rFonts w:eastAsiaTheme="minorEastAsia"/>
      <w:szCs w:val="22"/>
    </w:rPr>
  </w:style>
  <w:style w:type="paragraph" w:styleId="TOC1">
    <w:name w:val="toc 1"/>
    <w:basedOn w:val="Normal"/>
    <w:next w:val="Normal"/>
    <w:autoRedefine/>
    <w:uiPriority w:val="39"/>
    <w:unhideWhenUsed/>
    <w:rsid w:val="004461A7"/>
    <w:pPr>
      <w:tabs>
        <w:tab w:val="right" w:leader="dot" w:pos="9628"/>
      </w:tabs>
      <w:spacing w:after="100" w:line="259" w:lineRule="auto"/>
      <w:ind w:left="142"/>
    </w:pPr>
    <w:rPr>
      <w:rFonts w:eastAsiaTheme="minorEastAsia"/>
      <w:sz w:val="22"/>
      <w:szCs w:val="22"/>
    </w:rPr>
  </w:style>
  <w:style w:type="paragraph" w:styleId="TOC3">
    <w:name w:val="toc 3"/>
    <w:basedOn w:val="Normal"/>
    <w:next w:val="Normal"/>
    <w:autoRedefine/>
    <w:uiPriority w:val="39"/>
    <w:unhideWhenUsed/>
    <w:rsid w:val="004461A7"/>
    <w:pPr>
      <w:spacing w:after="100" w:line="259" w:lineRule="auto"/>
      <w:ind w:left="440"/>
    </w:pPr>
    <w:rPr>
      <w:rFonts w:asciiTheme="minorHAnsi" w:eastAsiaTheme="minorEastAsia" w:hAnsiTheme="minorHAnsi"/>
      <w:sz w:val="22"/>
      <w:szCs w:val="22"/>
    </w:rPr>
  </w:style>
  <w:style w:type="character" w:styleId="Hyperlink">
    <w:name w:val="Hyperlink"/>
    <w:basedOn w:val="DefaultParagraphFont"/>
    <w:uiPriority w:val="99"/>
    <w:unhideWhenUsed/>
    <w:rsid w:val="004461A7"/>
    <w:rPr>
      <w:color w:val="467886" w:themeColor="hyperlink"/>
      <w:u w:val="single"/>
    </w:rPr>
  </w:style>
  <w:style w:type="paragraph" w:styleId="CommentSubject">
    <w:name w:val="annotation subject"/>
    <w:basedOn w:val="CommentText"/>
    <w:next w:val="CommentText"/>
    <w:link w:val="SoggettocommentoCarattere"/>
    <w:uiPriority w:val="99"/>
    <w:semiHidden/>
    <w:unhideWhenUsed/>
    <w:rsid w:val="004461A7"/>
    <w:pPr>
      <w:suppressAutoHyphens w:val="0"/>
      <w:spacing w:after="0"/>
    </w:pPr>
    <w:rPr>
      <w:rFonts w:ascii="Times New Roman" w:eastAsia="Times New Roman" w:hAnsi="Times New Roman"/>
      <w:b/>
      <w:bCs/>
      <w:lang w:eastAsia="it-IT"/>
    </w:rPr>
  </w:style>
  <w:style w:type="character" w:customStyle="1" w:styleId="SoggettocommentoCarattere">
    <w:name w:val="Soggetto commento Carattere"/>
    <w:basedOn w:val="TestocommentoCarattere"/>
    <w:link w:val="CommentSubject"/>
    <w:uiPriority w:val="99"/>
    <w:semiHidden/>
    <w:rsid w:val="004461A7"/>
    <w:rPr>
      <w:rFonts w:ascii="Times New Roman" w:eastAsia="Times New Roman" w:hAnsi="Times New Roman" w:cs="Times New Roman"/>
      <w:b/>
      <w:bCs/>
      <w:kern w:val="0"/>
      <w:sz w:val="20"/>
      <w:szCs w:val="20"/>
      <w:lang w:eastAsia="it-IT"/>
      <w14:ligatures w14:val="none"/>
    </w:rPr>
  </w:style>
  <w:style w:type="paragraph" w:styleId="BalloonText">
    <w:name w:val="Balloon Text"/>
    <w:basedOn w:val="Normal"/>
    <w:link w:val="TestofumettoCarattere"/>
    <w:uiPriority w:val="99"/>
    <w:semiHidden/>
    <w:unhideWhenUsed/>
    <w:rsid w:val="004461A7"/>
    <w:rPr>
      <w:rFonts w:ascii="Segoe UI" w:hAnsi="Segoe UI" w:cs="Segoe UI"/>
      <w:sz w:val="18"/>
      <w:szCs w:val="18"/>
    </w:rPr>
  </w:style>
  <w:style w:type="character" w:customStyle="1" w:styleId="TestofumettoCarattere">
    <w:name w:val="Testo fumetto Carattere"/>
    <w:basedOn w:val="DefaultParagraphFont"/>
    <w:link w:val="BalloonText"/>
    <w:uiPriority w:val="99"/>
    <w:semiHidden/>
    <w:rsid w:val="004461A7"/>
    <w:rPr>
      <w:rFonts w:ascii="Segoe UI" w:eastAsia="Times New Roman" w:hAnsi="Segoe UI" w:cs="Segoe UI"/>
      <w:kern w:val="0"/>
      <w:sz w:val="18"/>
      <w:szCs w:val="18"/>
      <w:lang w:eastAsia="it-IT"/>
      <w14:ligatures w14:val="none"/>
    </w:rPr>
  </w:style>
  <w:style w:type="paragraph" w:styleId="Revision">
    <w:name w:val="Revision"/>
    <w:hidden/>
    <w:uiPriority w:val="99"/>
    <w:semiHidden/>
    <w:rsid w:val="004461A7"/>
    <w:pPr>
      <w:spacing w:after="0" w:line="240" w:lineRule="auto"/>
    </w:pPr>
    <w:rPr>
      <w:rFonts w:ascii="Times New Roman" w:eastAsia="Times New Roman" w:hAnsi="Times New Roman" w:cs="Times New Roman"/>
      <w:kern w:val="0"/>
      <w:lang w:eastAsia="it-IT"/>
      <w14:ligatures w14:val="none"/>
    </w:rPr>
  </w:style>
  <w:style w:type="paragraph" w:styleId="HTMLPreformatted">
    <w:name w:val="HTML Preformatted"/>
    <w:basedOn w:val="Normal"/>
    <w:link w:val="PreformattatoHTMLCarattere"/>
    <w:uiPriority w:val="99"/>
    <w:semiHidden/>
    <w:unhideWhenUsed/>
    <w:rsid w:val="004461A7"/>
    <w:rPr>
      <w:rFonts w:ascii="Consolas" w:hAnsi="Consolas"/>
      <w:sz w:val="20"/>
      <w:szCs w:val="20"/>
    </w:rPr>
  </w:style>
  <w:style w:type="character" w:customStyle="1" w:styleId="PreformattatoHTMLCarattere">
    <w:name w:val="Preformattato HTML Carattere"/>
    <w:basedOn w:val="DefaultParagraphFont"/>
    <w:link w:val="HTMLPreformatted"/>
    <w:uiPriority w:val="99"/>
    <w:semiHidden/>
    <w:rsid w:val="004461A7"/>
    <w:rPr>
      <w:rFonts w:ascii="Consolas" w:eastAsia="Times New Roman" w:hAnsi="Consolas" w:cs="Times New Roman"/>
      <w:kern w:val="0"/>
      <w:sz w:val="20"/>
      <w:szCs w:val="20"/>
      <w:lang w:eastAsia="it-IT"/>
      <w14:ligatures w14:val="none"/>
    </w:rPr>
  </w:style>
  <w:style w:type="paragraph" w:styleId="BodyTextIndent">
    <w:name w:val="Body Text Indent"/>
    <w:basedOn w:val="Normal"/>
    <w:link w:val="RientrocorpodeltestoCarattere"/>
    <w:uiPriority w:val="99"/>
    <w:semiHidden/>
    <w:unhideWhenUsed/>
    <w:rsid w:val="004461A7"/>
    <w:pPr>
      <w:spacing w:after="120"/>
      <w:ind w:left="283"/>
    </w:pPr>
  </w:style>
  <w:style w:type="character" w:customStyle="1" w:styleId="RientrocorpodeltestoCarattere">
    <w:name w:val="Rientro corpo del testo Carattere"/>
    <w:basedOn w:val="DefaultParagraphFont"/>
    <w:link w:val="BodyTextIndent"/>
    <w:uiPriority w:val="99"/>
    <w:semiHidden/>
    <w:rsid w:val="004461A7"/>
    <w:rPr>
      <w:rFonts w:ascii="Times New Roman" w:eastAsia="Times New Roman" w:hAnsi="Times New Roman" w:cs="Times New Roman"/>
      <w:kern w:val="0"/>
      <w:lang w:eastAsia="it-IT"/>
      <w14:ligatures w14:val="none"/>
    </w:rPr>
  </w:style>
  <w:style w:type="paragraph" w:styleId="BodyText">
    <w:name w:val="Body Text"/>
    <w:basedOn w:val="Normal"/>
    <w:link w:val="CorpotestoCarattere"/>
    <w:uiPriority w:val="1"/>
    <w:unhideWhenUsed/>
    <w:qFormat/>
    <w:rsid w:val="004461A7"/>
    <w:pPr>
      <w:spacing w:after="120" w:line="360" w:lineRule="exact"/>
      <w:ind w:firstLine="454"/>
      <w:jc w:val="both"/>
    </w:pPr>
    <w:rPr>
      <w:szCs w:val="20"/>
    </w:rPr>
  </w:style>
  <w:style w:type="character" w:customStyle="1" w:styleId="CorpotestoCarattere">
    <w:name w:val="Corpo testo Carattere"/>
    <w:basedOn w:val="DefaultParagraphFont"/>
    <w:link w:val="BodyText"/>
    <w:uiPriority w:val="1"/>
    <w:rsid w:val="004461A7"/>
    <w:rPr>
      <w:rFonts w:ascii="Times New Roman" w:eastAsia="Times New Roman" w:hAnsi="Times New Roman" w:cs="Times New Roman"/>
      <w:kern w:val="0"/>
      <w:szCs w:val="20"/>
      <w:lang w:eastAsia="it-IT"/>
      <w14:ligatures w14:val="none"/>
    </w:rPr>
  </w:style>
  <w:style w:type="table" w:customStyle="1" w:styleId="Grigliatabella1">
    <w:name w:val="Griglia tabella1"/>
    <w:basedOn w:val="TableNormal"/>
    <w:next w:val="TableGrid"/>
    <w:uiPriority w:val="39"/>
    <w:rsid w:val="004461A7"/>
    <w:pPr>
      <w:suppressAutoHyphens/>
      <w:spacing w:after="0" w:line="240" w:lineRule="auto"/>
    </w:pPr>
    <w:rPr>
      <w:kern w:val="0"/>
      <w:sz w:val="20"/>
      <w:szCs w:val="22"/>
      <w14:ligatures w14:val="none"/>
    </w:rPr>
    <w:tblPr/>
  </w:style>
  <w:style w:type="paragraph" w:customStyle="1" w:styleId="Testonotaapidipagina1">
    <w:name w:val="Testo nota a piè di pagina1"/>
    <w:basedOn w:val="Normal"/>
    <w:next w:val="FootnoteText"/>
    <w:link w:val="TestonotaapidipaginaCarattere"/>
    <w:uiPriority w:val="99"/>
    <w:semiHidden/>
    <w:unhideWhenUsed/>
    <w:rsid w:val="004461A7"/>
    <w:pPr>
      <w:suppressAutoHyphens/>
    </w:pPr>
    <w:rPr>
      <w:rFonts w:asciiTheme="minorHAnsi" w:eastAsiaTheme="minorHAnsi" w:hAnsiTheme="minorHAnsi" w:cstheme="minorBidi"/>
      <w:kern w:val="2"/>
      <w:sz w:val="22"/>
      <w:szCs w:val="20"/>
      <w:lang w:eastAsia="en-US"/>
      <w14:ligatures w14:val="standardContextual"/>
    </w:rPr>
  </w:style>
  <w:style w:type="character" w:customStyle="1" w:styleId="TestonotaapidipaginaCarattere">
    <w:name w:val="Testo nota a piè di pagina Carattere"/>
    <w:basedOn w:val="DefaultParagraphFont"/>
    <w:link w:val="Testonotaapidipagina1"/>
    <w:uiPriority w:val="99"/>
    <w:semiHidden/>
    <w:rsid w:val="004461A7"/>
    <w:rPr>
      <w:sz w:val="22"/>
      <w:szCs w:val="20"/>
    </w:rPr>
  </w:style>
  <w:style w:type="character" w:styleId="FootnoteReference">
    <w:name w:val="footnote reference"/>
    <w:basedOn w:val="DefaultParagraphFont"/>
    <w:uiPriority w:val="99"/>
    <w:semiHidden/>
    <w:unhideWhenUsed/>
    <w:rsid w:val="004461A7"/>
    <w:rPr>
      <w:vertAlign w:val="superscript"/>
    </w:rPr>
  </w:style>
  <w:style w:type="paragraph" w:styleId="FootnoteText">
    <w:name w:val="footnote text"/>
    <w:basedOn w:val="Normal"/>
    <w:link w:val="TestonotaapidipaginaCarattere1"/>
    <w:uiPriority w:val="99"/>
    <w:semiHidden/>
    <w:unhideWhenUsed/>
    <w:rsid w:val="004461A7"/>
    <w:rPr>
      <w:sz w:val="20"/>
      <w:szCs w:val="20"/>
    </w:rPr>
  </w:style>
  <w:style w:type="character" w:customStyle="1" w:styleId="TestonotaapidipaginaCarattere1">
    <w:name w:val="Testo nota a piè di pagina Carattere1"/>
    <w:basedOn w:val="DefaultParagraphFont"/>
    <w:link w:val="FootnoteText"/>
    <w:uiPriority w:val="99"/>
    <w:semiHidden/>
    <w:rsid w:val="004461A7"/>
    <w:rPr>
      <w:rFonts w:ascii="Times New Roman" w:eastAsia="Times New Roman" w:hAnsi="Times New Roman" w:cs="Times New Roman"/>
      <w:kern w:val="0"/>
      <w:sz w:val="20"/>
      <w:szCs w:val="20"/>
      <w:lang w:eastAsia="it-IT"/>
      <w14:ligatures w14:val="none"/>
    </w:rPr>
  </w:style>
  <w:style w:type="character" w:customStyle="1" w:styleId="linkneltesto0">
    <w:name w:val="linkneltesto"/>
    <w:basedOn w:val="DefaultParagraphFont"/>
    <w:rsid w:val="004461A7"/>
  </w:style>
  <w:style w:type="paragraph" w:customStyle="1" w:styleId="paragraph">
    <w:name w:val="paragraph"/>
    <w:basedOn w:val="Normal"/>
    <w:rsid w:val="004461A7"/>
    <w:pPr>
      <w:spacing w:before="100" w:beforeAutospacing="1" w:after="100" w:afterAutospacing="1"/>
    </w:pPr>
  </w:style>
  <w:style w:type="character" w:customStyle="1" w:styleId="normaltextrun">
    <w:name w:val="normaltextrun"/>
    <w:basedOn w:val="DefaultParagraphFont"/>
    <w:rsid w:val="004461A7"/>
  </w:style>
  <w:style w:type="character" w:customStyle="1" w:styleId="eop">
    <w:name w:val="eop"/>
    <w:basedOn w:val="DefaultParagraphFont"/>
    <w:rsid w:val="004461A7"/>
  </w:style>
  <w:style w:type="character" w:styleId="UnresolvedMention">
    <w:name w:val="Unresolved Mention"/>
    <w:basedOn w:val="DefaultParagraphFont"/>
    <w:uiPriority w:val="99"/>
    <w:semiHidden/>
    <w:unhideWhenUsed/>
    <w:rsid w:val="004461A7"/>
    <w:rPr>
      <w:color w:val="605E5C"/>
      <w:shd w:val="clear" w:color="auto" w:fill="E1DFDD"/>
    </w:rPr>
  </w:style>
  <w:style w:type="character" w:styleId="PlaceholderText">
    <w:name w:val="Placeholder Text"/>
    <w:basedOn w:val="DefaultParagraphFont"/>
    <w:uiPriority w:val="99"/>
    <w:semiHidden/>
    <w:rsid w:val="00D468CE"/>
    <w:rPr>
      <w:color w:val="666666"/>
    </w:rPr>
  </w:style>
  <w:style w:type="table" w:customStyle="1" w:styleId="Grigliatabella2">
    <w:name w:val="Griglia tabella2"/>
    <w:basedOn w:val="TableNormal"/>
    <w:next w:val="TableGrid"/>
    <w:uiPriority w:val="39"/>
    <w:rsid w:val="00C319DB"/>
    <w:pPr>
      <w:spacing w:after="0" w:line="240" w:lineRule="auto"/>
    </w:pPr>
    <w:rPr>
      <w:sz w:val="22"/>
      <w:szCs w:val="22"/>
    </w:rPr>
    <w:tblPr/>
  </w:style>
  <w:style w:type="table" w:customStyle="1" w:styleId="Grigliatabella3">
    <w:name w:val="Griglia tabella3"/>
    <w:basedOn w:val="TableNormal"/>
    <w:next w:val="TableGrid"/>
    <w:uiPriority w:val="39"/>
    <w:rsid w:val="00F5048C"/>
    <w:pPr>
      <w:spacing w:after="0" w:line="240" w:lineRule="auto"/>
    </w:pPr>
    <w:rPr>
      <w:rFonts w:ascii="Book Antiqua" w:hAnsi="Book Antiqua"/>
    </w:rPr>
    <w:tblPr/>
  </w:style>
  <w:style w:type="table" w:customStyle="1" w:styleId="Grigliatabella4">
    <w:name w:val="Griglia tabella4"/>
    <w:basedOn w:val="TableNormal"/>
    <w:next w:val="TableGrid"/>
    <w:rsid w:val="00374E88"/>
    <w:pPr>
      <w:spacing w:after="0" w:line="240" w:lineRule="auto"/>
    </w:pPr>
    <w:rPr>
      <w:rFonts w:ascii="Times New Roman" w:eastAsia="Times New Roman" w:hAnsi="Times New Roman" w:cs="Times New Roman"/>
      <w:kern w:val="0"/>
      <w:sz w:val="20"/>
      <w:szCs w:val="20"/>
      <w:lang w:eastAsia="it-IT"/>
      <w14:ligatures w14:val="none"/>
    </w:rPr>
    <w:tblPr/>
  </w:style>
  <w:style w:type="table" w:customStyle="1" w:styleId="Grigliatabella11">
    <w:name w:val="Griglia tabella11"/>
    <w:basedOn w:val="TableNormal"/>
    <w:next w:val="TableGrid"/>
    <w:uiPriority w:val="39"/>
    <w:rsid w:val="00374E88"/>
    <w:pPr>
      <w:spacing w:after="0" w:line="240" w:lineRule="auto"/>
    </w:pPr>
    <w:rPr>
      <w:rFonts w:ascii="Aptos" w:eastAsia="Aptos" w:hAnsi="Aptos" w:cs="Times New Roman"/>
      <w:sz w:val="22"/>
      <w:szCs w:val="22"/>
    </w:rPr>
    <w:tblPr/>
  </w:style>
  <w:style w:type="table" w:customStyle="1" w:styleId="Grigliatabella5">
    <w:name w:val="Griglia tabella5"/>
    <w:basedOn w:val="TableNormal"/>
    <w:next w:val="TableGrid"/>
    <w:rsid w:val="00374E88"/>
    <w:pPr>
      <w:spacing w:after="0" w:line="240" w:lineRule="auto"/>
    </w:pPr>
    <w:rPr>
      <w:rFonts w:ascii="Times New Roman" w:eastAsia="Times New Roman" w:hAnsi="Times New Roman" w:cs="Times New Roman"/>
      <w:kern w:val="0"/>
      <w:sz w:val="20"/>
      <w:szCs w:val="20"/>
      <w:lang w:eastAsia="it-IT"/>
      <w14:ligatures w14:val="none"/>
    </w:rPr>
    <w:tblPr/>
  </w:style>
  <w:style w:type="table" w:customStyle="1" w:styleId="Grigliatabella12">
    <w:name w:val="Griglia tabella12"/>
    <w:basedOn w:val="TableNormal"/>
    <w:next w:val="TableGrid"/>
    <w:uiPriority w:val="39"/>
    <w:rsid w:val="00374E88"/>
    <w:pPr>
      <w:spacing w:after="0" w:line="240" w:lineRule="auto"/>
    </w:pPr>
    <w:rPr>
      <w:rFonts w:ascii="Aptos" w:eastAsia="Aptos" w:hAnsi="Aptos" w:cs="Times New Roman"/>
      <w:sz w:val="22"/>
      <w:szCs w:val="22"/>
    </w:rPr>
    <w:tblPr/>
  </w:style>
  <w:style w:type="table" w:styleId="PlainTable3">
    <w:name w:val="Plain Table 3"/>
    <w:basedOn w:val="TableNormal"/>
    <w:uiPriority w:val="43"/>
    <w:rsid w:val="007230C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emf" /><Relationship Id="rId14" Type="http://schemas.openxmlformats.org/officeDocument/2006/relationships/image" Target="media/image7.emf" /><Relationship Id="rId15" Type="http://schemas.openxmlformats.org/officeDocument/2006/relationships/image" Target="media/image8.emf" /><Relationship Id="rId16" Type="http://schemas.openxmlformats.org/officeDocument/2006/relationships/image" Target="media/image9.emf" /><Relationship Id="rId17" Type="http://schemas.openxmlformats.org/officeDocument/2006/relationships/image" Target="media/image10.emf" /><Relationship Id="rId18" Type="http://schemas.openxmlformats.org/officeDocument/2006/relationships/image" Target="media/image11.emf" /><Relationship Id="rId19" Type="http://schemas.openxmlformats.org/officeDocument/2006/relationships/image" Target="media/image12.emf" /><Relationship Id="rId2" Type="http://schemas.openxmlformats.org/officeDocument/2006/relationships/webSettings" Target="webSettings.xml" /><Relationship Id="rId20" Type="http://schemas.openxmlformats.org/officeDocument/2006/relationships/image" Target="media/image13.png" /><Relationship Id="rId21" Type="http://schemas.openxmlformats.org/officeDocument/2006/relationships/image" Target="media/image14.emf" /><Relationship Id="rId22" Type="http://schemas.openxmlformats.org/officeDocument/2006/relationships/image" Target="media/image15.emf" /><Relationship Id="rId23" Type="http://schemas.openxmlformats.org/officeDocument/2006/relationships/image" Target="media/image16.emf" /><Relationship Id="rId24" Type="http://schemas.openxmlformats.org/officeDocument/2006/relationships/hyperlink" Target="https://onepa.wolterskluwer.it/normativa/10LX0000772106SOMM?pathId=7784f1e89d67e8" TargetMode="External" /><Relationship Id="rId25" Type="http://schemas.openxmlformats.org/officeDocument/2006/relationships/image" Target="media/image17.png" /><Relationship Id="rId26" Type="http://schemas.openxmlformats.org/officeDocument/2006/relationships/image" Target="media/image18.png" /><Relationship Id="rId27" Type="http://schemas.openxmlformats.org/officeDocument/2006/relationships/image" Target="media/image19.png" /><Relationship Id="rId28" Type="http://schemas.openxmlformats.org/officeDocument/2006/relationships/image" Target="media/image20.emf" /><Relationship Id="rId29" Type="http://schemas.openxmlformats.org/officeDocument/2006/relationships/footer" Target="footer1.xml" /><Relationship Id="rId3" Type="http://schemas.openxmlformats.org/officeDocument/2006/relationships/fontTable" Target="fontTable.xml" /><Relationship Id="rId30" Type="http://schemas.openxmlformats.org/officeDocument/2006/relationships/theme" Target="theme/theme1.xml" /><Relationship Id="rId31" Type="http://schemas.openxmlformats.org/officeDocument/2006/relationships/numbering" Target="numbering.xml" /><Relationship Id="rId32"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emf" /><Relationship Id="rId9" Type="http://schemas.openxmlformats.org/officeDocument/2006/relationships/image" Target="media/image2.emf"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Approver xmlns="e7484aa9-55e7-477e-bf2c-0a47dcbf58f6" xsi:nil="true"/>
    <_Flow_SignoffStatus xmlns="e7484aa9-55e7-477e-bf2c-0a47dcbf58f6" xsi:nil="true"/>
    <TaxCatchAll xmlns="159b7001-2e10-407d-a9ab-fe7498c1e62f" xsi:nil="true"/>
    <lcf76f155ced4ddcb4097134ff3c332f xmlns="e7484aa9-55e7-477e-bf2c-0a47dcbf58f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7C6F1B7666239F4182D198B822184F7A" ma:contentTypeVersion="18" ma:contentTypeDescription="Creare un nuovo documento." ma:contentTypeScope="" ma:versionID="9692bc268d7e34a71ef16eef224aa747">
  <xsd:schema xmlns:xsd="http://www.w3.org/2001/XMLSchema" xmlns:xs="http://www.w3.org/2001/XMLSchema" xmlns:p="http://schemas.microsoft.com/office/2006/metadata/properties" xmlns:ns2="e7484aa9-55e7-477e-bf2c-0a47dcbf58f6" xmlns:ns3="159b7001-2e10-407d-a9ab-fe7498c1e62f" targetNamespace="http://schemas.microsoft.com/office/2006/metadata/properties" ma:root="true" ma:fieldsID="2f8b9340d6bd1ca65f1c7332d6133c65" ns2:_="" ns3:_="">
    <xsd:import namespace="e7484aa9-55e7-477e-bf2c-0a47dcbf58f6"/>
    <xsd:import namespace="159b7001-2e10-407d-a9ab-fe7498c1e62f"/>
    <xsd:element name="properties">
      <xsd:complexType>
        <xsd:sequence>
          <xsd:element name="documentManagement">
            <xsd:complexType>
              <xsd:all>
                <xsd:element ref="ns2:_Flow_SignoffStatus" minOccurs="0"/>
                <xsd:element ref="ns2:Approver" minOccurs="0"/>
                <xsd:element ref="ns3:SharedWithUsers" minOccurs="0"/>
                <xsd:element ref="ns3:SharedWithDetails"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484aa9-55e7-477e-bf2c-0a47dcbf58f6" elementFormDefault="qualified">
    <xsd:import namespace="http://schemas.microsoft.com/office/2006/documentManagement/types"/>
    <xsd:import namespace="http://schemas.microsoft.com/office/infopath/2007/PartnerControls"/>
    <xsd:element name="_Flow_SignoffStatus" ma:index="8" nillable="true" ma:displayName="Stato consenso" ma:internalName="Stato_x0020_consenso">
      <xsd:simpleType>
        <xsd:restriction base="dms:Text">
          <xsd:maxLength value="255"/>
        </xsd:restriction>
      </xsd:simpleType>
    </xsd:element>
    <xsd:element name="Approver" ma:index="9" nillable="true" ma:displayName="Approver" ma:format="Dropdown" ma:internalName="Approver">
      <xsd:simpleType>
        <xsd:restriction base="dms:Text">
          <xsd:maxLength value="2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Tag immagine" ma:readOnly="false" ma:fieldId="{5cf76f15-5ced-4ddc-b409-7134ff3c332f}" ma:taxonomyMulti="true" ma:sspId="5cef147c-0240-47bf-9996-b7454b3232da"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9b7001-2e10-407d-a9ab-fe7498c1e62f"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TaxCatchAll" ma:index="22" nillable="true" ma:displayName="Taxonomy Catch All Column" ma:hidden="true" ma:list="{db5c8dd4-3756-4f69-9f50-4aef2384d7a3}" ma:internalName="TaxCatchAll" ma:showField="CatchAllData" ma:web="159b7001-2e10-407d-a9ab-fe7498c1e6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D04F21-EF71-448D-B7D7-29CFD6A18DCA}">
  <ds:schemaRefs>
    <ds:schemaRef ds:uri="http://schemas.microsoft.com/office/2006/metadata/properties"/>
    <ds:schemaRef ds:uri="http://schemas.microsoft.com/office/infopath/2007/PartnerControls"/>
    <ds:schemaRef ds:uri="e7484aa9-55e7-477e-bf2c-0a47dcbf58f6"/>
    <ds:schemaRef ds:uri="159b7001-2e10-407d-a9ab-fe7498c1e62f"/>
  </ds:schemaRefs>
</ds:datastoreItem>
</file>

<file path=customXml/itemProps2.xml><?xml version="1.0" encoding="utf-8"?>
<ds:datastoreItem xmlns:ds="http://schemas.openxmlformats.org/officeDocument/2006/customXml" ds:itemID="{1948E8BE-6011-4491-95DC-EB17BC5ED1BF}">
  <ds:schemaRefs>
    <ds:schemaRef ds:uri="http://schemas.openxmlformats.org/officeDocument/2006/bibliography"/>
  </ds:schemaRefs>
</ds:datastoreItem>
</file>

<file path=customXml/itemProps3.xml><?xml version="1.0" encoding="utf-8"?>
<ds:datastoreItem xmlns:ds="http://schemas.openxmlformats.org/officeDocument/2006/customXml" ds:itemID="{3764E286-2BFE-4D0E-865F-D17E89853D29}">
  <ds:schemaRefs>
    <ds:schemaRef ds:uri="http://schemas.microsoft.com/sharepoint/v3/contenttype/forms"/>
  </ds:schemaRefs>
</ds:datastoreItem>
</file>

<file path=customXml/itemProps4.xml><?xml version="1.0" encoding="utf-8"?>
<ds:datastoreItem xmlns:ds="http://schemas.openxmlformats.org/officeDocument/2006/customXml" ds:itemID="{30783523-84F4-4FC5-BD4D-6C29FDCCE9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484aa9-55e7-477e-bf2c-0a47dcbf58f6"/>
    <ds:schemaRef ds:uri="159b7001-2e10-407d-a9ab-fe7498c1e6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e90938b-8b27-4762-b4e8-006a8127a119}" enabled="0" method="" siteId="{3e90938b-8b27-4762-b4e8-006a8127a119}" removed="1"/>
</clbl:labelList>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